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trike w:val="0"/>
          <w:color w:val="auto"/>
          <w:sz w:val="44"/>
          <w:szCs w:val="44"/>
          <w:highlight w:val="none"/>
          <w:lang w:val="en-US" w:eastAsia="zh-CN"/>
        </w:rPr>
      </w:pPr>
      <w:r>
        <w:rPr>
          <w:rFonts w:hint="eastAsia" w:ascii="方正小标宋简体" w:hAnsi="方正小标宋简体" w:eastAsia="方正小标宋简体" w:cs="方正小标宋简体"/>
          <w:b w:val="0"/>
          <w:bCs w:val="0"/>
          <w:strike w:val="0"/>
          <w:color w:val="auto"/>
          <w:sz w:val="44"/>
          <w:szCs w:val="44"/>
          <w:highlight w:val="none"/>
          <w:lang w:val="en-US" w:eastAsia="zh-CN"/>
        </w:rPr>
        <w:t>广州南沙人才卡申领指南</w:t>
      </w:r>
    </w:p>
    <w:p>
      <w:pPr>
        <w:pageBreakBefore w:val="0"/>
        <w:widowControl w:val="0"/>
        <w:numPr>
          <w:ilvl w:val="0"/>
          <w:numId w:val="0"/>
        </w:numPr>
        <w:kinsoku/>
        <w:wordWrap/>
        <w:overflowPunct/>
        <w:topLinePunct w:val="0"/>
        <w:autoSpaceDE/>
        <w:autoSpaceDN/>
        <w:bidi w:val="0"/>
        <w:adjustRightInd/>
        <w:spacing w:before="0" w:beforeLines="0" w:after="0" w:afterLines="0" w:line="580" w:lineRule="exact"/>
        <w:ind w:right="0" w:rightChars="0" w:firstLine="640" w:firstLineChars="200"/>
        <w:jc w:val="center"/>
        <w:textAlignment w:val="auto"/>
        <w:rPr>
          <w:rFonts w:hint="eastAsia" w:ascii="黑体" w:hAnsi="黑体" w:eastAsia="黑体" w:cs="黑体"/>
          <w:b w:val="0"/>
          <w:strike w:val="0"/>
          <w:color w:val="auto"/>
          <w:sz w:val="32"/>
          <w:szCs w:val="32"/>
          <w:highlight w:val="none"/>
          <w:lang w:val="en-US" w:eastAsia="zh-CN"/>
        </w:rPr>
      </w:pPr>
      <w:r>
        <w:rPr>
          <w:rFonts w:hint="eastAsia" w:ascii="楷体_GB2312" w:hAnsi="楷体_GB2312" w:eastAsia="楷体_GB2312" w:cs="楷体_GB2312"/>
          <w:b w:val="0"/>
          <w:bCs w:val="0"/>
          <w:strike w:val="0"/>
          <w:color w:val="auto"/>
          <w:sz w:val="32"/>
          <w:szCs w:val="32"/>
          <w:highlight w:val="none"/>
          <w:lang w:val="en-US" w:eastAsia="zh-CN"/>
        </w:rPr>
        <w:t>（2024年修订）</w:t>
      </w:r>
    </w:p>
    <w:p>
      <w:pPr>
        <w:pStyle w:val="2"/>
        <w:pageBreakBefore w:val="0"/>
        <w:widowControl w:val="0"/>
        <w:numPr>
          <w:ilvl w:val="0"/>
          <w:numId w:val="0"/>
        </w:numPr>
        <w:kinsoku/>
        <w:wordWrap/>
        <w:overflowPunct/>
        <w:topLinePunct w:val="0"/>
        <w:autoSpaceDE/>
        <w:autoSpaceDN/>
        <w:bidi w:val="0"/>
        <w:adjustRightInd/>
        <w:spacing w:before="0" w:beforeLines="0" w:after="0" w:afterLines="0" w:line="580" w:lineRule="exact"/>
        <w:ind w:right="0" w:rightChars="0" w:firstLine="640" w:firstLineChars="200"/>
        <w:jc w:val="left"/>
        <w:textAlignment w:val="auto"/>
        <w:rPr>
          <w:rFonts w:hint="eastAsia" w:ascii="黑体" w:hAnsi="黑体" w:eastAsia="黑体" w:cs="黑体"/>
          <w:b w:val="0"/>
          <w:strike w:val="0"/>
          <w:color w:val="auto"/>
          <w:sz w:val="32"/>
          <w:szCs w:val="32"/>
          <w:highlight w:val="none"/>
          <w:lang w:val="en-US" w:eastAsia="zh-CN"/>
        </w:rPr>
      </w:pPr>
      <w:r>
        <w:rPr>
          <w:rFonts w:hint="eastAsia" w:ascii="黑体" w:hAnsi="黑体" w:eastAsia="黑体" w:cs="黑体"/>
          <w:b w:val="0"/>
          <w:strike w:val="0"/>
          <w:color w:val="auto"/>
          <w:sz w:val="32"/>
          <w:szCs w:val="32"/>
          <w:highlight w:val="none"/>
          <w:lang w:val="en-US" w:eastAsia="zh-CN"/>
        </w:rPr>
        <w:t>一、政策依据</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《广州南沙优化人才服务保障实施细则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2024年修订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pStyle w:val="2"/>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jc w:val="left"/>
        <w:textAlignment w:val="auto"/>
        <w:rPr>
          <w:rFonts w:hint="default" w:ascii="黑体" w:hAnsi="黑体" w:eastAsia="黑体" w:cs="黑体"/>
          <w:b w:val="0"/>
          <w:strike w:val="0"/>
          <w:color w:val="auto"/>
          <w:sz w:val="32"/>
          <w:szCs w:val="32"/>
          <w:highlight w:val="none"/>
          <w:lang w:val="en-US"/>
        </w:rPr>
      </w:pPr>
      <w:r>
        <w:rPr>
          <w:rFonts w:hint="eastAsia" w:ascii="黑体" w:hAnsi="黑体" w:eastAsia="黑体" w:cs="黑体"/>
          <w:b w:val="0"/>
          <w:strike w:val="0"/>
          <w:color w:val="auto"/>
          <w:sz w:val="32"/>
          <w:szCs w:val="32"/>
          <w:highlight w:val="none"/>
          <w:lang w:eastAsia="zh-CN"/>
        </w:rPr>
        <w:t>二、</w:t>
      </w:r>
      <w:r>
        <w:rPr>
          <w:rFonts w:hint="eastAsia" w:ascii="黑体" w:hAnsi="黑体" w:eastAsia="黑体" w:cs="黑体"/>
          <w:b w:val="0"/>
          <w:strike w:val="0"/>
          <w:color w:val="auto"/>
          <w:sz w:val="32"/>
          <w:szCs w:val="32"/>
          <w:highlight w:val="none"/>
          <w:lang w:val="en-US" w:eastAsia="zh-CN"/>
        </w:rPr>
        <w:t>南沙人才卡类别</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南沙人才主卡。</w:t>
      </w:r>
      <w:r>
        <w:rPr>
          <w:rFonts w:hint="eastAsia" w:ascii="Times New Roman" w:hAnsi="Times New Roman" w:eastAsia="仿宋_GB2312" w:cs="Times New Roman"/>
          <w:color w:val="auto"/>
          <w:sz w:val="32"/>
          <w:szCs w:val="32"/>
          <w:lang w:val="en-US" w:eastAsia="zh-CN"/>
        </w:rPr>
        <w:t>南沙人才卡主卡分为A、B卡两类，根据人才层次、需求进行细分。</w:t>
      </w:r>
      <w:r>
        <w:rPr>
          <w:rFonts w:hint="eastAsia" w:ascii="Times New Roman" w:hAnsi="Times New Roman" w:eastAsia="仿宋_GB2312" w:cs="Times New Roman"/>
          <w:color w:val="auto"/>
          <w:sz w:val="32"/>
          <w:szCs w:val="32"/>
          <w:lang w:val="en-US" w:eastAsia="zh-Hans"/>
        </w:rPr>
        <w:t>对港澳台人才</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Hans"/>
        </w:rPr>
        <w:t>外籍人才发放的南沙人才卡</w:t>
      </w:r>
      <w:r>
        <w:rPr>
          <w:rFonts w:hint="eastAsia" w:ascii="Times New Roman" w:hAnsi="Times New Roman" w:eastAsia="仿宋_GB2312" w:cs="Times New Roman"/>
          <w:color w:val="auto"/>
          <w:sz w:val="32"/>
          <w:szCs w:val="32"/>
          <w:lang w:val="en-US" w:eastAsia="zh-CN"/>
        </w:rPr>
        <w:t>将分别</w:t>
      </w:r>
      <w:r>
        <w:rPr>
          <w:rFonts w:hint="eastAsia" w:ascii="Times New Roman" w:hAnsi="Times New Roman" w:eastAsia="仿宋_GB2312" w:cs="Times New Roman"/>
          <w:color w:val="auto"/>
          <w:sz w:val="32"/>
          <w:szCs w:val="32"/>
          <w:lang w:val="en-US" w:eastAsia="zh-Hans"/>
        </w:rPr>
        <w:t>加注“HMT”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Hans"/>
        </w:rPr>
        <w:t>“FOR”字样。</w:t>
      </w:r>
      <w:r>
        <w:rPr>
          <w:rFonts w:hint="eastAsia" w:ascii="Times New Roman" w:hAnsi="Times New Roman" w:eastAsia="仿宋_GB2312" w:cs="Times New Roman"/>
          <w:color w:val="auto"/>
          <w:sz w:val="32"/>
          <w:szCs w:val="32"/>
          <w:lang w:val="en-US" w:eastAsia="zh-CN"/>
        </w:rPr>
        <w:t>南沙人才卡类别及标识可</w:t>
      </w:r>
      <w:r>
        <w:rPr>
          <w:rFonts w:hint="eastAsia" w:ascii="Times New Roman" w:hAnsi="Times New Roman" w:eastAsia="仿宋_GB2312" w:cs="Times New Roman"/>
          <w:color w:val="auto"/>
          <w:sz w:val="32"/>
          <w:szCs w:val="32"/>
          <w:lang w:val="en-US" w:eastAsia="zh-Hans"/>
        </w:rPr>
        <w:t>根据实施情况适时调整</w:t>
      </w:r>
      <w:r>
        <w:rPr>
          <w:rFonts w:hint="eastAsia" w:ascii="Times New Roman" w:hAnsi="Times New Roman" w:eastAsia="仿宋_GB2312" w:cs="Times New Roman"/>
          <w:color w:val="auto"/>
          <w:sz w:val="32"/>
          <w:szCs w:val="32"/>
          <w:lang w:val="en-US" w:eastAsia="zh-CN"/>
        </w:rPr>
        <w:t>。</w:t>
      </w:r>
    </w:p>
    <w:p>
      <w:pPr>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（二）南沙人才卡副卡。</w:t>
      </w:r>
      <w:r>
        <w:rPr>
          <w:rFonts w:hint="eastAsia" w:ascii="Times New Roman" w:hAnsi="Times New Roman" w:eastAsia="仿宋_GB2312" w:cs="Times New Roman"/>
          <w:color w:val="auto"/>
          <w:sz w:val="32"/>
          <w:szCs w:val="32"/>
          <w:lang w:val="en-US" w:eastAsia="zh-CN"/>
        </w:rPr>
        <w:t>南沙人才卡副卡与主卡之间为从属关系，仅面向A卡持卡人的配偶、子女、父母、配偶父母发放，作为人才亲属享受相关服务待遇的凭证。</w:t>
      </w:r>
    </w:p>
    <w:p>
      <w:pPr>
        <w:pageBreakBefore w:val="0"/>
        <w:kinsoku/>
        <w:wordWrap/>
        <w:overflowPunct/>
        <w:topLinePunct w:val="0"/>
        <w:autoSpaceDE/>
        <w:autoSpaceDN/>
        <w:bidi w:val="0"/>
        <w:spacing w:line="58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三、申领条件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80" w:lineRule="exact"/>
        <w:ind w:left="0"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（一）在南沙区工作，申领时在</w:t>
      </w:r>
      <w:r>
        <w:rPr>
          <w:rFonts w:hint="eastAsia" w:ascii="仿宋_GB2312" w:hAnsi="仿宋_GB2312" w:eastAsia="仿宋_GB2312" w:cs="仿宋_GB2312"/>
          <w:color w:val="auto"/>
          <w:kern w:val="0"/>
          <w:sz w:val="32"/>
          <w:szCs w:val="32"/>
          <w:lang w:val="en-US" w:eastAsia="zh-CN"/>
        </w:rPr>
        <w:t>南沙区参加城镇职工社会保险</w:t>
      </w:r>
      <w:r>
        <w:rPr>
          <w:rFonts w:hint="eastAsia" w:ascii="FangSong_GB2312" w:hAnsi="FangSong_GB2312" w:eastAsia="FangSong_GB2312"/>
          <w:sz w:val="32"/>
          <w:szCs w:val="24"/>
        </w:rPr>
        <w:t>（中央、省属、市属驻区单位人员以及境外人员提供劳动合同，可不受在本区缴纳社会保险条件限制）</w:t>
      </w:r>
      <w:r>
        <w:rPr>
          <w:rFonts w:hint="eastAsia" w:ascii="仿宋_GB2312" w:hAnsi="仿宋_GB2312" w:eastAsia="仿宋_GB2312" w:cs="仿宋_GB2312"/>
          <w:color w:val="auto"/>
          <w:kern w:val="0"/>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（二）具备以下申领资格之一：</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39"/>
        <w:gridCol w:w="3655"/>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eastAsia"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南沙人才主卡</w:t>
            </w:r>
          </w:p>
        </w:tc>
        <w:tc>
          <w:tcPr>
            <w:tcW w:w="74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申领资格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0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eastAsia" w:ascii="黑体" w:hAnsi="黑体" w:eastAsia="黑体" w:cs="黑体"/>
                <w:color w:val="auto"/>
                <w:sz w:val="24"/>
                <w:szCs w:val="24"/>
                <w:u w:val="none"/>
                <w:vertAlign w:val="baseline"/>
                <w:lang w:val="en-US" w:eastAsia="zh-CN"/>
              </w:rPr>
            </w:pPr>
          </w:p>
        </w:tc>
        <w:tc>
          <w:tcPr>
            <w:tcW w:w="36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eastAsia"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已参加南沙相关评定程序的人才</w:t>
            </w:r>
          </w:p>
        </w:tc>
        <w:tc>
          <w:tcPr>
            <w:tcW w:w="383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eastAsia"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未参加南沙相关评定程序的人才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A卡</w:t>
            </w:r>
          </w:p>
        </w:tc>
        <w:tc>
          <w:tcPr>
            <w:tcW w:w="36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20" w:lineRule="exact"/>
              <w:jc w:val="both"/>
              <w:textAlignment w:val="auto"/>
              <w:rPr>
                <w:rFonts w:hint="eastAsia" w:ascii="Times New Roman" w:hAnsi="Times New Roman" w:eastAsia="仿宋_GB2312" w:cs="Times New Roman"/>
                <w:color w:val="000000"/>
                <w:sz w:val="24"/>
                <w:szCs w:val="24"/>
                <w:u w:val="none"/>
                <w:vertAlign w:val="baseline"/>
                <w:lang w:val="en-US" w:eastAsia="zh-CN"/>
              </w:rPr>
            </w:pPr>
            <w:r>
              <w:rPr>
                <w:rFonts w:hint="eastAsia" w:ascii="Times New Roman" w:hAnsi="Times New Roman" w:eastAsia="仿宋_GB2312" w:cs="Times New Roman"/>
                <w:color w:val="000000"/>
                <w:sz w:val="24"/>
                <w:szCs w:val="24"/>
                <w:u w:val="none"/>
                <w:vertAlign w:val="baseline"/>
                <w:lang w:val="en-US" w:eastAsia="zh-CN"/>
              </w:rPr>
              <w:t>1.本区评定的高层次人才；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default" w:ascii="仿宋_GB2312" w:hAnsi="仿宋_GB2312" w:eastAsia="仿宋_GB2312" w:cs="仿宋_GB2312"/>
                <w:color w:val="auto"/>
                <w:sz w:val="24"/>
                <w:szCs w:val="24"/>
                <w:u w:val="none"/>
                <w:vertAlign w:val="baseline"/>
                <w:lang w:val="en-US" w:eastAsia="zh-CN"/>
              </w:rPr>
            </w:pPr>
            <w:r>
              <w:rPr>
                <w:rFonts w:hint="eastAsia" w:ascii="Times New Roman" w:hAnsi="Times New Roman" w:eastAsia="仿宋_GB2312" w:cs="Times New Roman"/>
                <w:color w:val="000000"/>
                <w:sz w:val="24"/>
                <w:szCs w:val="24"/>
                <w:u w:val="none"/>
                <w:vertAlign w:val="baseline"/>
                <w:lang w:val="en-US" w:eastAsia="zh-CN"/>
              </w:rPr>
              <w:t>2.获得本区100万元奖励的国际知名高校博士和海外专业人才。</w:t>
            </w:r>
          </w:p>
        </w:tc>
        <w:tc>
          <w:tcPr>
            <w:tcW w:w="383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default" w:ascii="Times New Roman" w:hAnsi="Times New Roman" w:eastAsia="仿宋_GB2312" w:cs="Times New Roman"/>
                <w:color w:val="000000"/>
                <w:sz w:val="24"/>
                <w:szCs w:val="24"/>
                <w:u w:val="none"/>
                <w:vertAlign w:val="baseline"/>
                <w:lang w:val="en-US" w:eastAsia="zh-CN"/>
              </w:rPr>
            </w:pPr>
            <w:r>
              <w:rPr>
                <w:rFonts w:hint="default" w:ascii="Times New Roman" w:hAnsi="Times New Roman" w:eastAsia="仿宋_GB2312" w:cs="Times New Roman"/>
                <w:color w:val="000000"/>
                <w:sz w:val="24"/>
                <w:szCs w:val="24"/>
                <w:lang w:val="en-US" w:eastAsia="zh-CN"/>
              </w:rPr>
              <w:t>1.</w:t>
            </w:r>
            <w:r>
              <w:rPr>
                <w:rFonts w:hint="eastAsia" w:ascii="Times New Roman" w:hAnsi="Times New Roman" w:eastAsia="仿宋_GB2312" w:cs="Times New Roman"/>
                <w:color w:val="000000"/>
                <w:sz w:val="24"/>
                <w:szCs w:val="24"/>
                <w:lang w:val="en-US" w:eastAsia="zh-CN"/>
              </w:rPr>
              <w:t>国家、广东省、广州市重大人才项目入选者</w:t>
            </w:r>
            <w:r>
              <w:rPr>
                <w:rFonts w:hint="default" w:ascii="Times New Roman" w:hAnsi="Times New Roman" w:eastAsia="仿宋_GB2312" w:cs="Times New Roman"/>
                <w:color w:val="000000"/>
                <w:sz w:val="24"/>
                <w:szCs w:val="24"/>
                <w:u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广东省人才优粤卡</w:t>
            </w:r>
            <w:r>
              <w:rPr>
                <w:rFonts w:hint="default" w:ascii="Times New Roman" w:hAnsi="Times New Roman" w:eastAsia="仿宋_GB2312" w:cs="Times New Roman"/>
                <w:color w:val="000000"/>
                <w:sz w:val="24"/>
                <w:szCs w:val="24"/>
                <w:u w:val="none"/>
                <w:vertAlign w:val="baseline"/>
                <w:lang w:val="en-US" w:eastAsia="zh-CN"/>
              </w:rPr>
              <w:t>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B卡</w:t>
            </w:r>
          </w:p>
        </w:tc>
        <w:tc>
          <w:tcPr>
            <w:tcW w:w="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B-1卡</w:t>
            </w:r>
          </w:p>
        </w:tc>
        <w:tc>
          <w:tcPr>
            <w:tcW w:w="36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1.持有南沙区外国人工作许可证A类人员；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2.高管人才。</w:t>
            </w:r>
          </w:p>
        </w:tc>
        <w:tc>
          <w:tcPr>
            <w:tcW w:w="3836" w:type="dxa"/>
            <w:noWrap w:val="0"/>
            <w:vAlign w:val="center"/>
          </w:tcPr>
          <w:p>
            <w:pPr>
              <w:keepNext w:val="0"/>
              <w:keepLines w:val="0"/>
              <w:widowControl/>
              <w:suppressLineNumbers w:val="0"/>
              <w:spacing w:line="420" w:lineRule="exact"/>
              <w:jc w:val="left"/>
            </w:pPr>
            <w:r>
              <w:rPr>
                <w:rFonts w:hint="default" w:ascii="Times New Roman" w:hAnsi="Times New Roman" w:eastAsia="宋体" w:cs="Times New Roman"/>
                <w:color w:val="000000"/>
                <w:kern w:val="0"/>
                <w:sz w:val="24"/>
                <w:szCs w:val="24"/>
                <w:lang w:val="en-US" w:eastAsia="zh-CN" w:bidi="ar"/>
              </w:rPr>
              <w:t>1.</w:t>
            </w:r>
            <w:r>
              <w:rPr>
                <w:rFonts w:ascii="仿宋_GB2312" w:hAnsi="宋体" w:eastAsia="仿宋_GB2312" w:cs="仿宋_GB2312"/>
                <w:color w:val="000000"/>
                <w:kern w:val="0"/>
                <w:sz w:val="24"/>
                <w:szCs w:val="24"/>
                <w:lang w:val="en-US" w:eastAsia="zh-CN" w:bidi="ar"/>
              </w:rPr>
              <w:t xml:space="preserve">具有博士学位的人才； </w:t>
            </w:r>
          </w:p>
          <w:p>
            <w:pPr>
              <w:keepNext w:val="0"/>
              <w:keepLines w:val="0"/>
              <w:widowControl/>
              <w:suppressLineNumbers w:val="0"/>
              <w:spacing w:line="420" w:lineRule="exact"/>
              <w:jc w:val="left"/>
            </w:pPr>
            <w:r>
              <w:rPr>
                <w:rFonts w:hint="default" w:ascii="Times New Roman" w:hAnsi="Times New Roman" w:eastAsia="宋体" w:cs="Times New Roman"/>
                <w:color w:val="000000"/>
                <w:kern w:val="0"/>
                <w:sz w:val="24"/>
                <w:szCs w:val="24"/>
                <w:lang w:val="en-US" w:eastAsia="zh-CN" w:bidi="ar"/>
              </w:rPr>
              <w:t>2.</w:t>
            </w:r>
            <w:r>
              <w:rPr>
                <w:rFonts w:hint="eastAsia" w:ascii="仿宋_GB2312" w:hAnsi="宋体" w:eastAsia="仿宋_GB2312" w:cs="仿宋_GB2312"/>
                <w:color w:val="000000"/>
                <w:kern w:val="0"/>
                <w:sz w:val="24"/>
                <w:szCs w:val="24"/>
                <w:lang w:val="en-US" w:eastAsia="zh-CN" w:bidi="ar"/>
              </w:rPr>
              <w:t xml:space="preserve">具有副高级以上职称的人才； </w:t>
            </w:r>
          </w:p>
          <w:p>
            <w:pPr>
              <w:keepNext w:val="0"/>
              <w:keepLines w:val="0"/>
              <w:widowControl/>
              <w:suppressLineNumbers w:val="0"/>
              <w:spacing w:line="420" w:lineRule="exact"/>
              <w:jc w:val="left"/>
              <w:rPr>
                <w:rFonts w:hint="eastAsia" w:ascii="仿宋_GB2312" w:hAnsi="仿宋_GB2312" w:eastAsia="仿宋_GB2312" w:cs="仿宋_GB2312"/>
                <w:color w:val="auto"/>
                <w:sz w:val="24"/>
                <w:szCs w:val="24"/>
                <w:u w:val="none"/>
                <w:vertAlign w:val="baseline"/>
                <w:lang w:val="en-US" w:eastAsia="zh-CN"/>
              </w:rPr>
            </w:pPr>
            <w:r>
              <w:rPr>
                <w:rFonts w:hint="default" w:ascii="Times New Roman" w:hAnsi="Times New Roman" w:eastAsia="宋体" w:cs="Times New Roman"/>
                <w:color w:val="000000"/>
                <w:kern w:val="0"/>
                <w:sz w:val="24"/>
                <w:szCs w:val="24"/>
                <w:lang w:val="en-US" w:eastAsia="zh-CN" w:bidi="ar"/>
              </w:rPr>
              <w:t>3.</w:t>
            </w:r>
            <w:r>
              <w:rPr>
                <w:rFonts w:hint="eastAsia" w:ascii="仿宋_GB2312" w:hAnsi="宋体" w:eastAsia="仿宋_GB2312" w:cs="仿宋_GB2312"/>
                <w:color w:val="000000"/>
                <w:kern w:val="0"/>
                <w:sz w:val="24"/>
                <w:szCs w:val="24"/>
                <w:lang w:val="en-US" w:eastAsia="zh-CN" w:bidi="ar"/>
              </w:rPr>
              <w:t>具有特级技师技能等级的人才。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p>
        </w:tc>
        <w:tc>
          <w:tcPr>
            <w:tcW w:w="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eastAsia" w:ascii="Times New Roman" w:hAnsi="Times New Roman" w:cs="Times New Roman"/>
                <w:color w:val="auto"/>
                <w:sz w:val="24"/>
                <w:szCs w:val="24"/>
                <w:u w:val="none"/>
                <w:vertAlign w:val="baseline"/>
                <w:lang w:val="en-US" w:eastAsia="zh-CN"/>
              </w:rPr>
              <w:t>B-2卡</w:t>
            </w:r>
          </w:p>
        </w:tc>
        <w:tc>
          <w:tcPr>
            <w:tcW w:w="36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1.持有南沙区外国人工作许可证B类人员；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both"/>
              <w:textAlignment w:val="auto"/>
              <w:rPr>
                <w:rFonts w:hint="default"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2.骨干人才。</w:t>
            </w:r>
          </w:p>
        </w:tc>
        <w:tc>
          <w:tcPr>
            <w:tcW w:w="3836" w:type="dxa"/>
            <w:noWrap w:val="0"/>
            <w:vAlign w:val="center"/>
          </w:tcPr>
          <w:p>
            <w:pPr>
              <w:keepNext w:val="0"/>
              <w:keepLines w:val="0"/>
              <w:widowControl/>
              <w:suppressLineNumbers w:val="0"/>
              <w:spacing w:line="420" w:lineRule="exact"/>
              <w:jc w:val="left"/>
            </w:pPr>
            <w:r>
              <w:rPr>
                <w:rFonts w:hint="default" w:ascii="Times New Roman" w:hAnsi="Times New Roman" w:eastAsia="宋体" w:cs="Times New Roman"/>
                <w:color w:val="000000"/>
                <w:kern w:val="0"/>
                <w:sz w:val="24"/>
                <w:szCs w:val="24"/>
                <w:lang w:val="en-US" w:eastAsia="zh-CN" w:bidi="ar"/>
              </w:rPr>
              <w:t>1.</w:t>
            </w:r>
            <w:r>
              <w:rPr>
                <w:rFonts w:ascii="仿宋_GB2312" w:hAnsi="宋体" w:eastAsia="仿宋_GB2312" w:cs="仿宋_GB2312"/>
                <w:color w:val="000000"/>
                <w:kern w:val="0"/>
                <w:sz w:val="24"/>
                <w:szCs w:val="24"/>
                <w:lang w:val="en-US" w:eastAsia="zh-CN" w:bidi="ar"/>
              </w:rPr>
              <w:t>具有学士</w:t>
            </w:r>
            <w:r>
              <w:rPr>
                <w:rFonts w:hint="eastAsia" w:ascii="仿宋_GB2312" w:hAnsi="宋体" w:eastAsia="仿宋_GB2312" w:cs="仿宋_GB2312"/>
                <w:color w:val="000000"/>
                <w:kern w:val="0"/>
                <w:sz w:val="24"/>
                <w:szCs w:val="24"/>
                <w:lang w:val="en-US" w:eastAsia="zh-CN" w:bidi="ar"/>
              </w:rPr>
              <w:t>、</w:t>
            </w:r>
            <w:r>
              <w:rPr>
                <w:rFonts w:ascii="仿宋_GB2312" w:hAnsi="宋体" w:eastAsia="仿宋_GB2312" w:cs="仿宋_GB2312"/>
                <w:color w:val="000000"/>
                <w:kern w:val="0"/>
                <w:sz w:val="24"/>
                <w:szCs w:val="24"/>
                <w:lang w:val="en-US" w:eastAsia="zh-CN" w:bidi="ar"/>
              </w:rPr>
              <w:t xml:space="preserve">硕士学位的人才； </w:t>
            </w:r>
          </w:p>
          <w:p>
            <w:pPr>
              <w:keepNext w:val="0"/>
              <w:keepLines w:val="0"/>
              <w:widowControl/>
              <w:suppressLineNumbers w:val="0"/>
              <w:spacing w:line="420" w:lineRule="exact"/>
              <w:jc w:val="left"/>
            </w:pPr>
            <w:r>
              <w:rPr>
                <w:rFonts w:hint="default" w:ascii="Times New Roman" w:hAnsi="Times New Roman" w:eastAsia="宋体" w:cs="Times New Roman"/>
                <w:color w:val="000000"/>
                <w:kern w:val="0"/>
                <w:sz w:val="24"/>
                <w:szCs w:val="24"/>
                <w:lang w:val="en-US" w:eastAsia="zh-CN" w:bidi="ar"/>
              </w:rPr>
              <w:t>2.</w:t>
            </w:r>
            <w:r>
              <w:rPr>
                <w:rFonts w:hint="eastAsia" w:ascii="仿宋_GB2312" w:hAnsi="宋体" w:eastAsia="仿宋_GB2312" w:cs="仿宋_GB2312"/>
                <w:color w:val="000000"/>
                <w:kern w:val="0"/>
                <w:sz w:val="24"/>
                <w:szCs w:val="24"/>
                <w:lang w:val="en-US" w:eastAsia="zh-CN" w:bidi="ar"/>
              </w:rPr>
              <w:t xml:space="preserve">具有中级职称的人才； </w:t>
            </w:r>
          </w:p>
          <w:p>
            <w:pPr>
              <w:keepNext w:val="0"/>
              <w:keepLines w:val="0"/>
              <w:widowControl/>
              <w:suppressLineNumbers w:val="0"/>
              <w:spacing w:line="420" w:lineRule="exact"/>
              <w:jc w:val="left"/>
              <w:rPr>
                <w:rFonts w:hint="eastAsia" w:ascii="仿宋_GB2312" w:hAnsi="仿宋_GB2312" w:eastAsia="仿宋_GB2312" w:cs="仿宋_GB2312"/>
                <w:color w:val="auto"/>
                <w:sz w:val="24"/>
                <w:szCs w:val="24"/>
                <w:u w:val="none"/>
                <w:vertAlign w:val="baseline"/>
                <w:lang w:val="en-US" w:eastAsia="zh-CN"/>
              </w:rPr>
            </w:pPr>
            <w:r>
              <w:rPr>
                <w:rFonts w:hint="default" w:ascii="Times New Roman" w:hAnsi="Times New Roman" w:eastAsia="宋体" w:cs="Times New Roman"/>
                <w:color w:val="000000"/>
                <w:kern w:val="0"/>
                <w:sz w:val="24"/>
                <w:szCs w:val="24"/>
                <w:lang w:val="en-US" w:eastAsia="zh-CN" w:bidi="ar"/>
              </w:rPr>
              <w:t>3.</w:t>
            </w:r>
            <w:r>
              <w:rPr>
                <w:rFonts w:hint="eastAsia" w:ascii="仿宋_GB2312" w:hAnsi="宋体" w:eastAsia="仿宋_GB2312" w:cs="仿宋_GB2312"/>
                <w:color w:val="000000"/>
                <w:kern w:val="0"/>
                <w:sz w:val="24"/>
                <w:szCs w:val="24"/>
                <w:lang w:val="en-US" w:eastAsia="zh-CN" w:bidi="ar"/>
              </w:rPr>
              <w:t>具有技师、高级技师技能等级的人才。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p>
        </w:tc>
        <w:tc>
          <w:tcPr>
            <w:tcW w:w="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default" w:ascii="Times New Roman" w:hAnsi="Times New Roman" w:eastAsia="仿宋_GB2312" w:cs="Times New Roman"/>
                <w:color w:val="auto"/>
                <w:kern w:val="2"/>
                <w:sz w:val="24"/>
                <w:szCs w:val="24"/>
                <w:u w:val="none"/>
                <w:vertAlign w:val="baseline"/>
                <w:lang w:val="en-US" w:eastAsia="zh-CN" w:bidi="ar-SA"/>
              </w:rPr>
            </w:pPr>
            <w:r>
              <w:rPr>
                <w:rFonts w:hint="default" w:ascii="Times New Roman" w:hAnsi="Times New Roman" w:eastAsia="仿宋_GB2312" w:cs="Times New Roman"/>
                <w:color w:val="auto"/>
                <w:sz w:val="24"/>
                <w:szCs w:val="24"/>
                <w:u w:val="none"/>
                <w:vertAlign w:val="baseline"/>
                <w:lang w:val="en-US" w:eastAsia="zh-CN"/>
              </w:rPr>
              <w:t>B-</w:t>
            </w:r>
            <w:r>
              <w:rPr>
                <w:rFonts w:hint="default" w:ascii="Times New Roman" w:hAnsi="Times New Roman" w:cs="Times New Roman"/>
                <w:color w:val="auto"/>
                <w:sz w:val="24"/>
                <w:szCs w:val="24"/>
                <w:u w:val="none"/>
                <w:vertAlign w:val="baseline"/>
                <w:lang w:eastAsia="zh-CN"/>
              </w:rPr>
              <w:t>3</w:t>
            </w:r>
            <w:r>
              <w:rPr>
                <w:rFonts w:hint="default" w:ascii="Times New Roman" w:hAnsi="Times New Roman" w:eastAsia="仿宋_GB2312" w:cs="Times New Roman"/>
                <w:color w:val="auto"/>
                <w:sz w:val="24"/>
                <w:szCs w:val="24"/>
                <w:u w:val="none"/>
                <w:vertAlign w:val="baseline"/>
                <w:lang w:val="en-US" w:eastAsia="zh-CN"/>
              </w:rPr>
              <w:t>卡</w:t>
            </w:r>
          </w:p>
        </w:tc>
        <w:tc>
          <w:tcPr>
            <w:tcW w:w="36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w:t>
            </w:r>
          </w:p>
        </w:tc>
        <w:tc>
          <w:tcPr>
            <w:tcW w:w="3836" w:type="dxa"/>
            <w:noWrap w:val="0"/>
            <w:vAlign w:val="center"/>
          </w:tcPr>
          <w:p>
            <w:pPr>
              <w:keepNext w:val="0"/>
              <w:keepLines w:val="0"/>
              <w:widowControl/>
              <w:suppressLineNumbers w:val="0"/>
              <w:spacing w:line="420" w:lineRule="exact"/>
              <w:jc w:val="left"/>
            </w:pPr>
            <w:r>
              <w:rPr>
                <w:rFonts w:hint="default" w:ascii="Times New Roman" w:hAnsi="Times New Roman" w:eastAsia="宋体" w:cs="Times New Roman"/>
                <w:color w:val="000000"/>
                <w:kern w:val="0"/>
                <w:sz w:val="24"/>
                <w:szCs w:val="24"/>
                <w:lang w:val="en-US" w:eastAsia="zh-CN" w:bidi="ar"/>
              </w:rPr>
              <w:t>1.</w:t>
            </w:r>
            <w:r>
              <w:rPr>
                <w:rFonts w:ascii="仿宋_GB2312" w:hAnsi="宋体" w:eastAsia="仿宋_GB2312" w:cs="仿宋_GB2312"/>
                <w:color w:val="000000"/>
                <w:kern w:val="0"/>
                <w:sz w:val="24"/>
                <w:szCs w:val="24"/>
                <w:lang w:val="en-US" w:eastAsia="zh-CN" w:bidi="ar"/>
              </w:rPr>
              <w:t xml:space="preserve">具有大专学历的人才； </w:t>
            </w:r>
          </w:p>
          <w:p>
            <w:pPr>
              <w:keepNext w:val="0"/>
              <w:keepLines w:val="0"/>
              <w:widowControl/>
              <w:suppressLineNumbers w:val="0"/>
              <w:spacing w:line="420" w:lineRule="exact"/>
              <w:jc w:val="left"/>
            </w:pPr>
            <w:r>
              <w:rPr>
                <w:rFonts w:hint="default" w:ascii="Times New Roman" w:hAnsi="Times New Roman" w:eastAsia="宋体" w:cs="Times New Roman"/>
                <w:color w:val="000000"/>
                <w:kern w:val="0"/>
                <w:sz w:val="24"/>
                <w:szCs w:val="24"/>
                <w:lang w:val="en-US" w:eastAsia="zh-CN" w:bidi="ar"/>
              </w:rPr>
              <w:t>2.</w:t>
            </w:r>
            <w:r>
              <w:rPr>
                <w:rFonts w:hint="eastAsia" w:ascii="仿宋_GB2312" w:hAnsi="宋体" w:eastAsia="仿宋_GB2312" w:cs="仿宋_GB2312"/>
                <w:color w:val="000000"/>
                <w:kern w:val="0"/>
                <w:sz w:val="24"/>
                <w:szCs w:val="24"/>
                <w:lang w:val="en-US" w:eastAsia="zh-CN" w:bidi="ar"/>
              </w:rPr>
              <w:t xml:space="preserve">具有初级职称的人才； </w:t>
            </w:r>
          </w:p>
          <w:p>
            <w:pPr>
              <w:keepNext w:val="0"/>
              <w:keepLines w:val="0"/>
              <w:widowControl/>
              <w:suppressLineNumbers w:val="0"/>
              <w:spacing w:line="420" w:lineRule="exact"/>
              <w:jc w:val="left"/>
              <w:rPr>
                <w:rFonts w:hint="eastAsia" w:ascii="仿宋_GB2312" w:hAnsi="仿宋_GB2312" w:eastAsia="仿宋_GB2312" w:cs="仿宋_GB2312"/>
                <w:color w:val="auto"/>
                <w:sz w:val="24"/>
                <w:szCs w:val="24"/>
                <w:u w:val="none"/>
                <w:vertAlign w:val="baseline"/>
                <w:lang w:val="en-US" w:eastAsia="zh-CN"/>
              </w:rPr>
            </w:pPr>
            <w:r>
              <w:rPr>
                <w:rFonts w:hint="default" w:ascii="Times New Roman" w:hAnsi="Times New Roman" w:eastAsia="宋体" w:cs="Times New Roman"/>
                <w:color w:val="000000"/>
                <w:kern w:val="0"/>
                <w:sz w:val="24"/>
                <w:szCs w:val="24"/>
                <w:lang w:val="en-US" w:eastAsia="zh-CN" w:bidi="ar"/>
              </w:rPr>
              <w:t>3.</w:t>
            </w:r>
            <w:r>
              <w:rPr>
                <w:rFonts w:hint="eastAsia" w:ascii="仿宋_GB2312" w:hAnsi="宋体" w:eastAsia="仿宋_GB2312" w:cs="仿宋_GB2312"/>
                <w:color w:val="000000"/>
                <w:kern w:val="0"/>
                <w:sz w:val="24"/>
                <w:szCs w:val="24"/>
                <w:lang w:val="en-US" w:eastAsia="zh-CN" w:bidi="ar"/>
              </w:rPr>
              <w:t>具有高级工技能等级的人才。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1" w:type="dxa"/>
            <w:gridSpan w:val="4"/>
            <w:noWrap w:val="0"/>
            <w:vAlign w:val="center"/>
          </w:tcPr>
          <w:p>
            <w:pPr>
              <w:keepNext w:val="0"/>
              <w:keepLines w:val="0"/>
              <w:widowControl/>
              <w:suppressLineNumbers w:val="0"/>
              <w:spacing w:line="420" w:lineRule="exact"/>
              <w:jc w:val="left"/>
              <w:rPr>
                <w:rFonts w:hint="default" w:ascii="Times New Roman" w:hAnsi="Times New Roman" w:eastAsia="宋体" w:cs="Times New Roman"/>
                <w:color w:val="000000"/>
                <w:kern w:val="0"/>
                <w:sz w:val="24"/>
                <w:szCs w:val="24"/>
                <w:lang w:val="en-US" w:eastAsia="zh-CN" w:bidi="ar"/>
              </w:rPr>
            </w:pPr>
            <w:bookmarkStart w:id="0" w:name="OLE_LINK2"/>
            <w:r>
              <w:rPr>
                <w:rFonts w:hint="eastAsia" w:ascii="黑体" w:hAnsi="黑体" w:eastAsia="黑体" w:cs="黑体"/>
                <w:color w:val="000000"/>
                <w:sz w:val="24"/>
                <w:lang w:val="en-US" w:eastAsia="zh-CN"/>
              </w:rPr>
              <w:t>说明</w:t>
            </w:r>
            <w:r>
              <w:rPr>
                <w:rFonts w:hint="eastAsia" w:ascii="黑体" w:hAnsi="黑体" w:eastAsia="黑体" w:cs="黑体"/>
                <w:color w:val="000000"/>
                <w:sz w:val="24"/>
              </w:rPr>
              <w:t>：</w:t>
            </w:r>
            <w:r>
              <w:rPr>
                <w:rFonts w:hint="eastAsia" w:ascii="Times New Roman" w:hAnsi="Times New Roman" w:eastAsia="仿宋_GB2312" w:cs="Times New Roman"/>
                <w:color w:val="000000"/>
                <w:sz w:val="24"/>
                <w:lang w:val="en-US" w:eastAsia="zh-CN"/>
              </w:rPr>
              <w:t>1.</w:t>
            </w:r>
            <w:r>
              <w:rPr>
                <w:rFonts w:hint="eastAsia" w:ascii="Times New Roman" w:hAnsi="Times New Roman" w:eastAsia="仿宋_GB2312" w:cs="Times New Roman"/>
                <w:color w:val="000000"/>
                <w:sz w:val="24"/>
              </w:rPr>
              <w:t>未参加本区评定程序的人才</w:t>
            </w:r>
            <w:r>
              <w:rPr>
                <w:rFonts w:hint="eastAsia" w:ascii="Times New Roman" w:hAnsi="Times New Roman" w:eastAsia="仿宋_GB2312" w:cs="Times New Roman"/>
                <w:color w:val="000000"/>
                <w:sz w:val="24"/>
                <w:lang w:val="en-US" w:eastAsia="zh-CN"/>
              </w:rPr>
              <w:t>申领南沙人才卡A卡，其本人和所在单位应符合《</w:t>
            </w:r>
            <w:r>
              <w:rPr>
                <w:rFonts w:hint="eastAsia" w:ascii="Times New Roman" w:hAnsi="Times New Roman" w:eastAsia="仿宋_GB2312" w:cs="Times New Roman"/>
                <w:color w:val="000000"/>
                <w:sz w:val="24"/>
              </w:rPr>
              <w:t>广州南沙</w:t>
            </w:r>
            <w:r>
              <w:rPr>
                <w:rFonts w:hint="eastAsia" w:ascii="Times New Roman" w:hAnsi="Times New Roman" w:eastAsia="仿宋_GB2312" w:cs="Times New Roman"/>
                <w:color w:val="000000"/>
                <w:sz w:val="24"/>
                <w:lang w:val="en-US" w:eastAsia="zh-CN"/>
              </w:rPr>
              <w:t>创建</w:t>
            </w:r>
            <w:r>
              <w:rPr>
                <w:rFonts w:hint="eastAsia" w:ascii="Times New Roman" w:hAnsi="Times New Roman" w:eastAsia="仿宋_GB2312" w:cs="Times New Roman"/>
                <w:color w:val="000000"/>
                <w:sz w:val="24"/>
              </w:rPr>
              <w:t>国际化人才特区集聚人才九条措施实施细则（2024年</w:t>
            </w:r>
            <w:r>
              <w:rPr>
                <w:rFonts w:hint="eastAsia" w:ascii="Times New Roman" w:hAnsi="Times New Roman" w:eastAsia="仿宋_GB2312" w:cs="Times New Roman"/>
                <w:color w:val="000000"/>
                <w:sz w:val="24"/>
                <w:lang w:eastAsia="zh-CN"/>
              </w:rPr>
              <w:t>修订</w:t>
            </w:r>
            <w:r>
              <w:rPr>
                <w:rFonts w:hint="eastAsia"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val="en-US" w:eastAsia="zh-CN"/>
              </w:rPr>
              <w:t>》第二条有关规定。2.</w:t>
            </w:r>
            <w:r>
              <w:rPr>
                <w:rFonts w:hint="eastAsia" w:ascii="Times New Roman" w:hAnsi="Times New Roman" w:eastAsia="仿宋_GB2312" w:cs="Times New Roman"/>
                <w:color w:val="000000"/>
                <w:sz w:val="24"/>
              </w:rPr>
              <w:t>机关事业单位（科研机构除外）在编人员、法定机构授薪人员原则上不</w:t>
            </w:r>
            <w:r>
              <w:rPr>
                <w:rFonts w:hint="eastAsia" w:ascii="Times New Roman" w:hAnsi="Times New Roman" w:eastAsia="仿宋_GB2312" w:cs="Times New Roman"/>
                <w:color w:val="000000"/>
                <w:sz w:val="24"/>
                <w:lang w:val="en-US" w:eastAsia="zh-CN"/>
              </w:rPr>
              <w:t>发放南沙人才卡。其中，</w:t>
            </w:r>
            <w:r>
              <w:rPr>
                <w:rFonts w:hint="eastAsia" w:ascii="Times New Roman" w:hAnsi="Times New Roman" w:eastAsia="仿宋_GB2312" w:cs="Times New Roman"/>
                <w:color w:val="000000"/>
                <w:sz w:val="24"/>
              </w:rPr>
              <w:t>教育、卫生高层次人才可申领南沙人才卡A卡，但不享受本细则涉及财政支出的支持政策</w:t>
            </w: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.对于不符合</w:t>
            </w:r>
            <w:r>
              <w:rPr>
                <w:rFonts w:hint="eastAsia" w:ascii="Times New Roman" w:hAnsi="Times New Roman" w:eastAsia="仿宋_GB2312" w:cs="Times New Roman"/>
                <w:color w:val="000000"/>
                <w:sz w:val="24"/>
                <w:lang w:val="en-US" w:eastAsia="zh-CN"/>
              </w:rPr>
              <w:t>相</w:t>
            </w:r>
            <w:r>
              <w:rPr>
                <w:rFonts w:hint="default" w:ascii="Times New Roman" w:hAnsi="Times New Roman" w:eastAsia="仿宋_GB2312" w:cs="Times New Roman"/>
                <w:color w:val="000000"/>
                <w:sz w:val="24"/>
              </w:rPr>
              <w:t>关条件但对本区作出重要贡献的人才，</w:t>
            </w:r>
            <w:r>
              <w:rPr>
                <w:rFonts w:hint="eastAsia" w:ascii="Times New Roman" w:hAnsi="Times New Roman" w:eastAsia="仿宋_GB2312" w:cs="Times New Roman"/>
                <w:color w:val="000000"/>
                <w:sz w:val="24"/>
                <w:lang w:val="en-US" w:eastAsia="zh-CN"/>
              </w:rPr>
              <w:t>经</w:t>
            </w:r>
            <w:r>
              <w:rPr>
                <w:rFonts w:hint="default" w:ascii="Times New Roman" w:hAnsi="Times New Roman" w:eastAsia="仿宋_GB2312" w:cs="Times New Roman"/>
                <w:color w:val="000000"/>
                <w:sz w:val="24"/>
              </w:rPr>
              <w:t>区委人才工作领导小组审定</w:t>
            </w:r>
            <w:r>
              <w:rPr>
                <w:rFonts w:hint="eastAsia" w:ascii="Times New Roman" w:hAnsi="Times New Roman" w:eastAsia="仿宋_GB2312" w:cs="Times New Roman"/>
                <w:color w:val="000000"/>
                <w:sz w:val="24"/>
                <w:lang w:val="en-US" w:eastAsia="zh-CN"/>
              </w:rPr>
              <w:t>可申领</w:t>
            </w:r>
            <w:r>
              <w:rPr>
                <w:rFonts w:hint="default" w:ascii="Times New Roman" w:hAnsi="Times New Roman" w:eastAsia="仿宋_GB2312" w:cs="Times New Roman"/>
                <w:color w:val="000000"/>
                <w:sz w:val="24"/>
              </w:rPr>
              <w:t>南沙人才卡A卡</w:t>
            </w: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val="en-US" w:eastAsia="zh-CN"/>
              </w:rPr>
              <w:t>经</w:t>
            </w:r>
            <w:r>
              <w:rPr>
                <w:rFonts w:hint="default" w:ascii="Times New Roman" w:hAnsi="Times New Roman" w:eastAsia="仿宋_GB2312" w:cs="Times New Roman"/>
                <w:color w:val="000000"/>
                <w:sz w:val="24"/>
              </w:rPr>
              <w:t>区委人才工作领导小组</w:t>
            </w:r>
            <w:r>
              <w:rPr>
                <w:rFonts w:hint="eastAsia" w:ascii="Times New Roman" w:hAnsi="Times New Roman" w:eastAsia="仿宋_GB2312" w:cs="Times New Roman"/>
                <w:color w:val="000000"/>
                <w:sz w:val="24"/>
                <w:lang w:val="en-US" w:eastAsia="zh-CN"/>
              </w:rPr>
              <w:t>办公室</w:t>
            </w:r>
            <w:r>
              <w:rPr>
                <w:rFonts w:hint="default" w:ascii="Times New Roman" w:hAnsi="Times New Roman" w:eastAsia="仿宋_GB2312" w:cs="Times New Roman"/>
                <w:color w:val="000000"/>
                <w:sz w:val="24"/>
              </w:rPr>
              <w:t>审定</w:t>
            </w:r>
            <w:r>
              <w:rPr>
                <w:rFonts w:hint="eastAsia" w:ascii="Times New Roman" w:hAnsi="Times New Roman" w:eastAsia="仿宋_GB2312" w:cs="Times New Roman"/>
                <w:color w:val="000000"/>
                <w:sz w:val="24"/>
                <w:lang w:val="en-US" w:eastAsia="zh-CN"/>
              </w:rPr>
              <w:t>可申领</w:t>
            </w:r>
            <w:r>
              <w:rPr>
                <w:rFonts w:hint="default" w:ascii="Times New Roman" w:hAnsi="Times New Roman" w:eastAsia="仿宋_GB2312" w:cs="Times New Roman"/>
                <w:color w:val="000000"/>
                <w:sz w:val="24"/>
              </w:rPr>
              <w:t>南沙人才卡B卡。</w:t>
            </w:r>
            <w:bookmarkEnd w:id="0"/>
          </w:p>
        </w:tc>
      </w:tr>
    </w:tbl>
    <w:p>
      <w:pPr>
        <w:keepNext w:val="0"/>
        <w:keepLines w:val="0"/>
        <w:pageBreakBefore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trike w:val="0"/>
          <w:color w:val="auto"/>
          <w:sz w:val="32"/>
          <w:szCs w:val="32"/>
          <w:highlight w:val="none"/>
          <w:u w:val="none" w:color="auto"/>
          <w:lang w:val="en-US" w:eastAsia="zh-CN"/>
        </w:rPr>
      </w:pPr>
      <w:r>
        <w:rPr>
          <w:rFonts w:hint="eastAsia" w:ascii="黑体" w:hAnsi="黑体" w:eastAsia="黑体" w:cs="黑体"/>
          <w:strike w:val="0"/>
          <w:color w:val="auto"/>
          <w:sz w:val="32"/>
          <w:szCs w:val="32"/>
          <w:highlight w:val="none"/>
          <w:u w:val="none" w:color="auto"/>
          <w:lang w:val="en-US" w:eastAsia="zh-CN"/>
        </w:rPr>
        <w:t>四、持卡待遇</w:t>
      </w:r>
    </w:p>
    <w:p>
      <w:pPr>
        <w:keepNext w:val="0"/>
        <w:keepLines w:val="0"/>
        <w:pageBreakBefore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根据持卡类型享受子女教育、人才安居、健康医疗等专属服务，具体以最新发布的《广州南沙人才卡服务清单（2024年修订）》为准。</w:t>
      </w:r>
    </w:p>
    <w:p>
      <w:pPr>
        <w:keepNext w:val="0"/>
        <w:keepLines w:val="0"/>
        <w:pageBreakBefore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trike w:val="0"/>
          <w:color w:val="auto"/>
          <w:sz w:val="32"/>
          <w:szCs w:val="32"/>
          <w:highlight w:val="none"/>
          <w:u w:val="none" w:color="auto"/>
          <w:lang w:val="en-US" w:eastAsia="zh-CN"/>
        </w:rPr>
      </w:pPr>
      <w:r>
        <w:rPr>
          <w:rFonts w:hint="eastAsia" w:ascii="黑体" w:hAnsi="黑体" w:eastAsia="黑体" w:cs="黑体"/>
          <w:strike w:val="0"/>
          <w:color w:val="auto"/>
          <w:sz w:val="32"/>
          <w:szCs w:val="32"/>
          <w:highlight w:val="none"/>
          <w:u w:val="none" w:color="auto"/>
          <w:lang w:val="en-US" w:eastAsia="zh-CN"/>
        </w:rPr>
        <w:t>五、申请材料</w:t>
      </w:r>
    </w:p>
    <w:p>
      <w:pPr>
        <w:widowControl/>
        <w:bidi w:val="0"/>
        <w:spacing w:line="580" w:lineRule="exact"/>
        <w:ind w:firstLine="640" w:firstLineChars="200"/>
        <w:jc w:val="left"/>
        <w:rPr>
          <w:rFonts w:hint="eastAsia"/>
          <w:lang w:val="en-US" w:eastAsia="zh-CN"/>
        </w:rPr>
      </w:pPr>
      <w:r>
        <w:rPr>
          <w:rFonts w:hint="eastAsia" w:ascii="仿宋_GB2312" w:hAnsi="仿宋_GB2312" w:eastAsia="仿宋_GB2312" w:cs="仿宋_GB2312"/>
          <w:color w:val="auto"/>
          <w:kern w:val="0"/>
          <w:sz w:val="32"/>
          <w:szCs w:val="32"/>
          <w:lang w:val="en-US" w:eastAsia="zh-CN"/>
        </w:rPr>
        <w:t>资格认定材料（</w:t>
      </w:r>
      <w:r>
        <w:rPr>
          <w:rFonts w:hint="eastAsia" w:ascii="仿宋_GB2312" w:hAnsi="微软雅黑" w:eastAsia="仿宋_GB2312" w:cs="宋体"/>
          <w:color w:val="auto"/>
          <w:kern w:val="0"/>
          <w:sz w:val="32"/>
          <w:szCs w:val="32"/>
          <w:lang w:val="en-US" w:eastAsia="zh-CN"/>
        </w:rPr>
        <w:t>原色照片或扫描件</w:t>
      </w:r>
      <w:r>
        <w:rPr>
          <w:rFonts w:hint="eastAsia" w:ascii="仿宋_GB2312" w:hAnsi="仿宋_GB2312" w:eastAsia="仿宋_GB2312" w:cs="仿宋_GB2312"/>
          <w:color w:val="auto"/>
          <w:kern w:val="0"/>
          <w:sz w:val="32"/>
          <w:szCs w:val="32"/>
          <w:lang w:val="en-US" w:eastAsia="zh-CN"/>
        </w:rPr>
        <w:t>）。</w:t>
      </w:r>
      <w:r>
        <w:rPr>
          <w:rFonts w:hint="eastAsia" w:ascii="仿宋_GB2312" w:hAnsi="微软雅黑" w:eastAsia="仿宋_GB2312" w:cs="宋体"/>
          <w:color w:val="auto"/>
          <w:kern w:val="0"/>
          <w:sz w:val="32"/>
          <w:szCs w:val="32"/>
          <w:lang w:val="en-US" w:eastAsia="zh-CN"/>
        </w:rPr>
        <w:t>人才资格认定材料详见下表：</w:t>
      </w:r>
    </w:p>
    <w:tbl>
      <w:tblPr>
        <w:tblStyle w:val="9"/>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8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4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人才类型</w:t>
            </w:r>
          </w:p>
        </w:tc>
        <w:tc>
          <w:tcPr>
            <w:tcW w:w="45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资格认定材料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6" w:hRule="atLeast"/>
          <w:jc w:val="center"/>
        </w:trPr>
        <w:tc>
          <w:tcPr>
            <w:tcW w:w="4586" w:type="dxa"/>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国家、广东省、广州市重大人才项目入选者；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本区评定的高层次人才；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获得本区100万元奖励的国际知名高校博士和海外专业人才；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高管人才及骨干人才。</w:t>
            </w:r>
          </w:p>
        </w:tc>
        <w:tc>
          <w:tcPr>
            <w:tcW w:w="451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5" w:hRule="atLeast"/>
          <w:jc w:val="center"/>
        </w:trPr>
        <w:tc>
          <w:tcPr>
            <w:tcW w:w="4586" w:type="dxa"/>
            <w:shd w:val="clear" w:color="auto" w:fill="auto"/>
            <w:noWrap/>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bookmarkStart w:id="1" w:name="OLE_LINK6"/>
            <w:bookmarkStart w:id="2" w:name="OLE_LINK1"/>
            <w:r>
              <w:rPr>
                <w:rFonts w:hint="eastAsia" w:ascii="仿宋_GB2312" w:hAnsi="宋体" w:eastAsia="仿宋_GB2312" w:cs="仿宋_GB2312"/>
                <w:i w:val="0"/>
                <w:iCs w:val="0"/>
                <w:color w:val="000000"/>
                <w:kern w:val="0"/>
                <w:sz w:val="28"/>
                <w:szCs w:val="28"/>
                <w:u w:val="none"/>
                <w:lang w:val="en-US" w:eastAsia="zh-CN" w:bidi="ar"/>
              </w:rPr>
              <w:t>广东省人才优粤卡持卡人；</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持有南沙区外国人工作许可证A类或B类人员；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具有博士、硕士、学士学位或大专学历的人才；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20" w:lineRule="exact"/>
              <w:jc w:val="left"/>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具有副高级以上、中级或初级职称的人才；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20" w:lineRule="exact"/>
              <w:jc w:val="left"/>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具有特级技师、高级技师、技师或高级工技能等级的人才。</w:t>
            </w:r>
            <w:bookmarkEnd w:id="1"/>
            <w:bookmarkEnd w:id="2"/>
          </w:p>
        </w:tc>
        <w:tc>
          <w:tcPr>
            <w:tcW w:w="4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1.广东省人才优粤卡；</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2.外国人工作许可证；</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3.学位（学历）证书；</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4.专业技术资格证书（职称证书）、国家职业资格证书（专业技术人员职业资格）；</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bookmarkStart w:id="3" w:name="OLE_LINK4"/>
            <w:r>
              <w:rPr>
                <w:rFonts w:hint="eastAsia" w:ascii="仿宋_GB2312" w:hAnsi="宋体" w:eastAsia="仿宋_GB2312" w:cs="仿宋_GB2312"/>
                <w:i w:val="0"/>
                <w:iCs w:val="0"/>
                <w:color w:val="000000"/>
                <w:kern w:val="0"/>
                <w:sz w:val="28"/>
                <w:szCs w:val="28"/>
                <w:u w:val="none"/>
                <w:lang w:val="en-US" w:eastAsia="zh-CN" w:bidi="ar"/>
              </w:rPr>
              <w:t>技能职业资格</w:t>
            </w:r>
            <w:bookmarkEnd w:id="3"/>
            <w:r>
              <w:rPr>
                <w:rFonts w:hint="eastAsia" w:ascii="仿宋_GB2312" w:hAnsi="宋体" w:eastAsia="仿宋_GB2312" w:cs="仿宋_GB2312"/>
                <w:i w:val="0"/>
                <w:iCs w:val="0"/>
                <w:color w:val="000000"/>
                <w:kern w:val="0"/>
                <w:sz w:val="28"/>
                <w:szCs w:val="28"/>
                <w:u w:val="none"/>
                <w:lang w:val="en-US" w:eastAsia="zh-CN" w:bidi="ar"/>
              </w:rPr>
              <w:t>（等级）证书。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8" w:hRule="atLeast"/>
          <w:jc w:val="center"/>
        </w:trPr>
        <w:tc>
          <w:tcPr>
            <w:tcW w:w="4586" w:type="dxa"/>
            <w:shd w:val="clear" w:color="auto" w:fill="auto"/>
            <w:noWrap/>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未参加本区城镇职工社会保险的中央、省属、市属驻区单位人员以及境外人员。</w:t>
            </w:r>
          </w:p>
        </w:tc>
        <w:tc>
          <w:tcPr>
            <w:tcW w:w="4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103"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说明：学位（学历）、专业技术（人员职业）资格、职业技能资格等证书须可通过学信网、全国专业技术人员职业资格证书查询验证系统、广东省专业技术人才职称管理系统、技能人才评价证书全国联网查询系统等公开官方权威平台进行验证。属于单位自主评审职称或无法通过公开查询渠道查验职称证书的，须提供相关职称评审表及人社部授权书。学历、学位证书无法通过学信网查验的，须提供教育部门出具的认证报告。</w:t>
            </w:r>
            <w:r>
              <w:rPr>
                <w:rFonts w:hint="default" w:ascii="Times New Roman" w:hAnsi="Times New Roman" w:eastAsia="仿宋_GB2312" w:cs="Times New Roman"/>
                <w:color w:val="000000"/>
                <w:sz w:val="24"/>
                <w:lang w:val="en-US" w:eastAsia="zh-CN"/>
              </w:rPr>
              <w:t>4.职业技能人才应持有国家职业资格证书</w:t>
            </w:r>
            <w:bookmarkStart w:id="6" w:name="_GoBack"/>
            <w:bookmarkEnd w:id="6"/>
            <w:r>
              <w:rPr>
                <w:rFonts w:hint="default" w:ascii="Times New Roman" w:hAnsi="Times New Roman" w:eastAsia="仿宋_GB2312" w:cs="Times New Roman"/>
                <w:color w:val="000000"/>
                <w:sz w:val="24"/>
                <w:lang w:val="en-US" w:eastAsia="zh-CN"/>
              </w:rPr>
              <w:t>（国家授权的行业主管部门核发）或国家技能等级证书（广东省人力资源社会保障部门公布备案的社会培训评价组织核发）。</w:t>
            </w:r>
          </w:p>
        </w:tc>
      </w:tr>
    </w:tbl>
    <w:p>
      <w:pPr>
        <w:pageBreakBefore w:val="0"/>
        <w:widowControl/>
        <w:kinsoku/>
        <w:wordWrap/>
        <w:overflowPunct/>
        <w:topLinePunct w:val="0"/>
        <w:autoSpaceDE/>
        <w:autoSpaceDN/>
        <w:bidi w:val="0"/>
        <w:spacing w:line="580" w:lineRule="exact"/>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六、申请审核流程</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bookmarkStart w:id="4" w:name="OLE_LINK5"/>
      <w:bookmarkStart w:id="5" w:name="OLE_LINK3"/>
      <w:r>
        <w:rPr>
          <w:rFonts w:hint="eastAsia" w:ascii="仿宋_GB2312" w:hAnsi="微软雅黑" w:eastAsia="仿宋_GB2312" w:cs="宋体"/>
          <w:color w:val="auto"/>
          <w:kern w:val="0"/>
          <w:sz w:val="32"/>
          <w:szCs w:val="32"/>
          <w:lang w:val="en-US" w:eastAsia="zh-CN"/>
        </w:rPr>
        <w:t>（一）申请人注册并登录穗好办APP。</w:t>
      </w:r>
    </w:p>
    <w:p>
      <w:pPr>
        <w:pageBreakBefore w:val="0"/>
        <w:widowControl/>
        <w:kinsoku/>
        <w:wordWrap/>
        <w:overflowPunct/>
        <w:topLinePunct w:val="0"/>
        <w:autoSpaceDE/>
        <w:autoSpaceDN/>
        <w:bidi w:val="0"/>
        <w:spacing w:line="580" w:lineRule="exact"/>
        <w:ind w:firstLine="640" w:firstLineChars="200"/>
        <w:jc w:val="left"/>
        <w:textAlignment w:val="auto"/>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（二）点击“南沙专区”-“南沙人才卡”填报个人信息并上传申请材料。</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（三）区政务中心受理。</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（四）区人社部门审核，通过后即可生成南沙人才卡虚拟卡。其中，未参加本区评定程序的人才申领南沙人才卡A卡，由区委人才工作领导小组办公室会相关部门审定。</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（五）合作银行联系申领人发放联名实体卡，并提供金融、商务服务。</w:t>
      </w:r>
      <w:bookmarkEnd w:id="4"/>
    </w:p>
    <w:bookmarkEnd w:id="5"/>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宋体" w:eastAsia="仿宋_GB2312" w:cs="仿宋_GB2312"/>
          <w:color w:val="000000"/>
          <w:kern w:val="0"/>
          <w:sz w:val="31"/>
          <w:szCs w:val="31"/>
          <w:lang w:val="en-US" w:eastAsia="zh-CN" w:bidi="ar"/>
        </w:rPr>
        <w:t>（一）提供虚假申请材料的，将取消其持卡资格；责任单位将定期对持卡人资格及是否继续在本区工作等情况进行审核，对于不符合相关条件的将取消其持卡资格。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对已按照《广州南沙新区(自贸片区)集聚人才创新发展若干措施》评定的高端领军人才发放A卡，对已申领B卡的高端领军人才统一更换A卡；已申领B卡的其他类型人才无需更换实体卡，南沙人才卡管理平台将统一更换虚拟卡持卡类型标识。</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rPr>
        <w:t>、业务咨询电话</w:t>
      </w:r>
    </w:p>
    <w:p>
      <w:pPr>
        <w:pageBreakBefore w:val="0"/>
        <w:widowControl/>
        <w:kinsoku/>
        <w:wordWrap/>
        <w:overflowPunct/>
        <w:topLinePunct w:val="0"/>
        <w:autoSpaceDE/>
        <w:autoSpaceDN/>
        <w:bidi w:val="0"/>
        <w:spacing w:line="580" w:lineRule="exact"/>
        <w:ind w:left="640" w:hanging="640" w:hangingChars="200"/>
        <w:jc w:val="left"/>
        <w:textAlignment w:val="auto"/>
        <w:rPr>
          <w:rFonts w:hint="default" w:ascii="仿宋_GB2312" w:hAnsi="微软雅黑" w:eastAsia="仿宋_GB2312" w:cs="宋体"/>
          <w:b w:val="0"/>
          <w:bCs w:val="0"/>
          <w:color w:val="auto"/>
          <w:kern w:val="0"/>
          <w:sz w:val="32"/>
          <w:szCs w:val="32"/>
          <w:lang w:val="en-US"/>
        </w:rPr>
      </w:pPr>
      <w:r>
        <w:rPr>
          <w:rFonts w:hint="eastAsia" w:ascii="仿宋_GB2312" w:hAnsi="微软雅黑" w:eastAsia="仿宋_GB2312" w:cs="宋体"/>
          <w:b w:val="0"/>
          <w:bCs w:val="0"/>
          <w:color w:val="auto"/>
          <w:kern w:val="0"/>
          <w:sz w:val="32"/>
          <w:szCs w:val="32"/>
        </w:rPr>
        <w:t xml:space="preserve">    业务咨询部门：</w:t>
      </w:r>
      <w:r>
        <w:rPr>
          <w:rFonts w:hint="eastAsia" w:ascii="仿宋_GB2312" w:hAnsi="微软雅黑" w:eastAsia="仿宋_GB2312" w:cs="宋体"/>
          <w:b w:val="0"/>
          <w:bCs w:val="0"/>
          <w:color w:val="auto"/>
          <w:kern w:val="0"/>
          <w:sz w:val="32"/>
          <w:szCs w:val="32"/>
          <w:lang w:val="en-US" w:eastAsia="zh-CN"/>
        </w:rPr>
        <w:t>广州市南沙区人力资源和社会保障局</w:t>
      </w:r>
      <w:r>
        <w:rPr>
          <w:rFonts w:hint="eastAsia" w:ascii="仿宋_GB2312" w:hAnsi="微软雅黑" w:eastAsia="仿宋_GB2312" w:cs="宋体"/>
          <w:b w:val="0"/>
          <w:bCs w:val="0"/>
          <w:color w:val="auto"/>
          <w:kern w:val="0"/>
          <w:sz w:val="32"/>
          <w:szCs w:val="32"/>
        </w:rPr>
        <w:t xml:space="preserve">    联系电话：</w:t>
      </w:r>
      <w:r>
        <w:rPr>
          <w:rFonts w:hint="eastAsia" w:ascii="仿宋_GB2312" w:hAnsi="仿宋_GB2312" w:eastAsia="仿宋_GB2312" w:cs="仿宋_GB2312"/>
          <w:b w:val="0"/>
          <w:bCs w:val="0"/>
          <w:color w:val="auto"/>
          <w:kern w:val="0"/>
          <w:sz w:val="32"/>
          <w:szCs w:val="32"/>
          <w:lang w:bidi="ar"/>
        </w:rPr>
        <w:t>020-</w:t>
      </w:r>
      <w:r>
        <w:rPr>
          <w:rFonts w:hint="eastAsia" w:ascii="仿宋_GB2312" w:hAnsi="仿宋_GB2312" w:eastAsia="仿宋_GB2312" w:cs="仿宋_GB2312"/>
          <w:b w:val="0"/>
          <w:bCs w:val="0"/>
          <w:color w:val="auto"/>
          <w:kern w:val="0"/>
          <w:sz w:val="32"/>
          <w:szCs w:val="32"/>
          <w:lang w:val="en-US" w:eastAsia="zh-CN" w:bidi="ar"/>
        </w:rPr>
        <w:t>34689084</w:t>
      </w:r>
    </w:p>
    <w:p>
      <w:pPr>
        <w:bidi w:val="0"/>
        <w:rPr>
          <w:rFonts w:hint="eastAsia"/>
          <w:sz w:val="32"/>
          <w:szCs w:val="32"/>
        </w:rPr>
      </w:pPr>
    </w:p>
    <w:p>
      <w:pPr>
        <w:bidi w:val="0"/>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F4BC5"/>
    <w:multiLevelType w:val="singleLevel"/>
    <w:tmpl w:val="A5AF4BC5"/>
    <w:lvl w:ilvl="0" w:tentative="0">
      <w:start w:val="1"/>
      <w:numFmt w:val="decimal"/>
      <w:lvlText w:val="%1."/>
      <w:lvlJc w:val="left"/>
      <w:pPr>
        <w:tabs>
          <w:tab w:val="left" w:pos="312"/>
        </w:tabs>
      </w:pPr>
    </w:lvl>
  </w:abstractNum>
  <w:abstractNum w:abstractNumId="1">
    <w:nsid w:val="E667AA50"/>
    <w:multiLevelType w:val="singleLevel"/>
    <w:tmpl w:val="E667AA5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ODAwZmNlMzU4ZDY4NWFmNGMzMjRjN2ZmN2IxZGIifQ=="/>
  </w:docVars>
  <w:rsids>
    <w:rsidRoot w:val="00172A27"/>
    <w:rsid w:val="00867757"/>
    <w:rsid w:val="00950F84"/>
    <w:rsid w:val="01C219F7"/>
    <w:rsid w:val="049D702F"/>
    <w:rsid w:val="05C26ED9"/>
    <w:rsid w:val="08251EBB"/>
    <w:rsid w:val="0C370E4F"/>
    <w:rsid w:val="1065771A"/>
    <w:rsid w:val="133D7572"/>
    <w:rsid w:val="143306C3"/>
    <w:rsid w:val="15A96BAD"/>
    <w:rsid w:val="18FD1178"/>
    <w:rsid w:val="19FF3345"/>
    <w:rsid w:val="1FD0624F"/>
    <w:rsid w:val="24945442"/>
    <w:rsid w:val="26B37AD8"/>
    <w:rsid w:val="2D0C2498"/>
    <w:rsid w:val="2D355E3C"/>
    <w:rsid w:val="2D3D715C"/>
    <w:rsid w:val="333C4FE6"/>
    <w:rsid w:val="349B028A"/>
    <w:rsid w:val="35A143E1"/>
    <w:rsid w:val="35D03558"/>
    <w:rsid w:val="36880925"/>
    <w:rsid w:val="36940D18"/>
    <w:rsid w:val="36DE4782"/>
    <w:rsid w:val="375432BD"/>
    <w:rsid w:val="38E96573"/>
    <w:rsid w:val="3ABF69C9"/>
    <w:rsid w:val="3B351FFD"/>
    <w:rsid w:val="3D1E2E07"/>
    <w:rsid w:val="404F648A"/>
    <w:rsid w:val="4333113A"/>
    <w:rsid w:val="46A864BB"/>
    <w:rsid w:val="49793828"/>
    <w:rsid w:val="4CF17B79"/>
    <w:rsid w:val="4D317F76"/>
    <w:rsid w:val="4D36000E"/>
    <w:rsid w:val="541A0886"/>
    <w:rsid w:val="544A49D8"/>
    <w:rsid w:val="546404F2"/>
    <w:rsid w:val="56D66486"/>
    <w:rsid w:val="58CC781F"/>
    <w:rsid w:val="5B6669C4"/>
    <w:rsid w:val="5D2466DF"/>
    <w:rsid w:val="61CC3DB2"/>
    <w:rsid w:val="67791D59"/>
    <w:rsid w:val="68AD677E"/>
    <w:rsid w:val="69B42DE4"/>
    <w:rsid w:val="6E4F2D4A"/>
    <w:rsid w:val="76FA4E27"/>
    <w:rsid w:val="7A643ED4"/>
    <w:rsid w:val="7BBE45F0"/>
    <w:rsid w:val="7D451E3B"/>
    <w:rsid w:val="7D9E02EB"/>
    <w:rsid w:val="7DE71E3D"/>
    <w:rsid w:val="7EFE4F65"/>
    <w:rsid w:val="F7CDD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Cambria" w:hAnsi="Cambria" w:eastAsia="宋体" w:cs="Times New Roman"/>
      <w:kern w:val="0"/>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8">
    <w:name w:val="Title"/>
    <w:basedOn w:val="1"/>
    <w:next w:val="1"/>
    <w:qFormat/>
    <w:uiPriority w:val="0"/>
    <w:pPr>
      <w:spacing w:before="240" w:beforeLines="0" w:after="60" w:afterLines="0"/>
      <w:jc w:val="center"/>
      <w:outlineLvl w:val="0"/>
    </w:pPr>
    <w:rPr>
      <w:rFonts w:ascii="Cambria" w:hAnsi="Cambria" w:eastAsia="宋体" w:cs="黑体"/>
      <w:b/>
      <w:bCs/>
      <w:sz w:val="32"/>
      <w:szCs w:val="32"/>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p18"/>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6">
    <w:name w:val="font51"/>
    <w:basedOn w:val="11"/>
    <w:qFormat/>
    <w:uiPriority w:val="0"/>
    <w:rPr>
      <w:rFonts w:hint="default" w:ascii="Times New Roman" w:hAnsi="Times New Roman" w:cs="Times New Roman"/>
      <w:color w:val="000000"/>
      <w:sz w:val="28"/>
      <w:szCs w:val="28"/>
      <w:u w:val="none"/>
    </w:rPr>
  </w:style>
  <w:style w:type="paragraph" w:customStyle="1" w:styleId="17">
    <w:name w:val="Char Char Char Char"/>
    <w:basedOn w:val="1"/>
    <w:qFormat/>
    <w:uiPriority w:val="0"/>
    <w:rPr>
      <w:rFonts w:ascii="Tahoma" w:hAnsi="Tahoma"/>
      <w:sz w:val="24"/>
      <w:szCs w:val="20"/>
    </w:rPr>
  </w:style>
  <w:style w:type="character" w:customStyle="1" w:styleId="18">
    <w:name w:val="font01"/>
    <w:basedOn w:val="1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1960</Words>
  <Characters>2010</Characters>
  <Lines>0</Lines>
  <Paragraphs>0</Paragraphs>
  <TotalTime>0</TotalTime>
  <ScaleCrop>false</ScaleCrop>
  <LinksUpToDate>false</LinksUpToDate>
  <CharactersWithSpaces>2025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2023-05-30T17:15:00Z</dcterms:created>
  <dc:creator>RZ</dc:creator>
  <cp:lastModifiedBy>ZZ</cp:lastModifiedBy>
  <cp:lastPrinted>2024-12-11T08:15:00Z</cp:lastPrinted>
  <dcterms:modified xsi:type="dcterms:W3CDTF">2024-12-13T07:05:55Z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454F7DA354FC451793BA02527E942A29</vt:lpwstr>
  </property>
</Properties>
</file>