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A4212">
      <w:pPr>
        <w:pStyle w:val="2"/>
        <w:spacing w:line="251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附件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8</w:t>
      </w:r>
    </w:p>
    <w:p w14:paraId="149FD09C">
      <w:pPr>
        <w:pStyle w:val="2"/>
        <w:spacing w:line="251" w:lineRule="auto"/>
      </w:pPr>
    </w:p>
    <w:p w14:paraId="6F413F01">
      <w:pPr>
        <w:pStyle w:val="2"/>
        <w:spacing w:line="251" w:lineRule="auto"/>
      </w:pPr>
    </w:p>
    <w:p w14:paraId="6861564F">
      <w:pPr>
        <w:pStyle w:val="2"/>
        <w:spacing w:line="251" w:lineRule="auto"/>
      </w:pPr>
    </w:p>
    <w:p w14:paraId="6419E50A">
      <w:pPr>
        <w:pStyle w:val="2"/>
        <w:spacing w:line="251" w:lineRule="auto"/>
      </w:pPr>
    </w:p>
    <w:p w14:paraId="7D45E9AE">
      <w:pPr>
        <w:pStyle w:val="2"/>
        <w:spacing w:line="252" w:lineRule="auto"/>
      </w:pPr>
    </w:p>
    <w:p w14:paraId="6854D4B4">
      <w:pPr>
        <w:pStyle w:val="2"/>
        <w:spacing w:line="252" w:lineRule="auto"/>
      </w:pPr>
    </w:p>
    <w:p w14:paraId="4630FFE2">
      <w:pPr>
        <w:pStyle w:val="2"/>
        <w:spacing w:line="252" w:lineRule="auto"/>
      </w:pPr>
    </w:p>
    <w:p w14:paraId="6F646DED">
      <w:pPr>
        <w:pStyle w:val="2"/>
        <w:spacing w:line="252" w:lineRule="auto"/>
      </w:pPr>
    </w:p>
    <w:p w14:paraId="42D171DB">
      <w:pPr>
        <w:pStyle w:val="2"/>
        <w:spacing w:line="252" w:lineRule="auto"/>
      </w:pPr>
    </w:p>
    <w:p w14:paraId="4477DDEB">
      <w:pPr>
        <w:pStyle w:val="2"/>
        <w:spacing w:line="252" w:lineRule="auto"/>
      </w:pPr>
    </w:p>
    <w:p w14:paraId="474505B0">
      <w:pPr>
        <w:pStyle w:val="2"/>
        <w:spacing w:line="252" w:lineRule="auto"/>
      </w:pPr>
    </w:p>
    <w:p w14:paraId="04A2BA3F">
      <w:pPr>
        <w:pStyle w:val="2"/>
        <w:spacing w:line="252" w:lineRule="auto"/>
      </w:pPr>
    </w:p>
    <w:p w14:paraId="0541AE09">
      <w:pPr>
        <w:pStyle w:val="2"/>
        <w:spacing w:line="252" w:lineRule="auto"/>
      </w:pPr>
    </w:p>
    <w:p w14:paraId="418E88A6">
      <w:pPr>
        <w:pStyle w:val="2"/>
        <w:spacing w:line="252" w:lineRule="auto"/>
      </w:pPr>
    </w:p>
    <w:p w14:paraId="098FAC98">
      <w:pPr>
        <w:pStyle w:val="2"/>
        <w:spacing w:line="252" w:lineRule="auto"/>
      </w:pPr>
    </w:p>
    <w:p w14:paraId="2773BC21">
      <w:pPr>
        <w:pStyle w:val="2"/>
        <w:spacing w:line="252" w:lineRule="auto"/>
      </w:pPr>
    </w:p>
    <w:p w14:paraId="7BDEE4AA">
      <w:pPr>
        <w:pStyle w:val="2"/>
        <w:spacing w:line="252" w:lineRule="auto"/>
      </w:pPr>
    </w:p>
    <w:p w14:paraId="481706F5">
      <w:pPr>
        <w:spacing w:before="167" w:line="208" w:lineRule="auto"/>
        <w:ind w:left="1369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广州南沙创建国际化人才特区</w:t>
      </w:r>
    </w:p>
    <w:p w14:paraId="1D727418">
      <w:pPr>
        <w:spacing w:before="56" w:line="230" w:lineRule="auto"/>
        <w:ind w:left="1593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  <w:t>集聚人才九条措施实施细则</w:t>
      </w:r>
    </w:p>
    <w:p w14:paraId="70222DD4">
      <w:pPr>
        <w:spacing w:before="109" w:line="221" w:lineRule="auto"/>
        <w:ind w:left="2908"/>
        <w:outlineLvl w:val="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2024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年修订稿）</w:t>
      </w:r>
    </w:p>
    <w:p w14:paraId="382A137E">
      <w:pPr>
        <w:spacing w:line="221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5" w:type="default"/>
          <w:pgSz w:w="11906" w:h="16839"/>
          <w:pgMar w:top="1431" w:right="1758" w:bottom="1730" w:left="1785" w:header="0" w:footer="1465" w:gutter="0"/>
          <w:cols w:space="720" w:num="1"/>
        </w:sectPr>
      </w:pPr>
    </w:p>
    <w:p w14:paraId="19057CE0">
      <w:pPr>
        <w:pStyle w:val="2"/>
        <w:spacing w:line="241" w:lineRule="auto"/>
        <w:jc w:val="center"/>
        <w:rPr>
          <w:rFonts w:ascii="黑体" w:hAnsi="黑体" w:eastAsia="黑体" w:cs="黑体"/>
          <w:sz w:val="31"/>
          <w:szCs w:val="31"/>
        </w:rPr>
      </w:pPr>
      <w:sdt>
        <w:sdtPr>
          <w:rPr>
            <w:rFonts w:ascii="黑体" w:hAnsi="黑体" w:eastAsia="黑体" w:cs="黑体"/>
            <w:sz w:val="28"/>
            <w:szCs w:val="28"/>
          </w:rPr>
          <w:id w:val="147472449"/>
          <w:docPartObj>
            <w:docPartGallery w:val="Table of Contents"/>
            <w:docPartUnique/>
          </w:docPartObj>
        </w:sdtPr>
        <w:sdtEndPr>
          <w:rPr>
            <w:rFonts w:ascii="Times New Roman" w:hAnsi="Times New Roman" w:eastAsia="Times New Roman" w:cs="Times New Roman"/>
            <w:sz w:val="28"/>
            <w:szCs w:val="28"/>
          </w:rPr>
        </w:sdtEndPr>
        <w:sdtContent>
          <w:bookmarkStart w:id="0" w:name="bookmark2"/>
          <w:bookmarkEnd w:id="0"/>
          <w:bookmarkStart w:id="1" w:name="bookmark3"/>
          <w:bookmarkEnd w:id="1"/>
        </w:sdtContent>
      </w:sdt>
      <w:r>
        <w:rPr>
          <w:rFonts w:ascii="黑体" w:hAnsi="黑体" w:eastAsia="黑体" w:cs="黑体"/>
          <w:spacing w:val="1"/>
          <w:position w:val="1"/>
          <w:sz w:val="31"/>
          <w:szCs w:val="31"/>
        </w:rPr>
        <w:t>第一章</w:t>
      </w:r>
      <w:r>
        <w:rPr>
          <w:rFonts w:ascii="黑体" w:hAnsi="黑体" w:eastAsia="黑体" w:cs="黑体"/>
          <w:spacing w:val="31"/>
          <w:position w:val="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"/>
          <w:position w:val="1"/>
          <w:sz w:val="31"/>
          <w:szCs w:val="31"/>
        </w:rPr>
        <w:t>总则</w:t>
      </w:r>
    </w:p>
    <w:p w14:paraId="372F346D">
      <w:pPr>
        <w:spacing w:before="150"/>
        <w:ind w:left="650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11"/>
          <w:sz w:val="31"/>
          <w:szCs w:val="31"/>
        </w:rPr>
        <w:t xml:space="preserve">第一条 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【制定目的】为落实《广州南沙新区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创建国际化人</w:t>
      </w:r>
    </w:p>
    <w:p w14:paraId="50F1B60B">
      <w:pPr>
        <w:spacing w:before="165" w:line="318" w:lineRule="auto"/>
        <w:ind w:left="7" w:firstLine="5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才特区实施方案》《广州南沙创建国际化人才特区集聚人才九条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措施（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2024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年修订稿）》等文件，结合本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区实际，制定本细则。</w:t>
      </w:r>
    </w:p>
    <w:p w14:paraId="0BCC0BDA">
      <w:pPr>
        <w:spacing w:before="42" w:line="241" w:lineRule="auto"/>
        <w:ind w:left="650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11"/>
          <w:sz w:val="31"/>
          <w:szCs w:val="31"/>
        </w:rPr>
        <w:t xml:space="preserve">第二条 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【适用范围】本细则适用于广州南沙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行政区域范围</w:t>
      </w:r>
    </w:p>
    <w:p w14:paraId="11F9AB6D">
      <w:pPr>
        <w:spacing w:before="167" w:line="218" w:lineRule="auto"/>
        <w:jc w:val="right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4"/>
          <w:sz w:val="31"/>
          <w:szCs w:val="31"/>
        </w:rPr>
        <w:t>内（以下简称“本区”）的用人单位及在该单位工作的各类人才。</w:t>
      </w:r>
    </w:p>
    <w:p w14:paraId="785828A3">
      <w:pPr>
        <w:spacing w:before="196" w:line="317" w:lineRule="auto"/>
        <w:ind w:right="89" w:firstLine="63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（一）单位条件。本细则所指用人单位的统计关系应在本区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 xml:space="preserve"> （区行业主管部门审核推荐的专业服务机构除外</w:t>
      </w:r>
      <w:r>
        <w:rPr>
          <w:rFonts w:ascii="FangSong_GB2312" w:hAnsi="FangSong_GB2312" w:eastAsia="FangSong_GB2312" w:cs="FangSong_GB2312"/>
          <w:spacing w:val="-37"/>
          <w:sz w:val="31"/>
          <w:szCs w:val="31"/>
        </w:rPr>
        <w:t>），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且在本区实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际办公（经营场地面积按不低于单位在本区缴纳社会保险员工人</w:t>
      </w:r>
      <w:r>
        <w:rPr>
          <w:rFonts w:ascii="FangSong_GB2312" w:hAnsi="FangSong_GB2312" w:eastAsia="FangSong_GB2312" w:cs="FangSong_GB2312"/>
          <w:spacing w:val="1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数三分之一、人均</w:t>
      </w:r>
      <w:r>
        <w:rPr>
          <w:rFonts w:ascii="FangSong_GB2312" w:hAnsi="FangSong_GB2312" w:eastAsia="FangSong_GB2312" w:cs="FangSong_GB2312"/>
          <w:spacing w:val="-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spacing w:val="2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平方米核算）。其中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，对于高校、科研机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构、机关事业单位、区属国企、规上工业企业、与本区签订协议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（应经管委会或区政府审定）的重点招商引资项目，可直接确认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已符合实际办公条件。</w:t>
      </w:r>
    </w:p>
    <w:p w14:paraId="59D5F6AA">
      <w:pPr>
        <w:spacing w:before="191" w:line="305" w:lineRule="auto"/>
        <w:ind w:left="4" w:right="91" w:firstLine="634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（二）人才条件。除特别规定外，本细则所指各类人才应与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本区用人单位建立劳动关系，依法在本区缴纳个人所得税和社会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保险（中央、省属、市属驻区单位人员以及境外人员提供劳动合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同，可不受在本区缴纳社会保险条件限制）。</w:t>
      </w:r>
    </w:p>
    <w:p w14:paraId="46F48AD3">
      <w:pPr>
        <w:spacing w:before="192" w:line="218" w:lineRule="auto"/>
        <w:ind w:left="63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（三）特殊情形规定</w:t>
      </w:r>
    </w:p>
    <w:p w14:paraId="01A70CE2">
      <w:pPr>
        <w:spacing w:before="196" w:line="317" w:lineRule="auto"/>
        <w:ind w:left="51" w:right="91" w:firstLine="61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1.</w:t>
      </w:r>
      <w:r>
        <w:rPr>
          <w:rFonts w:ascii="Times New Roman" w:hAnsi="Times New Roman" w:eastAsia="Times New Roman" w:cs="Times New Roman"/>
          <w:spacing w:val="-2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中央、省属、市属驻区单位的实际办公条件核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定可以在本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区缴纳个人所得税员工人数为基准。</w:t>
      </w:r>
    </w:p>
    <w:p w14:paraId="013FF05B">
      <w:pPr>
        <w:spacing w:before="52" w:line="318" w:lineRule="auto"/>
        <w:ind w:left="10" w:right="89" w:firstLine="63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2.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机关事业单位（科研机构除外）在编人员、法定机构授薪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人员原则上不适用本细则。其中，在本区全职工作的教育、医疗</w:t>
      </w:r>
    </w:p>
    <w:p w14:paraId="02BE56CD">
      <w:pPr>
        <w:spacing w:line="318" w:lineRule="auto"/>
        <w:rPr>
          <w:rFonts w:ascii="FangSong_GB2312" w:hAnsi="FangSong_GB2312" w:eastAsia="FangSong_GB2312" w:cs="FangSong_GB2312"/>
          <w:sz w:val="31"/>
          <w:szCs w:val="31"/>
        </w:rPr>
      </w:pPr>
    </w:p>
    <w:p w14:paraId="06C3E302">
      <w:pPr>
        <w:spacing w:before="101" w:line="322" w:lineRule="auto"/>
        <w:ind w:right="97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机构在编人员，由区行业主管部门审核推荐，经区委人才工作领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导小组办公室（以下简称“</w:t>
      </w:r>
      <w:r>
        <w:rPr>
          <w:rFonts w:ascii="FangSong_GB2312" w:hAnsi="FangSong_GB2312" w:eastAsia="FangSong_GB2312" w:cs="FangSong_GB2312"/>
          <w:spacing w:val="-9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区委人才办”）审定后，可适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用高层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次人才支持政策，且不受本条第（二）项规定限制。</w:t>
      </w:r>
    </w:p>
    <w:p w14:paraId="1764816A">
      <w:pPr>
        <w:spacing w:before="59" w:line="325" w:lineRule="auto"/>
        <w:ind w:left="6" w:right="97" w:firstLine="635"/>
        <w:jc w:val="both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6" w:type="default"/>
          <w:pgSz w:w="11906" w:h="16839"/>
          <w:pgMar w:top="1431" w:right="1384" w:bottom="1730" w:left="1593" w:header="0" w:footer="1465" w:gutter="0"/>
          <w:pgNumType w:fmt="decimal" w:start="1"/>
          <w:cols w:space="720" w:num="1"/>
        </w:sect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3.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本区重点单位聘用的退休返聘人员、双聘人员（应经本区</w:t>
      </w:r>
      <w:r>
        <w:rPr>
          <w:rFonts w:ascii="FangSong_GB2312" w:hAnsi="FangSong_GB2312" w:eastAsia="FangSong_GB2312" w:cs="FangSong_GB2312"/>
          <w:spacing w:val="1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外的派出单位认可）、重点人才等，如不符合本条第（二）项规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定，但确在本区全职工作的，由区行业主管部门审核推荐，经区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委人才办审定后，可列入支持范围。</w:t>
      </w:r>
    </w:p>
    <w:p w14:paraId="484652DA">
      <w:pPr>
        <w:spacing w:before="102" w:line="412" w:lineRule="exact"/>
        <w:ind w:left="2270"/>
        <w:outlineLvl w:val="0"/>
        <w:rPr>
          <w:rFonts w:ascii="黑体" w:hAnsi="黑体" w:eastAsia="黑体" w:cs="黑体"/>
          <w:sz w:val="31"/>
          <w:szCs w:val="31"/>
        </w:rPr>
      </w:pPr>
      <w:bookmarkStart w:id="2" w:name="bookmark32"/>
      <w:bookmarkEnd w:id="2"/>
      <w:bookmarkStart w:id="3" w:name="bookmark33"/>
      <w:bookmarkEnd w:id="3"/>
      <w:bookmarkStart w:id="4" w:name="bookmark35"/>
      <w:bookmarkEnd w:id="4"/>
      <w:r>
        <w:rPr>
          <w:rFonts w:ascii="黑体" w:hAnsi="黑体" w:eastAsia="黑体" w:cs="黑体"/>
          <w:spacing w:val="8"/>
          <w:position w:val="1"/>
          <w:sz w:val="31"/>
          <w:szCs w:val="31"/>
        </w:rPr>
        <w:t>第六章 实施技能人才锻造行动</w:t>
      </w:r>
    </w:p>
    <w:p w14:paraId="70CAF3A6">
      <w:pPr>
        <w:spacing w:before="162" w:line="219" w:lineRule="auto"/>
        <w:ind w:left="2354"/>
        <w:outlineLvl w:val="0"/>
        <w:rPr>
          <w:rFonts w:ascii="KaiTi_GB2312" w:hAnsi="KaiTi_GB2312" w:eastAsia="KaiTi_GB2312" w:cs="KaiTi_GB2312"/>
          <w:sz w:val="31"/>
          <w:szCs w:val="31"/>
        </w:rPr>
      </w:pPr>
      <w:bookmarkStart w:id="5" w:name="bookmark34"/>
      <w:bookmarkEnd w:id="5"/>
      <w:r>
        <w:rPr>
          <w:rFonts w:ascii="KaiTi_GB2312" w:hAnsi="KaiTi_GB2312" w:eastAsia="KaiTi_GB2312" w:cs="KaiTi_GB2312"/>
          <w:spacing w:val="7"/>
          <w:sz w:val="31"/>
          <w:szCs w:val="31"/>
        </w:rPr>
        <w:t>第一节  新引进技能人才支持</w:t>
      </w:r>
    </w:p>
    <w:p w14:paraId="47DDFA32">
      <w:pPr>
        <w:spacing w:before="179" w:line="241" w:lineRule="auto"/>
        <w:ind w:right="45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 xml:space="preserve">第五十一条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【政策说明】本节所称的新引进技能人才是指</w:t>
      </w:r>
    </w:p>
    <w:p w14:paraId="4BCBD31D">
      <w:pPr>
        <w:spacing w:before="168" w:line="323" w:lineRule="auto"/>
        <w:ind w:left="20" w:right="2" w:hanging="20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2022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年</w:t>
      </w:r>
      <w:r>
        <w:rPr>
          <w:rFonts w:ascii="FangSong_GB2312" w:hAnsi="FangSong_GB2312" w:eastAsia="FangSong_GB2312" w:cs="FangSong_GB2312"/>
          <w:spacing w:val="-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3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6 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日后，首次在本区单位工作的具有技师以上技能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等级（含职业资格，下同）的急需紧缺人才。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急需紧缺技能等级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目录适时调整。</w:t>
      </w:r>
    </w:p>
    <w:p w14:paraId="6E76012C">
      <w:pPr>
        <w:spacing w:before="39" w:line="241" w:lineRule="auto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 xml:space="preserve">第五十二条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【责任单位】</w:t>
      </w:r>
      <w:r>
        <w:rPr>
          <w:rFonts w:ascii="FangSong_GB2312" w:hAnsi="FangSong_GB2312" w:eastAsia="FangSong_GB2312" w:cs="FangSong_GB2312"/>
          <w:spacing w:val="-8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区人社部门负责新引进技能人才</w:t>
      </w:r>
    </w:p>
    <w:p w14:paraId="446ABC8F">
      <w:pPr>
        <w:spacing w:before="170" w:line="218" w:lineRule="auto"/>
        <w:ind w:left="1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支持事宜。</w:t>
      </w:r>
    </w:p>
    <w:p w14:paraId="2EF752A4">
      <w:pPr>
        <w:spacing w:before="181"/>
        <w:ind w:left="647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 xml:space="preserve">第五十三条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【支持标准】</w:t>
      </w:r>
    </w:p>
    <w:p w14:paraId="12794C0A">
      <w:pPr>
        <w:spacing w:before="168" w:line="218" w:lineRule="auto"/>
        <w:ind w:left="636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（一）对技师给予</w:t>
      </w:r>
      <w:r>
        <w:rPr>
          <w:rFonts w:ascii="FangSong_GB2312" w:hAnsi="FangSong_GB2312" w:eastAsia="FangSong_GB2312" w:cs="FangSong_GB2312"/>
          <w:spacing w:val="-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33"/>
          <w:w w:val="10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万元生活补贴。</w:t>
      </w:r>
    </w:p>
    <w:p w14:paraId="4E47CC6B">
      <w:pPr>
        <w:spacing w:before="196" w:line="218" w:lineRule="auto"/>
        <w:ind w:left="636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（二）对高级技师给予</w:t>
      </w:r>
      <w:r>
        <w:rPr>
          <w:rFonts w:ascii="FangSong_GB2312" w:hAnsi="FangSong_GB2312" w:eastAsia="FangSong_GB2312" w:cs="FangSong_GB2312"/>
          <w:spacing w:val="-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3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万元生活补贴。</w:t>
      </w:r>
    </w:p>
    <w:p w14:paraId="2C6DE686">
      <w:pPr>
        <w:spacing w:before="193" w:line="218" w:lineRule="auto"/>
        <w:ind w:left="636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（三）对特级技师给予</w:t>
      </w:r>
      <w:r>
        <w:rPr>
          <w:rFonts w:ascii="FangSong_GB2312" w:hAnsi="FangSong_GB2312" w:eastAsia="FangSong_GB2312" w:cs="FangSong_GB2312"/>
          <w:spacing w:val="-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pacing w:val="35"/>
          <w:w w:val="10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万元生活补贴。</w:t>
      </w:r>
    </w:p>
    <w:p w14:paraId="4DA742B3">
      <w:pPr>
        <w:spacing w:before="194" w:line="325" w:lineRule="auto"/>
        <w:ind w:left="5" w:right="2" w:firstLine="643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新引进技能人才生活补贴每人仅可享受一次，原则上分</w:t>
      </w:r>
      <w:r>
        <w:rPr>
          <w:rFonts w:ascii="FangSong_GB2312" w:hAnsi="FangSong_GB2312" w:eastAsia="FangSong_GB2312" w:cs="FangSong_GB2312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3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年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等额发放；首次发放后，如人才连续在申报单位缴纳社会保险且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户籍未迁出本区，第二次、第三次补贴“免申即享”。如人才在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本区购房的，可申请一次性发放。</w:t>
      </w:r>
    </w:p>
    <w:p w14:paraId="548FB2DC">
      <w:pPr>
        <w:spacing w:before="43" w:line="241" w:lineRule="auto"/>
        <w:ind w:left="635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 xml:space="preserve">第五十四条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【申请条件】</w:t>
      </w:r>
    </w:p>
    <w:p w14:paraId="201C2BDD">
      <w:pPr>
        <w:spacing w:before="100" w:line="276" w:lineRule="auto"/>
        <w:ind w:left="6" w:right="91" w:firstLine="626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（一）技师不超过</w:t>
      </w:r>
      <w:r>
        <w:rPr>
          <w:rFonts w:ascii="FangSong_GB2312" w:hAnsi="FangSong_GB2312" w:eastAsia="FangSong_GB2312" w:cs="FangSong_GB2312"/>
          <w:spacing w:val="-6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35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周岁，高级技师不超过</w:t>
      </w:r>
      <w:r>
        <w:rPr>
          <w:rFonts w:ascii="FangSong_GB2312" w:hAnsi="FangSong_GB2312" w:eastAsia="FangSong_GB2312" w:cs="FangSong_GB2312"/>
          <w:spacing w:val="-6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40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周岁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，特级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技师不超过</w:t>
      </w:r>
      <w:r>
        <w:rPr>
          <w:rFonts w:ascii="FangSong_GB2312" w:hAnsi="FangSong_GB2312" w:eastAsia="FangSong_GB2312" w:cs="FangSong_GB2312"/>
          <w:spacing w:val="-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45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周岁。</w:t>
      </w:r>
    </w:p>
    <w:p w14:paraId="4FC9260D">
      <w:pPr>
        <w:spacing w:before="190" w:line="219" w:lineRule="auto"/>
        <w:ind w:left="63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（二）具有本区户籍（港澳台和外籍人才不受此限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制）。</w:t>
      </w:r>
    </w:p>
    <w:p w14:paraId="16C9914F">
      <w:pPr>
        <w:spacing w:before="192" w:line="296" w:lineRule="auto"/>
        <w:ind w:right="91" w:firstLine="63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（三）申请时已在本区连续缴纳社会保险（无补缴、代缴情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况）不少于</w:t>
      </w:r>
      <w:r>
        <w:rPr>
          <w:rFonts w:ascii="FangSong_GB2312" w:hAnsi="FangSong_GB2312" w:eastAsia="FangSong_GB2312" w:cs="FangSong_GB2312"/>
          <w:spacing w:val="-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6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个月。（</w:t>
      </w:r>
      <w:r>
        <w:rPr>
          <w:rFonts w:ascii="FangSong_GB2312" w:hAnsi="FangSong_GB2312" w:eastAsia="FangSong_GB2312" w:cs="FangSong_GB2312"/>
          <w:spacing w:val="-9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申请人符合本项条件的可不审核个人所得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税在本区缴纳情况）</w:t>
      </w:r>
    </w:p>
    <w:p w14:paraId="5441B5B4">
      <w:pPr>
        <w:spacing w:before="190" w:line="218" w:lineRule="auto"/>
        <w:ind w:left="63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（四）未享受过本区新引进学历人才支持政策。</w:t>
      </w:r>
    </w:p>
    <w:p w14:paraId="6A209D0B">
      <w:pPr>
        <w:spacing w:line="241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7" w:type="default"/>
          <w:pgSz w:w="11906" w:h="16839"/>
          <w:pgMar w:top="1431" w:right="1473" w:bottom="1730" w:left="1595" w:header="0" w:footer="1467" w:gutter="0"/>
          <w:pgNumType w:fmt="decimal"/>
          <w:cols w:space="720" w:num="1"/>
        </w:sectPr>
      </w:pPr>
    </w:p>
    <w:p w14:paraId="768B8273">
      <w:pPr>
        <w:spacing w:before="101" w:line="412" w:lineRule="exact"/>
        <w:ind w:left="3392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"/>
          <w:position w:val="1"/>
          <w:sz w:val="31"/>
          <w:szCs w:val="31"/>
        </w:rPr>
        <w:t>第十一章</w:t>
      </w:r>
      <w:r>
        <w:rPr>
          <w:rFonts w:ascii="黑体" w:hAnsi="黑体" w:eastAsia="黑体" w:cs="黑体"/>
          <w:spacing w:val="39"/>
          <w:position w:val="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"/>
          <w:position w:val="1"/>
          <w:sz w:val="31"/>
          <w:szCs w:val="31"/>
        </w:rPr>
        <w:t>附则</w:t>
      </w:r>
    </w:p>
    <w:p w14:paraId="2D053543">
      <w:pPr>
        <w:spacing w:before="147" w:line="241" w:lineRule="auto"/>
        <w:ind w:left="649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</w:rPr>
        <w:t xml:space="preserve">第一百零二条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【申请（含申报，下同）程序】除特别规定</w:t>
      </w:r>
    </w:p>
    <w:p w14:paraId="14BB5EC9">
      <w:pPr>
        <w:spacing w:before="101" w:line="328" w:lineRule="auto"/>
        <w:ind w:right="48" w:firstLine="23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外，本细则所列各支持项目申请一般年度集中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受理，具体时间和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所需材料以政策兑现责任单位当年发布的通知为准。符合申请条</w:t>
      </w:r>
      <w:r>
        <w:rPr>
          <w:rFonts w:ascii="FangSong_GB2312" w:hAnsi="FangSong_GB2312" w:eastAsia="FangSong_GB2312" w:cs="FangSong_GB2312"/>
          <w:spacing w:val="1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件的按程序提交各项材料，责任单位可独立或委托相关机构通过</w:t>
      </w:r>
      <w:r>
        <w:rPr>
          <w:rFonts w:ascii="FangSong_GB2312" w:hAnsi="FangSong_GB2312" w:eastAsia="FangSong_GB2312" w:cs="FangSong_GB2312"/>
          <w:spacing w:val="1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形式审查、调查核实、专家评审等方式提出办理意见，按程序兑</w:t>
      </w:r>
      <w:r>
        <w:rPr>
          <w:rFonts w:ascii="FangSong_GB2312" w:hAnsi="FangSong_GB2312" w:eastAsia="FangSong_GB2312" w:cs="FangSong_GB2312"/>
          <w:spacing w:val="1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现支持待遇。其中，涉及资金发放的（第三章第一节高层次人才</w:t>
      </w:r>
      <w:r>
        <w:rPr>
          <w:rFonts w:ascii="FangSong_GB2312" w:hAnsi="FangSong_GB2312" w:eastAsia="FangSong_GB2312" w:cs="FangSong_GB2312"/>
          <w:spacing w:val="1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支持除外</w:t>
      </w:r>
      <w:r>
        <w:rPr>
          <w:rFonts w:ascii="FangSong_GB2312" w:hAnsi="FangSong_GB2312" w:eastAsia="FangSong_GB2312" w:cs="FangSong_GB2312"/>
          <w:spacing w:val="22"/>
          <w:sz w:val="31"/>
          <w:szCs w:val="31"/>
        </w:rPr>
        <w:t>），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报区人才奖励工作小组审定后拨付。</w:t>
      </w:r>
    </w:p>
    <w:p w14:paraId="620F8191">
      <w:pPr>
        <w:spacing w:before="44"/>
        <w:ind w:right="24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11"/>
          <w:sz w:val="31"/>
          <w:szCs w:val="31"/>
        </w:rPr>
        <w:t xml:space="preserve">第一百零三条 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【不予重复支持情形】除另有规定外，同一</w:t>
      </w:r>
    </w:p>
    <w:p w14:paraId="1B8E9A24">
      <w:pPr>
        <w:spacing w:before="172" w:line="329" w:lineRule="auto"/>
        <w:ind w:firstLine="17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事项同时符合本区多个扶持政策规定（含上级部门要求区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配套或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承担资金的政策规定）的，按照就高不重复的原则予以支持。本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细则所规定的各个支持项目具体奖励互斥情形详见附件</w:t>
      </w:r>
      <w:r>
        <w:rPr>
          <w:rFonts w:ascii="FangSong_GB2312" w:hAnsi="FangSong_GB2312" w:eastAsia="FangSong_GB2312" w:cs="FangSong_GB2312"/>
          <w:spacing w:val="-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《广州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南沙创建国际化人才特区集聚人才九条措施奖励项目互斥表》。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其中，第五章第四节、第五节和第八章第一节、第二节、第三节</w:t>
      </w:r>
      <w:r>
        <w:rPr>
          <w:rFonts w:ascii="FangSong_GB2312" w:hAnsi="FangSong_GB2312" w:eastAsia="FangSong_GB2312" w:cs="FangSong_GB2312"/>
          <w:spacing w:val="1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所涉及的引才荐才支持类政策按照“</w:t>
      </w:r>
      <w:r>
        <w:rPr>
          <w:rFonts w:ascii="FangSong_GB2312" w:hAnsi="FangSong_GB2312" w:eastAsia="FangSong_GB2312" w:cs="FangSong_GB2312"/>
          <w:spacing w:val="-1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引进一人（团队）奖励一人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（机构）”的原则执行，同一引进人才（团队）只对应一个支持</w:t>
      </w:r>
      <w:r>
        <w:rPr>
          <w:rFonts w:ascii="FangSong_GB2312" w:hAnsi="FangSong_GB2312" w:eastAsia="FangSong_GB2312" w:cs="FangSong_GB2312"/>
          <w:spacing w:val="1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对象。</w:t>
      </w:r>
    </w:p>
    <w:p w14:paraId="46584C90">
      <w:pPr>
        <w:spacing w:before="44" w:line="241" w:lineRule="auto"/>
        <w:ind w:right="48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11"/>
          <w:sz w:val="31"/>
          <w:szCs w:val="31"/>
        </w:rPr>
        <w:t xml:space="preserve">第一百零四条 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【兑现实施工作要求】各政策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兑现责任单位</w:t>
      </w:r>
    </w:p>
    <w:p w14:paraId="7875531A">
      <w:pPr>
        <w:spacing w:before="167" w:line="323" w:lineRule="auto"/>
        <w:ind w:left="4" w:right="45" w:firstLine="5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按照本细则工作分工落实主体责任，加强政策宣传解读，精心组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织实施，不断优化审批流程，精简申请材料。兑现实施过程中涉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及其他部门的核查事项，</w:t>
      </w:r>
      <w:r>
        <w:rPr>
          <w:rFonts w:ascii="FangSong_GB2312" w:hAnsi="FangSong_GB2312" w:eastAsia="FangSong_GB2312" w:cs="FangSong_GB2312"/>
          <w:spacing w:val="-8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区各有关单位应当积极配合。</w:t>
      </w:r>
    </w:p>
    <w:p w14:paraId="5A54DB45">
      <w:pPr>
        <w:spacing w:before="42" w:line="241" w:lineRule="auto"/>
        <w:ind w:right="48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11"/>
          <w:sz w:val="31"/>
          <w:szCs w:val="31"/>
        </w:rPr>
        <w:t xml:space="preserve">第一百零五条 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【资金保障与监管】本细则涉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及的有关扶持</w:t>
      </w:r>
    </w:p>
    <w:p w14:paraId="7C87C08F">
      <w:pPr>
        <w:spacing w:before="167" w:line="318" w:lineRule="auto"/>
        <w:ind w:left="18" w:right="4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补贴的比例和限额均为上限数额，具体政策兑现视当年度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财政预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算情况相应调整。所需资金纳入各政策兑现责任单位年度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部门预</w:t>
      </w:r>
    </w:p>
    <w:p w14:paraId="5CB901E1">
      <w:pPr>
        <w:spacing w:line="318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8" w:type="default"/>
          <w:pgSz w:w="11906" w:h="16839"/>
          <w:pgMar w:top="1431" w:right="1427" w:bottom="1730" w:left="1592" w:header="0" w:footer="1465" w:gutter="0"/>
          <w:pgNumType w:fmt="decimal"/>
          <w:cols w:space="720" w:num="1"/>
        </w:sectPr>
      </w:pPr>
    </w:p>
    <w:p w14:paraId="5A92145B">
      <w:pPr>
        <w:pStyle w:val="2"/>
        <w:spacing w:line="245" w:lineRule="auto"/>
      </w:pPr>
    </w:p>
    <w:p w14:paraId="6A1CAC86">
      <w:pPr>
        <w:pStyle w:val="2"/>
        <w:spacing w:line="245" w:lineRule="auto"/>
      </w:pPr>
    </w:p>
    <w:p w14:paraId="74AD0168">
      <w:pPr>
        <w:pStyle w:val="2"/>
        <w:spacing w:line="246" w:lineRule="auto"/>
      </w:pPr>
    </w:p>
    <w:p w14:paraId="5D3FF639">
      <w:pPr>
        <w:spacing w:before="100" w:line="327" w:lineRule="auto"/>
        <w:ind w:right="315" w:firstLine="14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算，并由各责任单位负责资金审核发放。资金的使用和管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理应当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遵守国家有关法律、法规、规章和政策规定，严格执行财政资金</w:t>
      </w:r>
      <w:r>
        <w:rPr>
          <w:rFonts w:ascii="FangSong_GB2312" w:hAnsi="FangSong_GB2312" w:eastAsia="FangSong_GB2312" w:cs="FangSong_GB2312"/>
          <w:spacing w:val="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管理制度，并接受本区财政、审计、监察等单位监督。受资助单</w:t>
      </w:r>
      <w:r>
        <w:rPr>
          <w:rFonts w:ascii="FangSong_GB2312" w:hAnsi="FangSong_GB2312" w:eastAsia="FangSong_GB2312" w:cs="FangSong_GB2312"/>
          <w:spacing w:val="1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位（不含个人）属跨区迁移企业且涉及预算划转上解资金的，所</w:t>
      </w:r>
      <w:r>
        <w:rPr>
          <w:rFonts w:ascii="FangSong_GB2312" w:hAnsi="FangSong_GB2312" w:eastAsia="FangSong_GB2312" w:cs="FangSong_GB2312"/>
          <w:spacing w:val="1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获扶持资金应先予以扣减。</w:t>
      </w:r>
    </w:p>
    <w:p w14:paraId="170124D8">
      <w:pPr>
        <w:spacing w:before="43"/>
        <w:ind w:left="647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 xml:space="preserve">第一百零六条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【涉及税款说明】</w:t>
      </w:r>
      <w:r>
        <w:rPr>
          <w:rFonts w:ascii="FangSong_GB2312" w:hAnsi="FangSong_GB2312" w:eastAsia="FangSong_GB2312" w:cs="FangSong_GB2312"/>
          <w:spacing w:val="-8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因本细则相关奖励或扶持</w:t>
      </w:r>
    </w:p>
    <w:p w14:paraId="2D6A5CA1">
      <w:pPr>
        <w:spacing w:before="169" w:line="322" w:lineRule="auto"/>
        <w:ind w:left="10" w:right="71" w:firstLine="8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资金引起的税款由受资助单位或个人按国家规定全额承担。其中，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7"/>
          <w:sz w:val="31"/>
          <w:szCs w:val="31"/>
        </w:rPr>
        <w:t>给予个人的支持资金由政策兑现责任单位统一代扣代</w:t>
      </w:r>
      <w:r>
        <w:rPr>
          <w:rFonts w:ascii="FangSong_GB2312" w:hAnsi="FangSong_GB2312" w:eastAsia="FangSong_GB2312" w:cs="FangSong_GB2312"/>
          <w:spacing w:val="16"/>
          <w:sz w:val="31"/>
          <w:szCs w:val="31"/>
        </w:rPr>
        <w:t>缴个人所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得税，给予单位的支持资金由受资助单位自行办理纳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税手续。</w:t>
      </w:r>
    </w:p>
    <w:p w14:paraId="01EDF623">
      <w:pPr>
        <w:spacing w:before="44" w:line="241" w:lineRule="auto"/>
        <w:ind w:left="647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</w:rPr>
        <w:t xml:space="preserve">第一百零七条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【货币单位及用词】除注明为其他币种外，</w:t>
      </w:r>
    </w:p>
    <w:p w14:paraId="762BBCD7">
      <w:pPr>
        <w:spacing w:before="166" w:line="329" w:lineRule="auto"/>
        <w:ind w:left="2" w:firstLine="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本细则提到的货币单位，均以人民币计算。除特殊说明外，本细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 xml:space="preserve">  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则中“最高”“最多”“不超过”“不得超过”“超过”“不低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 xml:space="preserve">  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于”“不少于”“</w:t>
      </w:r>
      <w:r>
        <w:rPr>
          <w:rFonts w:ascii="FangSong_GB2312" w:hAnsi="FangSong_GB2312" w:eastAsia="FangSong_GB2312" w:cs="FangSong_GB2312"/>
          <w:spacing w:val="-9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以上”“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21"/>
          <w:w w:val="10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年之前”“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21"/>
          <w:w w:val="10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年</w:t>
      </w:r>
      <w:r>
        <w:rPr>
          <w:rFonts w:ascii="FangSong_GB2312" w:hAnsi="FangSong_GB2312" w:eastAsia="FangSong_GB2312" w:cs="FangSong_GB2312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3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7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日后”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31"/>
          <w:szCs w:val="31"/>
        </w:rPr>
        <w:t>“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>2023</w:t>
      </w:r>
      <w:r>
        <w:rPr>
          <w:rFonts w:ascii="Times New Roman" w:hAnsi="Times New Roman" w:eastAsia="Times New Roman" w:cs="Times New Roman"/>
          <w:spacing w:val="28"/>
          <w:w w:val="10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31"/>
          <w:szCs w:val="31"/>
        </w:rPr>
        <w:t>年</w:t>
      </w:r>
      <w:r>
        <w:rPr>
          <w:rFonts w:ascii="FangSong_GB2312" w:hAnsi="FangSong_GB2312" w:eastAsia="FangSong_GB2312" w:cs="FangSong_GB2312"/>
          <w:spacing w:val="-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3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3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 xml:space="preserve">1  </w:t>
      </w:r>
      <w:r>
        <w:rPr>
          <w:rFonts w:ascii="FangSong_GB2312" w:hAnsi="FangSong_GB2312" w:eastAsia="FangSong_GB2312" w:cs="FangSong_GB2312"/>
          <w:spacing w:val="-5"/>
          <w:sz w:val="31"/>
          <w:szCs w:val="31"/>
        </w:rPr>
        <w:t>日后”“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>2024</w:t>
      </w:r>
      <w:r>
        <w:rPr>
          <w:rFonts w:ascii="Times New Roman" w:hAnsi="Times New Roman" w:eastAsia="Times New Roman" w:cs="Times New Roman"/>
          <w:spacing w:val="2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31"/>
          <w:szCs w:val="31"/>
        </w:rPr>
        <w:t>年</w:t>
      </w:r>
      <w:r>
        <w:rPr>
          <w:rFonts w:ascii="FangSong_GB2312" w:hAnsi="FangSong_GB2312" w:eastAsia="FangSong_GB2312" w:cs="FangSong_GB2312"/>
          <w:spacing w:val="-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39"/>
          <w:w w:val="10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5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 xml:space="preserve">1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日后”“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2024</w:t>
      </w:r>
      <w:r>
        <w:rPr>
          <w:rFonts w:ascii="Times New Roman" w:hAnsi="Times New Roman" w:eastAsia="Times New Roman" w:cs="Times New Roman"/>
          <w:spacing w:val="2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年</w:t>
      </w:r>
      <w:r>
        <w:rPr>
          <w:rFonts w:ascii="FangSong_GB2312" w:hAnsi="FangSong_GB2312" w:eastAsia="FangSong_GB2312" w:cs="FangSong_GB2312"/>
          <w:spacing w:val="-3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pacing w:val="38"/>
          <w:w w:val="10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31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日”等类似表述均包含本数；</w:t>
      </w:r>
      <w:r>
        <w:rPr>
          <w:rFonts w:ascii="FangSong_GB2312" w:hAnsi="FangSong_GB2312" w:eastAsia="FangSong_GB2312" w:cs="FangSong_GB2312"/>
          <w:spacing w:val="-12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“近</w:t>
      </w:r>
      <w:r>
        <w:rPr>
          <w:rFonts w:ascii="FangSong_GB2312" w:hAnsi="FangSong_GB2312" w:eastAsia="FangSong_GB2312" w:cs="FangSong_GB2312"/>
          <w:spacing w:val="-5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2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年”“近</w:t>
      </w:r>
      <w:r>
        <w:rPr>
          <w:rFonts w:ascii="FangSong_GB2312" w:hAnsi="FangSong_GB2312" w:eastAsia="FangSong_GB2312" w:cs="FangSong_GB2312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24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年”等类似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 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表述的计时起始时间，从申请年度</w:t>
      </w:r>
      <w:r>
        <w:rPr>
          <w:rFonts w:ascii="FangSong_GB2312" w:hAnsi="FangSong_GB2312" w:eastAsia="FangSong_GB2312" w:cs="FangSong_GB2312"/>
          <w:spacing w:val="-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3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75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日向前追溯，同时包含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 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申请当年；年龄条件以首次申请年度的</w:t>
      </w:r>
      <w:r>
        <w:rPr>
          <w:rFonts w:ascii="FangSong_GB2312" w:hAnsi="FangSong_GB2312" w:eastAsia="FangSong_GB2312" w:cs="FangSong_GB2312"/>
          <w:spacing w:val="-3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3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7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2"/>
          <w:sz w:val="31"/>
          <w:szCs w:val="31"/>
        </w:rPr>
        <w:t>日为计算时点。</w:t>
      </w:r>
    </w:p>
    <w:p w14:paraId="5F1B99B0">
      <w:pPr>
        <w:spacing w:before="43"/>
        <w:ind w:left="647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 xml:space="preserve">第一百零八条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【不予奖励情形】</w:t>
      </w:r>
      <w:r>
        <w:rPr>
          <w:rFonts w:ascii="FangSong_GB2312" w:hAnsi="FangSong_GB2312" w:eastAsia="FangSong_GB2312" w:cs="FangSong_GB2312"/>
          <w:spacing w:val="-79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申请本细则奖励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或扶持资</w:t>
      </w:r>
    </w:p>
    <w:p w14:paraId="5D128EFD">
      <w:pPr>
        <w:spacing w:before="170" w:line="218" w:lineRule="auto"/>
        <w:ind w:left="7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金的单位或个人，有下列情形之一的，不予奖励：</w:t>
      </w:r>
    </w:p>
    <w:p w14:paraId="53401959">
      <w:pPr>
        <w:spacing w:before="193" w:line="219" w:lineRule="auto"/>
        <w:ind w:left="635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（一）按照本区市场主体信用评价有关规定，单位信用评价</w:t>
      </w:r>
    </w:p>
    <w:p w14:paraId="7FED9E63">
      <w:pPr>
        <w:spacing w:before="192" w:line="218" w:lineRule="auto"/>
        <w:ind w:left="20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等级为</w:t>
      </w:r>
      <w:r>
        <w:rPr>
          <w:rFonts w:ascii="FangSong_GB2312" w:hAnsi="FangSong_GB2312" w:eastAsia="FangSong_GB2312" w:cs="FangSong_GB2312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spacing w:val="3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级的，该单位及其工作人员不予奖励。</w:t>
      </w:r>
    </w:p>
    <w:p w14:paraId="4B32ED5D">
      <w:pPr>
        <w:spacing w:before="195" w:line="219" w:lineRule="auto"/>
        <w:ind w:left="635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（二）个人被列入严重失信主体名单，或近</w:t>
      </w:r>
      <w:r>
        <w:rPr>
          <w:rFonts w:ascii="FangSong_GB2312" w:hAnsi="FangSong_GB2312" w:eastAsia="FangSong_GB2312" w:cs="FangSong_GB2312"/>
          <w:spacing w:val="-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年受过刑事处</w:t>
      </w:r>
    </w:p>
    <w:p w14:paraId="1AD56AD4">
      <w:pPr>
        <w:spacing w:line="219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9" w:type="default"/>
          <w:pgSz w:w="11906" w:h="16839"/>
          <w:pgMar w:top="1431" w:right="1160" w:bottom="1730" w:left="1596" w:header="0" w:footer="1467" w:gutter="0"/>
          <w:pgNumType w:fmt="decimal"/>
          <w:cols w:space="720" w:num="1"/>
        </w:sectPr>
      </w:pPr>
    </w:p>
    <w:p w14:paraId="7E455B4E">
      <w:pPr>
        <w:pStyle w:val="2"/>
        <w:spacing w:line="245" w:lineRule="auto"/>
      </w:pPr>
    </w:p>
    <w:p w14:paraId="3706C163">
      <w:pPr>
        <w:pStyle w:val="2"/>
        <w:spacing w:line="245" w:lineRule="auto"/>
      </w:pPr>
    </w:p>
    <w:p w14:paraId="79219E58">
      <w:pPr>
        <w:pStyle w:val="2"/>
        <w:spacing w:line="246" w:lineRule="auto"/>
      </w:pPr>
    </w:p>
    <w:p w14:paraId="328AE0DF">
      <w:pPr>
        <w:spacing w:before="101" w:line="322" w:lineRule="auto"/>
        <w:ind w:left="7" w:right="54" w:firstLine="17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罚，或近</w:t>
      </w:r>
      <w:r>
        <w:rPr>
          <w:rFonts w:ascii="FangSong_GB2312" w:hAnsi="FangSong_GB2312" w:eastAsia="FangSong_GB2312" w:cs="FangSong_GB2312"/>
          <w:spacing w:val="-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 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年受过严重行政处罚的，不予奖励。个人因涉嫌刑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事犯罪被立案查处的，如尚未结案，暂缓奖励；被司法机关判定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构成刑事犯罪的，不予奖励。</w:t>
      </w:r>
      <w:bookmarkStart w:id="7" w:name="_GoBack"/>
      <w:bookmarkEnd w:id="7"/>
    </w:p>
    <w:p w14:paraId="35E6CF0F">
      <w:pPr>
        <w:spacing w:before="59" w:line="219" w:lineRule="auto"/>
        <w:ind w:right="54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（三）单位或个人存在违背公序良俗、违反道德规范、损害</w:t>
      </w:r>
    </w:p>
    <w:p w14:paraId="0FEF16E1">
      <w:pPr>
        <w:spacing w:before="191" w:line="316" w:lineRule="auto"/>
        <w:ind w:left="17" w:right="52" w:firstLine="17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国家和社会公共利益等行为，引发重大舆情或造成严重不良社会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影响的，该单位或个人不予奖励。</w:t>
      </w:r>
    </w:p>
    <w:p w14:paraId="2AF0C054">
      <w:pPr>
        <w:spacing w:before="59" w:line="219" w:lineRule="auto"/>
        <w:ind w:left="638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（四）其他由区委人才工作领导小组认定的情形。</w:t>
      </w:r>
    </w:p>
    <w:p w14:paraId="5F5AD5E2">
      <w:pPr>
        <w:spacing w:before="179"/>
        <w:ind w:right="54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 xml:space="preserve">第一百零九条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【追回奖励情形】</w:t>
      </w:r>
      <w:r>
        <w:rPr>
          <w:rFonts w:ascii="FangSong_GB2312" w:hAnsi="FangSong_GB2312" w:eastAsia="FangSong_GB2312" w:cs="FangSong_GB2312"/>
          <w:spacing w:val="-5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已申请本细则政策支持的</w:t>
      </w:r>
    </w:p>
    <w:p w14:paraId="0F53EFD5">
      <w:pPr>
        <w:spacing w:before="167" w:line="328" w:lineRule="auto"/>
        <w:ind w:left="10" w:firstLine="5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单位或个人，如在资金发放前出现工作变动或其他不适宜继续享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 xml:space="preserve">受政策支持的情况，所在单位及个人应及时向政策兑现责任单位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报告停止发放。有关单位或个人，如存在违反承诺、弄虚作假、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瞒报迟报或以其他不正当手段获取资金的，一经发现应当配合退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回已发放资金；情节严重的，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 xml:space="preserve">5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年内禁止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该单位或个人申请本区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人才政策支持；涉及违法违规违纪的，按照有关规定进行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处理。</w:t>
      </w:r>
    </w:p>
    <w:p w14:paraId="6B665FF1">
      <w:pPr>
        <w:spacing w:before="44" w:line="241" w:lineRule="auto"/>
        <w:ind w:left="650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 xml:space="preserve">第一百一十条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【其他事项】</w:t>
      </w:r>
    </w:p>
    <w:p w14:paraId="16BD084D">
      <w:pPr>
        <w:spacing w:before="169" w:line="219" w:lineRule="auto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7"/>
          <w:sz w:val="31"/>
          <w:szCs w:val="31"/>
        </w:rPr>
        <w:t>（一）本细则中提及的科研机构，是指由区科技部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门认定，</w:t>
      </w:r>
    </w:p>
    <w:p w14:paraId="49E2E8E2">
      <w:pPr>
        <w:spacing w:before="192" w:line="219" w:lineRule="auto"/>
        <w:ind w:left="1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9"/>
          <w:sz w:val="31"/>
          <w:szCs w:val="31"/>
        </w:rPr>
        <w:t>在本区从事科学研究活动的事业单位或民办非企业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单位。</w:t>
      </w:r>
    </w:p>
    <w:p w14:paraId="160E02C9">
      <w:pPr>
        <w:spacing w:before="191" w:line="219" w:lineRule="auto"/>
        <w:ind w:right="52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（二）本细则中规定的“</w:t>
      </w:r>
      <w:r>
        <w:rPr>
          <w:rFonts w:ascii="FangSong_GB2312" w:hAnsi="FangSong_GB2312" w:eastAsia="FangSong_GB2312" w:cs="FangSong_GB2312"/>
          <w:spacing w:val="-116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申请时已在本区连续缴纳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社会保险</w:t>
      </w:r>
    </w:p>
    <w:p w14:paraId="002374EA">
      <w:pPr>
        <w:spacing w:before="194" w:line="325" w:lineRule="auto"/>
        <w:ind w:left="5" w:right="52" w:hanging="5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（无补缴、代缴情况）不少于</w:t>
      </w:r>
      <w:r>
        <w:rPr>
          <w:rFonts w:ascii="FangSong_GB2312" w:hAnsi="FangSong_GB2312" w:eastAsia="FangSong_GB2312" w:cs="FangSong_GB2312"/>
          <w:spacing w:val="-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6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个月”条件要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求，指申请时（含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首次申请和再次申请）向前追溯不少于</w:t>
      </w:r>
      <w:r>
        <w:rPr>
          <w:rFonts w:ascii="FangSong_GB2312" w:hAnsi="FangSong_GB2312" w:eastAsia="FangSong_GB2312" w:cs="FangSong_GB2312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6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个月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内，人才在本区连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续缴纳社会保险（无补缴、代缴情况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）；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其中，中央、省属、市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7"/>
          <w:sz w:val="31"/>
          <w:szCs w:val="31"/>
        </w:rPr>
        <w:t>属驻区单位人员以及境外人员可提供劳动合同和个人所得税纳</w:t>
      </w:r>
    </w:p>
    <w:p w14:paraId="75609D1B">
      <w:pPr>
        <w:spacing w:line="325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10" w:type="default"/>
          <w:pgSz w:w="11906" w:h="16839"/>
          <w:pgMar w:top="1431" w:right="1421" w:bottom="1730" w:left="1593" w:header="0" w:footer="1465" w:gutter="0"/>
          <w:pgNumType w:fmt="decimal"/>
          <w:cols w:space="720" w:num="1"/>
        </w:sectPr>
      </w:pPr>
    </w:p>
    <w:p w14:paraId="68B4BD27">
      <w:pPr>
        <w:pStyle w:val="2"/>
        <w:spacing w:line="246" w:lineRule="auto"/>
      </w:pPr>
    </w:p>
    <w:p w14:paraId="543A9D10">
      <w:pPr>
        <w:pStyle w:val="2"/>
        <w:spacing w:line="246" w:lineRule="auto"/>
      </w:pPr>
    </w:p>
    <w:p w14:paraId="3F5CDB4F">
      <w:pPr>
        <w:pStyle w:val="2"/>
        <w:spacing w:line="246" w:lineRule="auto"/>
      </w:pPr>
    </w:p>
    <w:p w14:paraId="2990235A">
      <w:pPr>
        <w:spacing w:before="101" w:line="220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税记录证明已符合相应的工作时间要求。</w:t>
      </w:r>
    </w:p>
    <w:p w14:paraId="06EC4177">
      <w:pPr>
        <w:spacing w:before="188" w:line="220" w:lineRule="auto"/>
        <w:ind w:right="31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（三）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2023</w:t>
      </w:r>
      <w:r>
        <w:rPr>
          <w:rFonts w:ascii="Times New Roman" w:hAnsi="Times New Roman" w:eastAsia="Times New Roman" w:cs="Times New Roman"/>
          <w:spacing w:val="2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年</w:t>
      </w:r>
      <w:r>
        <w:rPr>
          <w:rFonts w:ascii="FangSong_GB2312" w:hAnsi="FangSong_GB2312" w:eastAsia="FangSong_GB2312" w:cs="FangSong_GB2312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3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  </w:t>
      </w: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日至</w:t>
      </w:r>
      <w:r>
        <w:rPr>
          <w:rFonts w:ascii="FangSong_GB2312" w:hAnsi="FangSong_GB2312" w:eastAsia="FangSong_GB2312" w:cs="FangSong_GB2312"/>
          <w:spacing w:val="-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2024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年</w:t>
      </w:r>
      <w:r>
        <w:rPr>
          <w:rFonts w:ascii="FangSong_GB2312" w:hAnsi="FangSong_GB2312" w:eastAsia="FangSong_GB2312" w:cs="FangSong_GB2312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pacing w:val="3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31  </w:t>
      </w:r>
      <w:r>
        <w:rPr>
          <w:rFonts w:ascii="FangSong_GB2312" w:hAnsi="FangSong_GB2312" w:eastAsia="FangSong_GB2312" w:cs="FangSong_GB2312"/>
          <w:spacing w:val="-6"/>
          <w:sz w:val="31"/>
          <w:szCs w:val="31"/>
        </w:rPr>
        <w:t>日，新取得技师</w:t>
      </w:r>
    </w:p>
    <w:p w14:paraId="1458C16C">
      <w:pPr>
        <w:spacing w:before="190" w:line="325" w:lineRule="auto"/>
        <w:ind w:left="12" w:right="29" w:firstLine="3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以上技能等级（含职业资格，下同）或副高级</w:t>
      </w:r>
      <w:r>
        <w:rPr>
          <w:rFonts w:ascii="FangSong_GB2312" w:hAnsi="FangSong_GB2312" w:eastAsia="FangSong_GB2312" w:cs="FangSong_GB2312"/>
          <w:spacing w:val="3"/>
          <w:sz w:val="31"/>
          <w:szCs w:val="31"/>
        </w:rPr>
        <w:t>以上职称的，仍按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照《关于印发〈广州南沙国际化人才特区集聚人才九条措施实施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细则〉的通知》（穗南开人发〔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2023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4</w:t>
      </w:r>
      <w:r>
        <w:rPr>
          <w:rFonts w:ascii="Times New Roman" w:hAnsi="Times New Roman" w:eastAsia="Times New Roman" w:cs="Times New Roman"/>
          <w:spacing w:val="3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号）关于“技能人才、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专业技术人才职业能力提升支持”</w:t>
      </w:r>
      <w:r>
        <w:rPr>
          <w:rFonts w:ascii="FangSong_GB2312" w:hAnsi="FangSong_GB2312" w:eastAsia="FangSong_GB2312" w:cs="FangSong_GB2312"/>
          <w:spacing w:val="-98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的规定享受支持。</w:t>
      </w:r>
    </w:p>
    <w:p w14:paraId="6A9FB67A">
      <w:pPr>
        <w:spacing w:before="44"/>
        <w:ind w:right="31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11"/>
          <w:sz w:val="31"/>
          <w:szCs w:val="31"/>
        </w:rPr>
        <w:t xml:space="preserve">第一百一十一条 </w:t>
      </w:r>
      <w:r>
        <w:rPr>
          <w:rFonts w:ascii="FangSong_GB2312" w:hAnsi="FangSong_GB2312" w:eastAsia="FangSong_GB2312" w:cs="FangSong_GB2312"/>
          <w:spacing w:val="11"/>
          <w:sz w:val="31"/>
          <w:szCs w:val="31"/>
        </w:rPr>
        <w:t>【特殊事项处理】本细则未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尽事宜及在执</w:t>
      </w:r>
    </w:p>
    <w:p w14:paraId="2FD963A9">
      <w:pPr>
        <w:spacing w:before="169" w:line="325" w:lineRule="auto"/>
        <w:ind w:left="2" w:right="31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行过程中出现的特殊事项，可由政策兑现责任单位或区行业主管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部门提出，按“一事一议”方式报区委人才工作领导小组研究确</w:t>
      </w:r>
      <w:r>
        <w:rPr>
          <w:rFonts w:ascii="FangSong_GB2312" w:hAnsi="FangSong_GB2312" w:eastAsia="FangSong_GB2312" w:cs="FangSong_GB2312"/>
          <w:spacing w:val="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31"/>
          <w:szCs w:val="31"/>
        </w:rPr>
        <w:t>定。</w:t>
      </w:r>
    </w:p>
    <w:p w14:paraId="2BB067DA">
      <w:pPr>
        <w:spacing w:before="31" w:line="407" w:lineRule="exact"/>
        <w:ind w:right="31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11"/>
          <w:position w:val="1"/>
          <w:sz w:val="31"/>
          <w:szCs w:val="31"/>
        </w:rPr>
        <w:t xml:space="preserve">第一百一十二条 </w:t>
      </w:r>
      <w:r>
        <w:rPr>
          <w:rFonts w:ascii="FangSong_GB2312" w:hAnsi="FangSong_GB2312" w:eastAsia="FangSong_GB2312" w:cs="FangSong_GB2312"/>
          <w:spacing w:val="11"/>
          <w:position w:val="1"/>
          <w:sz w:val="31"/>
          <w:szCs w:val="31"/>
        </w:rPr>
        <w:t>【解释权限】本细则由南沙</w:t>
      </w:r>
      <w:r>
        <w:rPr>
          <w:rFonts w:ascii="FangSong_GB2312" w:hAnsi="FangSong_GB2312" w:eastAsia="FangSong_GB2312" w:cs="FangSong_GB2312"/>
          <w:spacing w:val="10"/>
          <w:position w:val="1"/>
          <w:sz w:val="31"/>
          <w:szCs w:val="31"/>
        </w:rPr>
        <w:t>开发区人才发</w:t>
      </w:r>
    </w:p>
    <w:p w14:paraId="00AE354B">
      <w:pPr>
        <w:spacing w:before="165" w:line="219" w:lineRule="auto"/>
        <w:ind w:left="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展局及各政策兑现责任单位负责解释。</w:t>
      </w:r>
    </w:p>
    <w:p w14:paraId="617A7ADE">
      <w:pPr>
        <w:spacing w:before="179" w:line="242" w:lineRule="auto"/>
        <w:ind w:right="43"/>
        <w:jc w:val="right"/>
        <w:outlineLvl w:val="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</w:rPr>
        <w:t xml:space="preserve">第一百一十三条 </w:t>
      </w:r>
      <w:r>
        <w:rPr>
          <w:rFonts w:ascii="FangSong_GB2312" w:hAnsi="FangSong_GB2312" w:eastAsia="FangSong_GB2312" w:cs="FangSong_GB2312"/>
          <w:spacing w:val="10"/>
          <w:sz w:val="31"/>
          <w:szCs w:val="31"/>
        </w:rPr>
        <w:t>【实施时间】本细则自印发之日起施行，</w:t>
      </w:r>
    </w:p>
    <w:p w14:paraId="68E878FC">
      <w:pPr>
        <w:spacing w:before="169" w:line="316" w:lineRule="auto"/>
        <w:ind w:left="16" w:right="31" w:hanging="6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11" w:type="default"/>
          <w:pgSz w:w="11906" w:h="16839"/>
          <w:pgMar w:top="1431" w:right="1378" w:bottom="1730" w:left="1593" w:header="0" w:footer="1465" w:gutter="0"/>
          <w:pgNumType w:fmt="decimal"/>
          <w:cols w:space="720" w:num="1"/>
        </w:sectPr>
      </w:pP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有效期至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2027</w:t>
      </w:r>
      <w:r>
        <w:rPr>
          <w:rFonts w:ascii="Times New Roman" w:hAnsi="Times New Roman" w:eastAsia="Times New Roman" w:cs="Times New Roman"/>
          <w:spacing w:val="24"/>
          <w:w w:val="10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年</w:t>
      </w:r>
      <w:r>
        <w:rPr>
          <w:rFonts w:ascii="FangSong_GB2312" w:hAnsi="FangSong_GB2312" w:eastAsia="FangSong_GB2312" w:cs="FangSong_GB2312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pacing w:val="36"/>
          <w:w w:val="10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月</w:t>
      </w:r>
      <w:r>
        <w:rPr>
          <w:rFonts w:ascii="FangSong_GB2312" w:hAnsi="FangSong_GB2312" w:eastAsia="FangSong_GB2312" w:cs="FangSong_GB2312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31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日。本细则在实施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过程中如遇上级有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关政策调整，本细则将相应调整并另行通知。</w:t>
      </w:r>
    </w:p>
    <w:p w14:paraId="0B011079">
      <w:pPr>
        <w:pStyle w:val="2"/>
        <w:spacing w:line="240" w:lineRule="auto"/>
        <w:jc w:val="center"/>
      </w:pPr>
      <w:bookmarkStart w:id="6" w:name="bookmark75"/>
      <w:bookmarkEnd w:id="6"/>
      <w:r>
        <w:rPr>
          <w:rFonts w:ascii="方正小标宋简体" w:hAnsi="方正小标宋简体" w:eastAsia="方正小标宋简体" w:cs="方正小标宋简体"/>
          <w:spacing w:val="9"/>
          <w:sz w:val="35"/>
          <w:szCs w:val="35"/>
        </w:rPr>
        <w:t>新引进技能人才生活补贴互斥支持项目</w:t>
      </w:r>
    </w:p>
    <w:p w14:paraId="64030D65">
      <w:pPr>
        <w:pStyle w:val="2"/>
        <w:spacing w:before="101" w:line="321" w:lineRule="auto"/>
        <w:ind w:left="32" w:right="16" w:firstLine="639"/>
        <w:jc w:val="both"/>
        <w:rPr>
          <w:spacing w:val="8"/>
          <w:sz w:val="31"/>
          <w:szCs w:val="31"/>
        </w:rPr>
      </w:pPr>
      <w:r>
        <w:rPr>
          <w:spacing w:val="8"/>
          <w:sz w:val="31"/>
          <w:szCs w:val="31"/>
        </w:rPr>
        <w:t>新引进技能人才生活补贴与《广州南沙国际化人才特区集聚人才九条措施》相关支持事项按照就高不重复原则享受支持，不可重复叠加享受，具体事项如下：</w:t>
      </w:r>
    </w:p>
    <w:tbl>
      <w:tblPr>
        <w:tblStyle w:val="7"/>
        <w:tblW w:w="7823" w:type="dxa"/>
        <w:tblInd w:w="32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3458"/>
        <w:gridCol w:w="709"/>
        <w:gridCol w:w="2750"/>
      </w:tblGrid>
      <w:tr w14:paraId="71D59A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906" w:type="dxa"/>
            <w:vAlign w:val="top"/>
          </w:tcPr>
          <w:p w14:paraId="7A549639">
            <w:pPr>
              <w:spacing w:before="239" w:line="224" w:lineRule="auto"/>
              <w:ind w:left="182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6917" w:type="dxa"/>
            <w:gridSpan w:val="3"/>
            <w:vAlign w:val="top"/>
          </w:tcPr>
          <w:p w14:paraId="791DF54A">
            <w:pPr>
              <w:spacing w:before="240" w:line="222" w:lineRule="auto"/>
              <w:ind w:left="2913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  <w:highlight w:val="none"/>
              </w:rPr>
              <w:t>支持事项</w:t>
            </w:r>
          </w:p>
        </w:tc>
      </w:tr>
      <w:tr w14:paraId="29D01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906" w:type="dxa"/>
            <w:vAlign w:val="top"/>
          </w:tcPr>
          <w:p w14:paraId="09A2DB19">
            <w:pPr>
              <w:spacing w:before="283" w:line="189" w:lineRule="auto"/>
              <w:ind w:left="412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6917" w:type="dxa"/>
            <w:gridSpan w:val="3"/>
            <w:vAlign w:val="top"/>
          </w:tcPr>
          <w:p w14:paraId="3B5A1942">
            <w:pPr>
              <w:spacing w:before="236" w:line="213" w:lineRule="auto"/>
              <w:ind w:left="1243"/>
              <w:jc w:val="both"/>
              <w:rPr>
                <w:rFonts w:ascii="FangSong_GB2312" w:hAnsi="FangSong_GB2312" w:eastAsia="FangSong_GB2312" w:cs="FangSong_GB2312"/>
                <w:sz w:val="28"/>
                <w:szCs w:val="28"/>
                <w:highlight w:val="none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  <w:highlight w:val="none"/>
              </w:rPr>
              <w:t>战略科学家、产业顶尖人才人才奖励</w:t>
            </w:r>
          </w:p>
        </w:tc>
      </w:tr>
      <w:tr w14:paraId="4CFA4D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906" w:type="dxa"/>
            <w:vAlign w:val="top"/>
          </w:tcPr>
          <w:p w14:paraId="35B40CD2">
            <w:pPr>
              <w:spacing w:before="283" w:line="189" w:lineRule="auto"/>
              <w:ind w:left="412"/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6917" w:type="dxa"/>
            <w:gridSpan w:val="3"/>
            <w:vAlign w:val="top"/>
          </w:tcPr>
          <w:p w14:paraId="18615F49">
            <w:pPr>
              <w:spacing w:before="236" w:line="213" w:lineRule="auto"/>
              <w:jc w:val="center"/>
              <w:rPr>
                <w:rFonts w:hint="default" w:ascii="FangSong_GB2312" w:hAnsi="FangSong_GB2312" w:eastAsia="FangSong_GB2312" w:cs="FangSong_GB2312"/>
                <w:spacing w:val="-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pacing w:val="-2"/>
                <w:sz w:val="28"/>
                <w:szCs w:val="28"/>
                <w:highlight w:val="none"/>
                <w:lang w:val="en-US" w:eastAsia="zh-CN"/>
              </w:rPr>
              <w:t>国家重大人才项目入选者支持</w:t>
            </w:r>
          </w:p>
        </w:tc>
      </w:tr>
      <w:tr w14:paraId="51F4E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906" w:type="dxa"/>
            <w:vAlign w:val="top"/>
          </w:tcPr>
          <w:p w14:paraId="24CC1A95">
            <w:pPr>
              <w:spacing w:before="284" w:line="189" w:lineRule="auto"/>
              <w:ind w:left="385"/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6917" w:type="dxa"/>
            <w:gridSpan w:val="3"/>
            <w:vAlign w:val="top"/>
          </w:tcPr>
          <w:p w14:paraId="5FD94539">
            <w:pPr>
              <w:spacing w:before="238" w:line="213" w:lineRule="auto"/>
              <w:ind w:left="2203"/>
              <w:jc w:val="left"/>
              <w:rPr>
                <w:rFonts w:ascii="FangSong_GB2312" w:hAnsi="FangSong_GB2312" w:eastAsia="FangSong_GB2312" w:cs="FangSong_GB2312"/>
                <w:sz w:val="28"/>
                <w:szCs w:val="28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pacing w:val="-2"/>
                <w:sz w:val="28"/>
                <w:szCs w:val="28"/>
                <w:highlight w:val="none"/>
                <w:lang w:val="en-US" w:eastAsia="zh-CN"/>
              </w:rPr>
              <w:t>南沙高层次人才奖励</w:t>
            </w:r>
          </w:p>
        </w:tc>
      </w:tr>
      <w:tr w14:paraId="5FA0B4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906" w:type="dxa"/>
            <w:vAlign w:val="top"/>
          </w:tcPr>
          <w:p w14:paraId="711E55C6">
            <w:pPr>
              <w:spacing w:before="284" w:line="189" w:lineRule="auto"/>
              <w:ind w:left="385"/>
              <w:rPr>
                <w:rFonts w:hint="default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6917" w:type="dxa"/>
            <w:gridSpan w:val="3"/>
            <w:vAlign w:val="top"/>
          </w:tcPr>
          <w:p w14:paraId="735EA16F">
            <w:pPr>
              <w:spacing w:before="238" w:line="213" w:lineRule="auto"/>
              <w:jc w:val="center"/>
              <w:rPr>
                <w:rFonts w:hint="eastAsia" w:ascii="FangSong_GB2312" w:hAnsi="FangSong_GB2312" w:eastAsia="FangSong_GB2312" w:cs="FangSong_GB2312"/>
                <w:spacing w:val="-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  <w:highlight w:val="none"/>
              </w:rPr>
              <w:t>新引进学历人才生活补贴</w:t>
            </w:r>
          </w:p>
        </w:tc>
      </w:tr>
      <w:tr w14:paraId="662A7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906" w:type="dxa"/>
            <w:vAlign w:val="top"/>
          </w:tcPr>
          <w:p w14:paraId="1793FA4A">
            <w:pPr>
              <w:spacing w:before="284" w:line="189" w:lineRule="auto"/>
              <w:ind w:left="385"/>
              <w:rPr>
                <w:rFonts w:hint="default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3458" w:type="dxa"/>
            <w:shd w:val="clear" w:color="auto" w:fill="auto"/>
            <w:vAlign w:val="top"/>
          </w:tcPr>
          <w:p w14:paraId="5774575C">
            <w:pPr>
              <w:spacing w:before="241" w:line="213" w:lineRule="auto"/>
              <w:jc w:val="center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en-US" w:bidi="ar-SA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  <w:highlight w:val="none"/>
              </w:rPr>
              <w:t>博士后科研人员支持</w:t>
            </w:r>
          </w:p>
        </w:tc>
        <w:tc>
          <w:tcPr>
            <w:tcW w:w="3459" w:type="dxa"/>
            <w:gridSpan w:val="2"/>
            <w:shd w:val="clear" w:color="auto" w:fill="auto"/>
            <w:vAlign w:val="top"/>
          </w:tcPr>
          <w:p w14:paraId="4FE8D502">
            <w:pPr>
              <w:spacing w:before="240" w:line="216" w:lineRule="auto"/>
              <w:ind w:left="841" w:leftChars="0"/>
              <w:jc w:val="both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en-US" w:bidi="ar-SA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  <w:highlight w:val="none"/>
              </w:rPr>
              <w:t>生活补贴</w:t>
            </w:r>
          </w:p>
        </w:tc>
      </w:tr>
      <w:tr w14:paraId="116021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906" w:type="dxa"/>
            <w:vAlign w:val="top"/>
          </w:tcPr>
          <w:p w14:paraId="1F999205">
            <w:pPr>
              <w:spacing w:before="284" w:line="189" w:lineRule="auto"/>
              <w:ind w:left="385"/>
              <w:rPr>
                <w:rFonts w:hint="default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6917" w:type="dxa"/>
            <w:gridSpan w:val="3"/>
            <w:shd w:val="clear" w:color="auto" w:fill="auto"/>
            <w:vAlign w:val="top"/>
          </w:tcPr>
          <w:p w14:paraId="1FD7E77E">
            <w:pPr>
              <w:spacing w:before="240" w:line="216" w:lineRule="auto"/>
              <w:jc w:val="center"/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  <w:highlight w:val="none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  <w:highlight w:val="none"/>
              </w:rPr>
              <w:t>优秀青年创新创业人才支持</w:t>
            </w:r>
          </w:p>
        </w:tc>
      </w:tr>
      <w:tr w14:paraId="4A03C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906" w:type="dxa"/>
            <w:vAlign w:val="top"/>
          </w:tcPr>
          <w:p w14:paraId="1356301B">
            <w:pPr>
              <w:spacing w:before="284" w:line="189" w:lineRule="auto"/>
              <w:ind w:left="385"/>
              <w:rPr>
                <w:rFonts w:hint="default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6917" w:type="dxa"/>
            <w:gridSpan w:val="3"/>
            <w:shd w:val="clear" w:color="auto" w:fill="auto"/>
            <w:vAlign w:val="top"/>
          </w:tcPr>
          <w:p w14:paraId="5ADC10AE">
            <w:pPr>
              <w:spacing w:before="240" w:line="216" w:lineRule="auto"/>
              <w:jc w:val="center"/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  <w:highlight w:val="none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  <w:highlight w:val="none"/>
              </w:rPr>
              <w:t>新引进国际知名高校博士支持</w:t>
            </w:r>
          </w:p>
        </w:tc>
      </w:tr>
      <w:tr w14:paraId="51996D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906" w:type="dxa"/>
            <w:vAlign w:val="top"/>
          </w:tcPr>
          <w:p w14:paraId="6FEF6BAB">
            <w:pPr>
              <w:spacing w:before="284" w:line="189" w:lineRule="auto"/>
              <w:ind w:left="385"/>
              <w:rPr>
                <w:rFonts w:hint="default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6917" w:type="dxa"/>
            <w:gridSpan w:val="3"/>
            <w:shd w:val="clear" w:color="auto" w:fill="auto"/>
            <w:vAlign w:val="top"/>
          </w:tcPr>
          <w:p w14:paraId="43C4BB19">
            <w:pPr>
              <w:spacing w:before="240" w:line="216" w:lineRule="auto"/>
              <w:jc w:val="center"/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  <w:highlight w:val="none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  <w:highlight w:val="none"/>
              </w:rPr>
              <w:t>海外专业人才支持</w:t>
            </w:r>
          </w:p>
        </w:tc>
      </w:tr>
      <w:tr w14:paraId="7F11CA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906" w:type="dxa"/>
            <w:vAlign w:val="top"/>
          </w:tcPr>
          <w:p w14:paraId="01087D21">
            <w:pPr>
              <w:spacing w:before="284" w:line="189" w:lineRule="auto"/>
              <w:ind w:left="385"/>
              <w:rPr>
                <w:rFonts w:hint="default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  <w:t>9</w:t>
            </w:r>
          </w:p>
        </w:tc>
        <w:tc>
          <w:tcPr>
            <w:tcW w:w="6917" w:type="dxa"/>
            <w:gridSpan w:val="3"/>
            <w:shd w:val="clear" w:color="auto" w:fill="auto"/>
            <w:vAlign w:val="top"/>
          </w:tcPr>
          <w:p w14:paraId="5680E717">
            <w:pPr>
              <w:spacing w:before="240" w:line="216" w:lineRule="auto"/>
              <w:jc w:val="center"/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  <w:highlight w:val="none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  <w:highlight w:val="none"/>
              </w:rPr>
              <w:t>高技能工匠支持</w:t>
            </w:r>
          </w:p>
        </w:tc>
      </w:tr>
      <w:tr w14:paraId="5B729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906" w:type="dxa"/>
            <w:vAlign w:val="top"/>
          </w:tcPr>
          <w:p w14:paraId="52B49C8D">
            <w:pPr>
              <w:spacing w:before="284" w:line="189" w:lineRule="auto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6917" w:type="dxa"/>
            <w:gridSpan w:val="3"/>
            <w:shd w:val="clear" w:color="auto" w:fill="auto"/>
            <w:vAlign w:val="top"/>
          </w:tcPr>
          <w:p w14:paraId="7406A257">
            <w:pPr>
              <w:spacing w:before="240" w:line="216" w:lineRule="auto"/>
              <w:jc w:val="center"/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  <w:highlight w:val="none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  <w:highlight w:val="none"/>
              </w:rPr>
              <w:t>优秀产业金融人才支持</w:t>
            </w:r>
          </w:p>
        </w:tc>
      </w:tr>
      <w:tr w14:paraId="585B2A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906" w:type="dxa"/>
            <w:vAlign w:val="top"/>
          </w:tcPr>
          <w:p w14:paraId="2563962A">
            <w:pPr>
              <w:spacing w:before="284" w:line="189" w:lineRule="auto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  <w:t>11</w:t>
            </w:r>
          </w:p>
        </w:tc>
        <w:tc>
          <w:tcPr>
            <w:tcW w:w="6917" w:type="dxa"/>
            <w:gridSpan w:val="3"/>
            <w:shd w:val="clear" w:color="auto" w:fill="auto"/>
            <w:vAlign w:val="top"/>
          </w:tcPr>
          <w:p w14:paraId="4E01DFD9">
            <w:pPr>
              <w:spacing w:before="240" w:line="216" w:lineRule="auto"/>
              <w:jc w:val="center"/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  <w:highlight w:val="none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  <w:highlight w:val="none"/>
              </w:rPr>
              <w:t>高级海员支持</w:t>
            </w:r>
          </w:p>
        </w:tc>
      </w:tr>
      <w:tr w14:paraId="0C5E16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906" w:type="dxa"/>
            <w:vAlign w:val="top"/>
          </w:tcPr>
          <w:p w14:paraId="197D46FC">
            <w:pPr>
              <w:spacing w:before="286" w:line="189" w:lineRule="auto"/>
              <w:ind w:left="384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</w:p>
          <w:p w14:paraId="10DBDE3A">
            <w:pPr>
              <w:spacing w:before="286" w:line="189" w:lineRule="auto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  <w:t>12</w:t>
            </w:r>
          </w:p>
        </w:tc>
        <w:tc>
          <w:tcPr>
            <w:tcW w:w="4167" w:type="dxa"/>
            <w:gridSpan w:val="2"/>
            <w:vAlign w:val="center"/>
          </w:tcPr>
          <w:p w14:paraId="0D9A07DB">
            <w:pPr>
              <w:spacing w:before="236" w:line="215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  <w:highlight w:val="none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  <w:highlight w:val="none"/>
              </w:rPr>
              <w:t>港澳青创新十条</w:t>
            </w:r>
          </w:p>
        </w:tc>
        <w:tc>
          <w:tcPr>
            <w:tcW w:w="2750" w:type="dxa"/>
            <w:vAlign w:val="center"/>
          </w:tcPr>
          <w:p w14:paraId="47A0C3AC">
            <w:pPr>
              <w:spacing w:before="239" w:line="213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  <w:highlight w:val="none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  <w:highlight w:val="none"/>
              </w:rPr>
              <w:t>就业奖励</w:t>
            </w:r>
          </w:p>
        </w:tc>
      </w:tr>
      <w:tr w14:paraId="21622F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906" w:type="dxa"/>
            <w:vAlign w:val="top"/>
          </w:tcPr>
          <w:p w14:paraId="3B2168A1">
            <w:pPr>
              <w:spacing w:before="297" w:line="189" w:lineRule="auto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17"/>
                <w:sz w:val="28"/>
                <w:szCs w:val="28"/>
                <w:highlight w:val="none"/>
                <w:lang w:val="en-US" w:eastAsia="zh-CN"/>
              </w:rPr>
              <w:t>13</w:t>
            </w:r>
          </w:p>
        </w:tc>
        <w:tc>
          <w:tcPr>
            <w:tcW w:w="6917" w:type="dxa"/>
            <w:gridSpan w:val="3"/>
            <w:vAlign w:val="top"/>
          </w:tcPr>
          <w:p w14:paraId="382AD5F0">
            <w:pPr>
              <w:spacing w:before="240" w:line="213" w:lineRule="auto"/>
              <w:jc w:val="center"/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  <w:highlight w:val="none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  <w:highlight w:val="none"/>
              </w:rPr>
              <w:t>本区给予特定人才的购房优惠政策</w:t>
            </w:r>
          </w:p>
        </w:tc>
      </w:tr>
    </w:tbl>
    <w:p w14:paraId="5C9C5090">
      <w:pPr>
        <w:pStyle w:val="2"/>
        <w:spacing w:before="81" w:line="196" w:lineRule="auto"/>
        <w:rPr>
          <w:sz w:val="28"/>
          <w:szCs w:val="28"/>
        </w:rPr>
      </w:pPr>
    </w:p>
    <w:sectPr>
      <w:footerReference r:id="rId12" w:type="default"/>
      <w:pgSz w:w="11906" w:h="16839"/>
      <w:pgMar w:top="1431" w:right="1217" w:bottom="400" w:left="1598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7C7471">
    <w:pPr>
      <w:pStyle w:val="2"/>
      <w:spacing w:line="189" w:lineRule="auto"/>
      <w:jc w:val="right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FED8F">
    <w:pPr>
      <w:pStyle w:val="2"/>
      <w:spacing w:line="189" w:lineRule="auto"/>
      <w:ind w:left="278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5214A1">
                          <w:pPr>
                            <w:pStyle w:val="3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2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5214A1">
                    <w:pPr>
                      <w:pStyle w:val="3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2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DC0A86">
    <w:pPr>
      <w:pStyle w:val="2"/>
      <w:spacing w:line="188" w:lineRule="auto"/>
      <w:ind w:left="7430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FD06A7">
                          <w:pPr>
                            <w:pStyle w:val="3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3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FD06A7">
                    <w:pPr>
                      <w:pStyle w:val="3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3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EE234F">
    <w:pPr>
      <w:pStyle w:val="2"/>
      <w:spacing w:line="189" w:lineRule="auto"/>
      <w:ind w:left="279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A501CB">
                          <w:pPr>
                            <w:pStyle w:val="3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4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A501CB">
                    <w:pPr>
                      <w:pStyle w:val="3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4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C3D9AD">
    <w:pPr>
      <w:pStyle w:val="2"/>
      <w:spacing w:line="188" w:lineRule="auto"/>
      <w:ind w:left="7430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80E4C2">
                          <w:pPr>
                            <w:pStyle w:val="3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5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80E4C2">
                    <w:pPr>
                      <w:pStyle w:val="3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5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DBD56">
    <w:pPr>
      <w:pStyle w:val="2"/>
      <w:spacing w:line="189" w:lineRule="auto"/>
      <w:ind w:left="278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1455B5">
                          <w:pPr>
                            <w:pStyle w:val="3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6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1455B5">
                    <w:pPr>
                      <w:pStyle w:val="3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6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97B68">
    <w:pPr>
      <w:pStyle w:val="2"/>
      <w:spacing w:line="189" w:lineRule="auto"/>
      <w:ind w:left="7432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047BBB">
                          <w:pPr>
                            <w:pStyle w:val="3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7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047BBB">
                    <w:pPr>
                      <w:pStyle w:val="3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7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0EFFCD">
    <w:pPr>
      <w:pStyle w:val="2"/>
      <w:spacing w:line="188" w:lineRule="auto"/>
      <w:ind w:left="264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2508250</wp:posOffset>
              </wp:positionH>
              <wp:positionV relativeFrom="paragraph">
                <wp:posOffset>-60325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779FED">
                          <w:pPr>
                            <w:pStyle w:val="3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8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7.5pt;margin-top:-4.75pt;height:144pt;width:144pt;mso-position-horizontal-relative:margin;mso-wrap-style:none;z-index:251665408;mso-width-relative:page;mso-height-relative:page;" filled="f" stroked="f" coordsize="21600,21600" o:gfxdata="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aMOf32QAAAAoBAAAPAAAAAAAAAAEAIAAAACIAAABkcnMvZG93bnJldi54&#10;bWxQSwECFAAUAAAACACHTuJA9YuHZDICAABhBAAADgAAAAAAAAABACAAAAAo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779FED">
                    <w:pPr>
                      <w:pStyle w:val="3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8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D261474"/>
    <w:rsid w:val="18B317D6"/>
    <w:rsid w:val="1D436AAB"/>
    <w:rsid w:val="3F327D31"/>
    <w:rsid w:val="462A176F"/>
    <w:rsid w:val="648F0876"/>
    <w:rsid w:val="72041B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3498</Words>
  <Characters>3552</Characters>
  <TotalTime>10</TotalTime>
  <ScaleCrop>false</ScaleCrop>
  <LinksUpToDate>false</LinksUpToDate>
  <CharactersWithSpaces>3761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2024-11-17T00:15:00Z</dcterms:created>
  <dc:creator>yckj</dc:creator>
  <cp:lastModifiedBy>杰明</cp:lastModifiedBy>
  <dcterms:modified xsi:type="dcterms:W3CDTF">2024-12-12T06:18:31Z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2024-12-02T11:34:58Z</vt:filetime>
  </property>
  <property fmtid="{D5CDD505-2E9C-101B-9397-08002B2CF9AE}" pid="4" name="KSOProductBuildVer">
    <vt:lpwstr>2052-12.1.0.19302</vt:lpwstr>
  </property>
  <property fmtid="{D5CDD505-2E9C-101B-9397-08002B2CF9AE}" pid="5" name="ICV">
    <vt:lpwstr>4623179C7B914CFDAFB32F7E0DC23F25_13</vt:lpwstr>
  </property>
</Properties>
</file>