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F503B">
      <w:pPr>
        <w:shd w:val="clear"/>
        <w:spacing w:line="297" w:lineRule="auto"/>
        <w:rPr>
          <w:rFonts w:hint="eastAsia" w:ascii="仿宋_GB2312" w:hAnsi="仿宋_GB2312" w:eastAsia="仿宋_GB2312" w:cs="仿宋_GB2312"/>
          <w:color w:val="auto"/>
          <w:sz w:val="32"/>
          <w:szCs w:val="32"/>
          <w:highlight w:val="none"/>
        </w:rPr>
      </w:pPr>
    </w:p>
    <w:p w14:paraId="1C8DBA77">
      <w:pPr>
        <w:shd w:val="clear"/>
        <w:spacing w:line="297" w:lineRule="auto"/>
        <w:rPr>
          <w:rFonts w:hint="eastAsia" w:ascii="仿宋_GB2312" w:hAnsi="仿宋_GB2312" w:eastAsia="仿宋_GB2312" w:cs="仿宋_GB2312"/>
          <w:color w:val="auto"/>
          <w:sz w:val="32"/>
          <w:szCs w:val="32"/>
          <w:highlight w:val="none"/>
        </w:rPr>
      </w:pPr>
    </w:p>
    <w:p w14:paraId="0D1808CC">
      <w:pPr>
        <w:shd w:val="clear"/>
        <w:spacing w:line="297" w:lineRule="auto"/>
        <w:rPr>
          <w:rFonts w:hint="eastAsia" w:ascii="仿宋_GB2312" w:hAnsi="仿宋_GB2312" w:eastAsia="仿宋_GB2312" w:cs="仿宋_GB2312"/>
          <w:color w:val="auto"/>
          <w:sz w:val="32"/>
          <w:szCs w:val="32"/>
          <w:highlight w:val="none"/>
        </w:rPr>
      </w:pPr>
    </w:p>
    <w:p w14:paraId="07EA81D9">
      <w:pPr>
        <w:shd w:val="clear"/>
        <w:kinsoku/>
        <w:autoSpaceDE/>
        <w:autoSpaceDN/>
        <w:spacing w:line="360" w:lineRule="auto"/>
        <w:jc w:val="center"/>
        <w:textAlignment w:val="auto"/>
        <w:rPr>
          <w:rFonts w:hint="eastAsia" w:ascii="方正小标宋简体" w:hAnsi="方正小标宋简体" w:eastAsia="方正小标宋简体" w:cs="方正小标宋简体"/>
          <w:b w:val="0"/>
          <w:bCs/>
          <w:snapToGrid/>
          <w:color w:val="auto"/>
          <w:kern w:val="2"/>
          <w:sz w:val="44"/>
          <w:szCs w:val="44"/>
          <w:highlight w:val="none"/>
        </w:rPr>
      </w:pPr>
      <w:r>
        <w:rPr>
          <w:rFonts w:hint="eastAsia" w:ascii="方正小标宋简体" w:hAnsi="方正小标宋简体" w:eastAsia="方正小标宋简体" w:cs="方正小标宋简体"/>
          <w:b w:val="0"/>
          <w:bCs/>
          <w:snapToGrid/>
          <w:color w:val="auto"/>
          <w:kern w:val="2"/>
          <w:sz w:val="44"/>
          <w:szCs w:val="44"/>
          <w:highlight w:val="none"/>
        </w:rPr>
        <w:t>榄核镇</w:t>
      </w:r>
      <w:r>
        <w:rPr>
          <w:rFonts w:hint="eastAsia" w:ascii="方正小标宋简体" w:hAnsi="方正小标宋简体" w:eastAsia="方正小标宋简体" w:cs="方正小标宋简体"/>
          <w:b/>
          <w:bCs w:val="0"/>
          <w:snapToGrid/>
          <w:color w:val="auto"/>
          <w:kern w:val="2"/>
          <w:sz w:val="44"/>
          <w:szCs w:val="44"/>
          <w:highlight w:val="none"/>
        </w:rPr>
        <w:t>湴</w:t>
      </w:r>
      <w:r>
        <w:rPr>
          <w:rFonts w:hint="eastAsia" w:ascii="方正小标宋简体" w:hAnsi="方正小标宋简体" w:eastAsia="方正小标宋简体" w:cs="方正小标宋简体"/>
          <w:b w:val="0"/>
          <w:bCs/>
          <w:snapToGrid/>
          <w:color w:val="auto"/>
          <w:kern w:val="2"/>
          <w:sz w:val="44"/>
          <w:szCs w:val="44"/>
          <w:highlight w:val="none"/>
        </w:rPr>
        <w:t>湄村装配式公厕</w:t>
      </w:r>
    </w:p>
    <w:p w14:paraId="30F859D4">
      <w:pPr>
        <w:shd w:val="clear"/>
        <w:kinsoku/>
        <w:autoSpaceDE/>
        <w:autoSpaceDN/>
        <w:spacing w:line="360" w:lineRule="auto"/>
        <w:jc w:val="center"/>
        <w:textAlignment w:val="auto"/>
        <w:rPr>
          <w:rFonts w:hint="eastAsia" w:ascii="仿宋_GB2312" w:hAnsi="仿宋_GB2312" w:eastAsia="仿宋_GB2312" w:cs="仿宋_GB2312"/>
          <w:b/>
          <w:snapToGrid/>
          <w:color w:val="auto"/>
          <w:kern w:val="2"/>
          <w:sz w:val="32"/>
          <w:szCs w:val="32"/>
          <w:highlight w:val="none"/>
        </w:rPr>
      </w:pPr>
    </w:p>
    <w:p w14:paraId="476B4705">
      <w:pPr>
        <w:shd w:val="clear"/>
        <w:spacing w:line="272" w:lineRule="auto"/>
        <w:rPr>
          <w:rFonts w:hint="eastAsia" w:ascii="仿宋_GB2312" w:hAnsi="仿宋_GB2312" w:eastAsia="仿宋_GB2312" w:cs="仿宋_GB2312"/>
          <w:color w:val="auto"/>
          <w:sz w:val="32"/>
          <w:szCs w:val="32"/>
          <w:highlight w:val="none"/>
        </w:rPr>
      </w:pPr>
    </w:p>
    <w:p w14:paraId="3088FD05">
      <w:pPr>
        <w:shd w:val="clear"/>
        <w:spacing w:line="272" w:lineRule="auto"/>
        <w:rPr>
          <w:rFonts w:hint="eastAsia" w:ascii="仿宋_GB2312" w:hAnsi="仿宋_GB2312" w:eastAsia="仿宋_GB2312" w:cs="仿宋_GB2312"/>
          <w:color w:val="auto"/>
          <w:sz w:val="32"/>
          <w:szCs w:val="32"/>
          <w:highlight w:val="none"/>
        </w:rPr>
      </w:pPr>
    </w:p>
    <w:p w14:paraId="27056CD3">
      <w:pPr>
        <w:shd w:val="clear"/>
        <w:spacing w:line="272" w:lineRule="auto"/>
        <w:rPr>
          <w:rFonts w:hint="eastAsia" w:ascii="仿宋_GB2312" w:hAnsi="仿宋_GB2312" w:eastAsia="仿宋_GB2312" w:cs="仿宋_GB2312"/>
          <w:color w:val="auto"/>
          <w:sz w:val="32"/>
          <w:szCs w:val="32"/>
          <w:highlight w:val="none"/>
        </w:rPr>
      </w:pPr>
    </w:p>
    <w:p w14:paraId="1CEB4975">
      <w:pPr>
        <w:shd w:val="clear"/>
        <w:spacing w:line="272" w:lineRule="auto"/>
        <w:rPr>
          <w:rFonts w:hint="eastAsia" w:ascii="仿宋_GB2312" w:hAnsi="仿宋_GB2312" w:eastAsia="仿宋_GB2312" w:cs="仿宋_GB2312"/>
          <w:color w:val="auto"/>
          <w:sz w:val="32"/>
          <w:szCs w:val="32"/>
          <w:highlight w:val="none"/>
        </w:rPr>
      </w:pPr>
    </w:p>
    <w:p w14:paraId="42A7C38D">
      <w:pPr>
        <w:shd w:val="clear"/>
        <w:spacing w:line="272" w:lineRule="auto"/>
        <w:rPr>
          <w:rFonts w:hint="eastAsia" w:ascii="仿宋_GB2312" w:hAnsi="仿宋_GB2312" w:eastAsia="仿宋_GB2312" w:cs="仿宋_GB2312"/>
          <w:color w:val="auto"/>
          <w:sz w:val="32"/>
          <w:szCs w:val="32"/>
          <w:highlight w:val="none"/>
        </w:rPr>
      </w:pPr>
    </w:p>
    <w:p w14:paraId="5EC82EA4">
      <w:pPr>
        <w:shd w:val="clear"/>
        <w:spacing w:line="272" w:lineRule="auto"/>
        <w:rPr>
          <w:rFonts w:hint="eastAsia" w:ascii="仿宋_GB2312" w:hAnsi="仿宋_GB2312" w:eastAsia="仿宋_GB2312" w:cs="仿宋_GB2312"/>
          <w:color w:val="auto"/>
          <w:sz w:val="32"/>
          <w:szCs w:val="32"/>
          <w:highlight w:val="none"/>
        </w:rPr>
      </w:pPr>
    </w:p>
    <w:p w14:paraId="091A7EA5">
      <w:pPr>
        <w:shd w:val="clear"/>
        <w:spacing w:before="169" w:line="222" w:lineRule="auto"/>
        <w:jc w:val="center"/>
        <w:rPr>
          <w:rFonts w:hint="eastAsia" w:ascii="仿宋_GB2312" w:hAnsi="仿宋_GB2312" w:eastAsia="仿宋_GB2312" w:cs="仿宋_GB2312"/>
          <w:b/>
          <w:bCs/>
          <w:color w:val="auto"/>
          <w:sz w:val="32"/>
          <w:szCs w:val="32"/>
          <w:highlight w:val="none"/>
        </w:rPr>
      </w:pPr>
      <w:r>
        <w:rPr>
          <w:rFonts w:hint="eastAsia" w:ascii="方正小标宋简体" w:hAnsi="方正小标宋简体" w:eastAsia="方正小标宋简体" w:cs="方正小标宋简体"/>
          <w:b w:val="0"/>
          <w:bCs/>
          <w:snapToGrid/>
          <w:color w:val="auto"/>
          <w:kern w:val="2"/>
          <w:sz w:val="44"/>
          <w:szCs w:val="44"/>
          <w:highlight w:val="none"/>
        </w:rPr>
        <w:t>项目实施方案</w:t>
      </w:r>
    </w:p>
    <w:p w14:paraId="389F9F49">
      <w:pPr>
        <w:shd w:val="clear"/>
        <w:spacing w:before="277" w:line="223" w:lineRule="auto"/>
        <w:rPr>
          <w:rFonts w:hint="eastAsia" w:ascii="仿宋_GB2312" w:hAnsi="仿宋_GB2312" w:eastAsia="仿宋_GB2312" w:cs="仿宋_GB2312"/>
          <w:color w:val="auto"/>
          <w:sz w:val="32"/>
          <w:szCs w:val="32"/>
          <w:highlight w:val="none"/>
        </w:rPr>
      </w:pPr>
    </w:p>
    <w:p w14:paraId="64E57BD4">
      <w:pPr>
        <w:shd w:val="clear"/>
        <w:spacing w:line="246" w:lineRule="auto"/>
        <w:rPr>
          <w:rFonts w:hint="eastAsia" w:ascii="仿宋_GB2312" w:hAnsi="仿宋_GB2312" w:eastAsia="仿宋_GB2312" w:cs="仿宋_GB2312"/>
          <w:color w:val="auto"/>
          <w:sz w:val="32"/>
          <w:szCs w:val="32"/>
          <w:highlight w:val="none"/>
        </w:rPr>
      </w:pPr>
    </w:p>
    <w:p w14:paraId="7180EC2B">
      <w:pPr>
        <w:shd w:val="clear"/>
        <w:spacing w:line="246" w:lineRule="auto"/>
        <w:rPr>
          <w:rFonts w:hint="eastAsia" w:ascii="仿宋_GB2312" w:hAnsi="仿宋_GB2312" w:eastAsia="仿宋_GB2312" w:cs="仿宋_GB2312"/>
          <w:color w:val="auto"/>
          <w:sz w:val="32"/>
          <w:szCs w:val="32"/>
          <w:highlight w:val="none"/>
        </w:rPr>
      </w:pPr>
    </w:p>
    <w:p w14:paraId="47FDA15E">
      <w:pPr>
        <w:shd w:val="clear"/>
        <w:spacing w:line="246" w:lineRule="auto"/>
        <w:rPr>
          <w:rFonts w:hint="eastAsia" w:ascii="仿宋_GB2312" w:hAnsi="仿宋_GB2312" w:eastAsia="仿宋_GB2312" w:cs="仿宋_GB2312"/>
          <w:color w:val="auto"/>
          <w:sz w:val="32"/>
          <w:szCs w:val="32"/>
          <w:highlight w:val="none"/>
        </w:rPr>
      </w:pPr>
    </w:p>
    <w:p w14:paraId="737CE9AA">
      <w:pPr>
        <w:shd w:val="clear"/>
        <w:spacing w:line="246" w:lineRule="auto"/>
        <w:rPr>
          <w:rFonts w:hint="eastAsia" w:ascii="仿宋_GB2312" w:hAnsi="仿宋_GB2312" w:eastAsia="仿宋_GB2312" w:cs="仿宋_GB2312"/>
          <w:color w:val="auto"/>
          <w:sz w:val="32"/>
          <w:szCs w:val="32"/>
          <w:highlight w:val="none"/>
        </w:rPr>
      </w:pPr>
    </w:p>
    <w:p w14:paraId="5FB4E57F">
      <w:pPr>
        <w:shd w:val="clear"/>
        <w:spacing w:line="246" w:lineRule="auto"/>
        <w:rPr>
          <w:rFonts w:hint="eastAsia" w:ascii="仿宋_GB2312" w:hAnsi="仿宋_GB2312" w:eastAsia="仿宋_GB2312" w:cs="仿宋_GB2312"/>
          <w:color w:val="auto"/>
          <w:sz w:val="32"/>
          <w:szCs w:val="32"/>
          <w:highlight w:val="none"/>
        </w:rPr>
      </w:pPr>
    </w:p>
    <w:p w14:paraId="12165BD2">
      <w:pPr>
        <w:shd w:val="clear"/>
        <w:spacing w:line="246" w:lineRule="auto"/>
        <w:rPr>
          <w:rFonts w:hint="eastAsia" w:ascii="仿宋_GB2312" w:hAnsi="仿宋_GB2312" w:eastAsia="仿宋_GB2312" w:cs="仿宋_GB2312"/>
          <w:color w:val="auto"/>
          <w:sz w:val="32"/>
          <w:szCs w:val="32"/>
          <w:highlight w:val="none"/>
        </w:rPr>
      </w:pPr>
    </w:p>
    <w:p w14:paraId="48CDC796">
      <w:pPr>
        <w:shd w:val="clear"/>
        <w:spacing w:line="246" w:lineRule="auto"/>
        <w:rPr>
          <w:rFonts w:hint="eastAsia" w:ascii="仿宋_GB2312" w:hAnsi="仿宋_GB2312" w:eastAsia="仿宋_GB2312" w:cs="仿宋_GB2312"/>
          <w:color w:val="auto"/>
          <w:sz w:val="32"/>
          <w:szCs w:val="32"/>
          <w:highlight w:val="none"/>
        </w:rPr>
      </w:pPr>
    </w:p>
    <w:p w14:paraId="6E5E0917">
      <w:pPr>
        <w:shd w:val="clear"/>
        <w:spacing w:line="246" w:lineRule="auto"/>
        <w:rPr>
          <w:rFonts w:hint="eastAsia" w:ascii="仿宋_GB2312" w:hAnsi="仿宋_GB2312" w:eastAsia="仿宋_GB2312" w:cs="仿宋_GB2312"/>
          <w:color w:val="auto"/>
          <w:sz w:val="32"/>
          <w:szCs w:val="32"/>
          <w:highlight w:val="none"/>
        </w:rPr>
      </w:pPr>
    </w:p>
    <w:p w14:paraId="75DE2801">
      <w:pPr>
        <w:widowControl w:val="0"/>
        <w:shd w:val="clear"/>
        <w:kinsoku/>
        <w:autoSpaceDE/>
        <w:autoSpaceDN/>
        <w:adjustRightInd/>
        <w:snapToGrid/>
        <w:spacing w:line="360" w:lineRule="auto"/>
        <w:ind w:firstLine="1285" w:firstLineChars="400"/>
        <w:jc w:val="left"/>
        <w:textAlignment w:val="auto"/>
        <w:rPr>
          <w:rFonts w:hint="eastAsia" w:ascii="仿宋_GB2312" w:hAnsi="仿宋_GB2312" w:eastAsia="仿宋_GB2312" w:cs="仿宋_GB2312"/>
          <w:b/>
          <w:snapToGrid/>
          <w:color w:val="auto"/>
          <w:kern w:val="2"/>
          <w:sz w:val="32"/>
          <w:szCs w:val="32"/>
          <w:highlight w:val="none"/>
        </w:rPr>
      </w:pPr>
      <w:r>
        <w:rPr>
          <w:rFonts w:hint="eastAsia" w:ascii="仿宋_GB2312" w:hAnsi="仿宋_GB2312" w:eastAsia="仿宋_GB2312" w:cs="仿宋_GB2312"/>
          <w:b/>
          <w:snapToGrid/>
          <w:color w:val="auto"/>
          <w:kern w:val="2"/>
          <w:sz w:val="32"/>
          <w:szCs w:val="32"/>
          <w:highlight w:val="none"/>
        </w:rPr>
        <w:t>建设单位：广州市南沙区榄核镇人民政府</w:t>
      </w:r>
    </w:p>
    <w:p w14:paraId="0FACB661">
      <w:pPr>
        <w:widowControl w:val="0"/>
        <w:shd w:val="clear"/>
        <w:kinsoku/>
        <w:adjustRightInd/>
        <w:snapToGrid/>
        <w:spacing w:after="120" w:afterLines="50" w:line="360" w:lineRule="auto"/>
        <w:jc w:val="center"/>
        <w:textAlignment w:val="auto"/>
        <w:rPr>
          <w:rFonts w:hint="eastAsia" w:ascii="仿宋_GB2312" w:hAnsi="仿宋_GB2312" w:eastAsia="仿宋_GB2312" w:cs="仿宋_GB2312"/>
          <w:b/>
          <w:bCs/>
          <w:snapToGrid/>
          <w:color w:val="auto"/>
          <w:kern w:val="2"/>
          <w:sz w:val="32"/>
          <w:szCs w:val="32"/>
          <w:highlight w:val="none"/>
        </w:rPr>
        <w:sectPr>
          <w:headerReference r:id="rId3" w:type="default"/>
          <w:footerReference r:id="rId4" w:type="default"/>
          <w:pgSz w:w="11906" w:h="16839" w:orient="landscape"/>
          <w:pgMar w:top="1440" w:right="1800" w:bottom="1440" w:left="1800" w:header="850" w:footer="0" w:gutter="0"/>
          <w:pgNumType w:fmt="decimal"/>
          <w:cols w:space="720" w:num="1"/>
          <w:docGrid w:linePitch="286" w:charSpace="0"/>
        </w:sectPr>
      </w:pPr>
    </w:p>
    <w:sdt>
      <w:sdtPr>
        <w:rPr>
          <w:rFonts w:hint="eastAsia" w:ascii="仿宋_GB2312" w:hAnsi="仿宋_GB2312" w:eastAsia="仿宋_GB2312" w:cs="仿宋_GB2312"/>
          <w:snapToGrid w:val="0"/>
          <w:color w:val="auto"/>
          <w:sz w:val="32"/>
          <w:szCs w:val="32"/>
          <w:highlight w:val="none"/>
          <w:lang w:val="zh-CN"/>
        </w:rPr>
        <w:id w:val="1855996110"/>
        <w:docPartObj>
          <w:docPartGallery w:val="Table of Contents"/>
          <w:docPartUnique/>
        </w:docPartObj>
      </w:sdtPr>
      <w:sdtEndPr>
        <w:rPr>
          <w:rFonts w:hint="eastAsia" w:ascii="仿宋_GB2312" w:hAnsi="仿宋_GB2312" w:eastAsia="仿宋_GB2312" w:cs="仿宋_GB2312"/>
          <w:snapToGrid w:val="0"/>
          <w:color w:val="auto"/>
          <w:sz w:val="32"/>
          <w:szCs w:val="32"/>
          <w:highlight w:val="none"/>
          <w:lang w:val="zh-CN"/>
        </w:rPr>
      </w:sdtEndPr>
      <w:sdtContent>
        <w:p w14:paraId="1C34E2A3">
          <w:pPr>
            <w:pStyle w:val="31"/>
            <w:keepNext w:val="0"/>
            <w:keepLines w:val="0"/>
            <w:pageBreakBefore w:val="0"/>
            <w:widowControl w:val="0"/>
            <w:shd w:val="clear"/>
            <w:wordWrap/>
            <w:overflowPunct/>
            <w:topLinePunct w:val="0"/>
            <w:bidi w:val="0"/>
            <w:spacing w:before="120" w:line="56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lang w:val="zh-CN"/>
            </w:rPr>
            <w:t>目录</w:t>
          </w:r>
        </w:p>
        <w:p w14:paraId="71FFFE16">
          <w:pPr>
            <w:pStyle w:val="17"/>
            <w:keepNext w:val="0"/>
            <w:keepLines w:val="0"/>
            <w:pageBreakBefore w:val="0"/>
            <w:shd w:val="clear"/>
            <w:tabs>
              <w:tab w:val="right" w:leader="dot" w:pos="8296"/>
            </w:tabs>
            <w:wordWrap/>
            <w:overflowPunct/>
            <w:topLinePunct w:val="0"/>
            <w:bidi w:val="0"/>
            <w:adjustRightInd/>
            <w:snapToGrid/>
            <w:spacing w:line="560" w:lineRule="exact"/>
            <w:ind w:left="0" w:leftChars="0"/>
            <w:jc w:val="both"/>
            <w:rPr>
              <w:rFonts w:hint="eastAsia" w:ascii="仿宋_GB2312" w:hAnsi="仿宋_GB2312" w:eastAsia="仿宋_GB2312" w:cs="仿宋_GB2312"/>
              <w:b/>
              <w:bCs/>
              <w:snapToGrid w:val="0"/>
              <w:color w:val="auto"/>
              <w:sz w:val="32"/>
              <w:szCs w:val="32"/>
              <w:highlight w:val="none"/>
              <w:lang w:val="zh-CN"/>
            </w:rPr>
          </w:pPr>
          <w:r>
            <w:rPr>
              <w:rFonts w:hint="eastAsia" w:ascii="仿宋_GB2312" w:hAnsi="仿宋_GB2312" w:eastAsia="仿宋_GB2312" w:cs="仿宋_GB2312"/>
              <w:b/>
              <w:bCs/>
              <w:snapToGrid w:val="0"/>
              <w:color w:val="auto"/>
              <w:sz w:val="32"/>
              <w:szCs w:val="32"/>
              <w:highlight w:val="none"/>
              <w:lang w:val="zh-CN"/>
            </w:rPr>
            <w:t>第一章</w:t>
          </w:r>
          <w:r>
            <w:rPr>
              <w:rFonts w:hint="eastAsia" w:ascii="仿宋_GB2312" w:hAnsi="仿宋_GB2312" w:eastAsia="仿宋_GB2312" w:cs="仿宋_GB2312"/>
              <w:b/>
              <w:bCs/>
              <w:snapToGrid w:val="0"/>
              <w:color w:val="auto"/>
              <w:sz w:val="32"/>
              <w:szCs w:val="32"/>
              <w:highlight w:val="none"/>
              <w:lang w:val="en-US" w:eastAsia="zh-CN"/>
            </w:rPr>
            <w:t xml:space="preserve"> </w:t>
          </w:r>
          <w:r>
            <w:rPr>
              <w:rFonts w:hint="eastAsia" w:ascii="仿宋_GB2312" w:hAnsi="仿宋_GB2312" w:eastAsia="仿宋_GB2312" w:cs="仿宋_GB2312"/>
              <w:b/>
              <w:bCs/>
              <w:snapToGrid w:val="0"/>
              <w:color w:val="auto"/>
              <w:sz w:val="32"/>
              <w:szCs w:val="32"/>
              <w:highlight w:val="none"/>
              <w:lang w:val="zh-CN"/>
            </w:rPr>
            <w:t>项目背景</w:t>
          </w:r>
          <w:r>
            <w:rPr>
              <w:rFonts w:hint="eastAsia" w:ascii="仿宋_GB2312" w:hAnsi="仿宋_GB2312" w:eastAsia="仿宋_GB2312" w:cs="仿宋_GB2312"/>
              <w:b/>
              <w:bCs/>
              <w:snapToGrid w:val="0"/>
              <w:color w:val="auto"/>
              <w:sz w:val="32"/>
              <w:szCs w:val="32"/>
              <w:highlight w:val="none"/>
              <w:lang w:val="zh-CN"/>
            </w:rPr>
            <w:tab/>
          </w:r>
          <w:r>
            <w:rPr>
              <w:rFonts w:hint="eastAsia" w:ascii="仿宋_GB2312" w:hAnsi="仿宋_GB2312" w:eastAsia="仿宋_GB2312" w:cs="仿宋_GB2312"/>
              <w:b/>
              <w:bCs/>
              <w:snapToGrid w:val="0"/>
              <w:color w:val="auto"/>
              <w:sz w:val="32"/>
              <w:szCs w:val="32"/>
              <w:highlight w:val="none"/>
              <w:lang w:val="zh-CN"/>
            </w:rPr>
            <w:t>1</w:t>
          </w:r>
        </w:p>
        <w:p w14:paraId="7FDE866D">
          <w:pPr>
            <w:pStyle w:val="17"/>
            <w:keepNext w:val="0"/>
            <w:keepLines w:val="0"/>
            <w:pageBreakBefore w:val="0"/>
            <w:shd w:val="clear"/>
            <w:tabs>
              <w:tab w:val="right" w:leader="dot" w:pos="8296"/>
            </w:tabs>
            <w:wordWrap/>
            <w:overflowPunct/>
            <w:topLinePunct w:val="0"/>
            <w:bidi w:val="0"/>
            <w:adjustRightInd/>
            <w:snapToGrid/>
            <w:spacing w:line="560" w:lineRule="exact"/>
            <w:ind w:left="0" w:leftChars="0"/>
            <w:jc w:val="both"/>
            <w:rPr>
              <w:rFonts w:hint="eastAsia" w:ascii="仿宋_GB2312" w:hAnsi="仿宋_GB2312" w:eastAsia="仿宋_GB2312" w:cs="仿宋_GB2312"/>
              <w:b/>
              <w:bCs/>
              <w:snapToGrid w:val="0"/>
              <w:color w:val="auto"/>
              <w:sz w:val="32"/>
              <w:szCs w:val="32"/>
              <w:highlight w:val="none"/>
              <w:lang w:val="zh-CN" w:eastAsia="zh-CN"/>
            </w:rPr>
          </w:pPr>
          <w:r>
            <w:rPr>
              <w:rFonts w:hint="eastAsia" w:ascii="仿宋_GB2312" w:hAnsi="仿宋_GB2312" w:eastAsia="仿宋_GB2312" w:cs="仿宋_GB2312"/>
              <w:b/>
              <w:bCs/>
              <w:snapToGrid w:val="0"/>
              <w:color w:val="auto"/>
              <w:sz w:val="32"/>
              <w:szCs w:val="32"/>
              <w:highlight w:val="none"/>
              <w:lang w:val="zh-CN"/>
            </w:rPr>
            <w:t>第二章</w:t>
          </w:r>
          <w:r>
            <w:rPr>
              <w:rFonts w:hint="eastAsia" w:ascii="仿宋_GB2312" w:hAnsi="仿宋_GB2312" w:eastAsia="仿宋_GB2312" w:cs="仿宋_GB2312"/>
              <w:b/>
              <w:bCs/>
              <w:snapToGrid w:val="0"/>
              <w:color w:val="auto"/>
              <w:sz w:val="32"/>
              <w:szCs w:val="32"/>
              <w:highlight w:val="none"/>
              <w:lang w:val="en-US" w:eastAsia="zh-CN"/>
            </w:rPr>
            <w:t xml:space="preserve"> </w:t>
          </w:r>
          <w:r>
            <w:rPr>
              <w:rFonts w:hint="eastAsia" w:ascii="仿宋_GB2312" w:hAnsi="仿宋_GB2312" w:eastAsia="仿宋_GB2312" w:cs="仿宋_GB2312"/>
              <w:b/>
              <w:bCs/>
              <w:snapToGrid w:val="0"/>
              <w:color w:val="auto"/>
              <w:sz w:val="32"/>
              <w:szCs w:val="32"/>
              <w:highlight w:val="none"/>
              <w:lang w:val="zh-CN"/>
            </w:rPr>
            <w:t>建设内容</w:t>
          </w:r>
          <w:r>
            <w:rPr>
              <w:rFonts w:hint="eastAsia" w:ascii="仿宋_GB2312" w:hAnsi="仿宋_GB2312" w:eastAsia="仿宋_GB2312" w:cs="仿宋_GB2312"/>
              <w:b/>
              <w:bCs/>
              <w:snapToGrid w:val="0"/>
              <w:color w:val="auto"/>
              <w:sz w:val="32"/>
              <w:szCs w:val="32"/>
              <w:highlight w:val="none"/>
              <w:lang w:val="zh-CN"/>
            </w:rPr>
            <w:tab/>
          </w:r>
          <w:r>
            <w:rPr>
              <w:rFonts w:hint="eastAsia" w:ascii="仿宋_GB2312" w:hAnsi="仿宋_GB2312" w:eastAsia="仿宋_GB2312" w:cs="仿宋_GB2312"/>
              <w:b/>
              <w:bCs/>
              <w:snapToGrid w:val="0"/>
              <w:color w:val="auto"/>
              <w:sz w:val="32"/>
              <w:szCs w:val="32"/>
              <w:highlight w:val="none"/>
              <w:lang w:val="en-US" w:eastAsia="zh-CN"/>
            </w:rPr>
            <w:t>7</w:t>
          </w:r>
        </w:p>
        <w:p w14:paraId="4F79A0F6">
          <w:pPr>
            <w:pStyle w:val="17"/>
            <w:keepNext w:val="0"/>
            <w:keepLines w:val="0"/>
            <w:pageBreakBefore w:val="0"/>
            <w:shd w:val="clear"/>
            <w:tabs>
              <w:tab w:val="right" w:leader="dot" w:pos="8296"/>
            </w:tabs>
            <w:wordWrap/>
            <w:overflowPunct/>
            <w:topLinePunct w:val="0"/>
            <w:bidi w:val="0"/>
            <w:adjustRightInd/>
            <w:snapToGrid/>
            <w:spacing w:line="560" w:lineRule="exact"/>
            <w:ind w:left="0" w:leftChars="0"/>
            <w:jc w:val="both"/>
            <w:rPr>
              <w:rFonts w:hint="default" w:ascii="仿宋_GB2312" w:hAnsi="仿宋_GB2312" w:eastAsia="仿宋_GB2312" w:cs="仿宋_GB2312"/>
              <w:b/>
              <w:bCs/>
              <w:snapToGrid w:val="0"/>
              <w:color w:val="auto"/>
              <w:sz w:val="32"/>
              <w:szCs w:val="32"/>
              <w:highlight w:val="none"/>
              <w:lang w:val="en-US" w:eastAsia="zh-CN"/>
            </w:rPr>
          </w:pPr>
          <w:r>
            <w:rPr>
              <w:rFonts w:hint="eastAsia" w:ascii="仿宋_GB2312" w:hAnsi="仿宋_GB2312" w:eastAsia="仿宋_GB2312" w:cs="仿宋_GB2312"/>
              <w:b/>
              <w:bCs/>
              <w:snapToGrid w:val="0"/>
              <w:color w:val="auto"/>
              <w:sz w:val="32"/>
              <w:szCs w:val="32"/>
              <w:highlight w:val="none"/>
              <w:lang w:val="zh-CN"/>
            </w:rPr>
            <w:t>第三章</w:t>
          </w:r>
          <w:r>
            <w:rPr>
              <w:rFonts w:hint="eastAsia" w:ascii="仿宋_GB2312" w:hAnsi="仿宋_GB2312" w:eastAsia="仿宋_GB2312" w:cs="仿宋_GB2312"/>
              <w:b/>
              <w:bCs/>
              <w:snapToGrid w:val="0"/>
              <w:color w:val="auto"/>
              <w:sz w:val="32"/>
              <w:szCs w:val="32"/>
              <w:highlight w:val="none"/>
              <w:lang w:val="en-US" w:eastAsia="zh-CN"/>
            </w:rPr>
            <w:t xml:space="preserve"> </w:t>
          </w:r>
          <w:r>
            <w:rPr>
              <w:rFonts w:hint="eastAsia" w:ascii="仿宋_GB2312" w:hAnsi="仿宋_GB2312" w:eastAsia="仿宋_GB2312" w:cs="仿宋_GB2312"/>
              <w:b/>
              <w:bCs/>
              <w:snapToGrid w:val="0"/>
              <w:color w:val="auto"/>
              <w:sz w:val="32"/>
              <w:szCs w:val="32"/>
              <w:highlight w:val="none"/>
              <w:lang w:val="zh-CN"/>
            </w:rPr>
            <w:t>项目投资</w:t>
          </w:r>
          <w:r>
            <w:rPr>
              <w:rFonts w:hint="eastAsia" w:ascii="仿宋_GB2312" w:hAnsi="仿宋_GB2312" w:eastAsia="仿宋_GB2312" w:cs="仿宋_GB2312"/>
              <w:b/>
              <w:bCs/>
              <w:snapToGrid w:val="0"/>
              <w:color w:val="auto"/>
              <w:sz w:val="32"/>
              <w:szCs w:val="32"/>
              <w:highlight w:val="none"/>
              <w:lang w:val="zh-CN"/>
            </w:rPr>
            <w:tab/>
          </w:r>
          <w:r>
            <w:rPr>
              <w:rFonts w:hint="eastAsia" w:ascii="仿宋_GB2312" w:hAnsi="仿宋_GB2312" w:eastAsia="仿宋_GB2312" w:cs="仿宋_GB2312"/>
              <w:b/>
              <w:bCs/>
              <w:snapToGrid w:val="0"/>
              <w:color w:val="auto"/>
              <w:sz w:val="32"/>
              <w:szCs w:val="32"/>
              <w:highlight w:val="none"/>
              <w:lang w:val="en-US" w:eastAsia="zh-CN"/>
            </w:rPr>
            <w:t>9</w:t>
          </w:r>
        </w:p>
        <w:p w14:paraId="49A4D0BD">
          <w:pPr>
            <w:pStyle w:val="17"/>
            <w:keepNext w:val="0"/>
            <w:keepLines w:val="0"/>
            <w:pageBreakBefore w:val="0"/>
            <w:shd w:val="clear"/>
            <w:tabs>
              <w:tab w:val="right" w:leader="dot" w:pos="8296"/>
            </w:tabs>
            <w:wordWrap/>
            <w:overflowPunct/>
            <w:topLinePunct w:val="0"/>
            <w:bidi w:val="0"/>
            <w:adjustRightInd/>
            <w:snapToGrid/>
            <w:spacing w:line="560" w:lineRule="exact"/>
            <w:ind w:left="0" w:leftChars="0"/>
            <w:jc w:val="both"/>
            <w:rPr>
              <w:rFonts w:hint="default" w:ascii="仿宋_GB2312" w:hAnsi="仿宋_GB2312" w:eastAsia="仿宋_GB2312" w:cs="仿宋_GB2312"/>
              <w:b/>
              <w:bCs/>
              <w:snapToGrid w:val="0"/>
              <w:color w:val="auto"/>
              <w:sz w:val="32"/>
              <w:szCs w:val="32"/>
              <w:highlight w:val="none"/>
              <w:lang w:val="en-US" w:eastAsia="zh-CN"/>
            </w:rPr>
          </w:pPr>
          <w:r>
            <w:rPr>
              <w:rFonts w:hint="eastAsia" w:ascii="仿宋_GB2312" w:hAnsi="仿宋_GB2312" w:eastAsia="仿宋_GB2312" w:cs="仿宋_GB2312"/>
              <w:b/>
              <w:bCs/>
              <w:snapToGrid w:val="0"/>
              <w:color w:val="auto"/>
              <w:sz w:val="32"/>
              <w:szCs w:val="32"/>
              <w:highlight w:val="none"/>
              <w:lang w:val="zh-CN"/>
            </w:rPr>
            <w:t>第四章</w:t>
          </w:r>
          <w:r>
            <w:rPr>
              <w:rFonts w:hint="eastAsia" w:ascii="仿宋_GB2312" w:hAnsi="仿宋_GB2312" w:eastAsia="仿宋_GB2312" w:cs="仿宋_GB2312"/>
              <w:b/>
              <w:bCs/>
              <w:snapToGrid w:val="0"/>
              <w:color w:val="auto"/>
              <w:sz w:val="32"/>
              <w:szCs w:val="32"/>
              <w:highlight w:val="none"/>
              <w:lang w:val="en-US" w:eastAsia="zh-CN"/>
            </w:rPr>
            <w:t xml:space="preserve"> </w:t>
          </w:r>
          <w:r>
            <w:rPr>
              <w:rFonts w:hint="eastAsia" w:ascii="仿宋_GB2312" w:hAnsi="仿宋_GB2312" w:eastAsia="仿宋_GB2312" w:cs="仿宋_GB2312"/>
              <w:b/>
              <w:bCs/>
              <w:snapToGrid w:val="0"/>
              <w:color w:val="auto"/>
              <w:sz w:val="32"/>
              <w:szCs w:val="32"/>
              <w:highlight w:val="none"/>
              <w:lang w:val="zh-CN"/>
            </w:rPr>
            <w:t>实施计划</w:t>
          </w:r>
          <w:r>
            <w:rPr>
              <w:rFonts w:hint="eastAsia" w:ascii="仿宋_GB2312" w:hAnsi="仿宋_GB2312" w:eastAsia="仿宋_GB2312" w:cs="仿宋_GB2312"/>
              <w:b/>
              <w:bCs/>
              <w:snapToGrid w:val="0"/>
              <w:color w:val="auto"/>
              <w:sz w:val="32"/>
              <w:szCs w:val="32"/>
              <w:highlight w:val="none"/>
              <w:lang w:val="zh-CN"/>
            </w:rPr>
            <w:tab/>
          </w:r>
          <w:r>
            <w:rPr>
              <w:rFonts w:hint="eastAsia" w:ascii="仿宋_GB2312" w:hAnsi="仿宋_GB2312" w:eastAsia="仿宋_GB2312" w:cs="仿宋_GB2312"/>
              <w:b/>
              <w:bCs/>
              <w:snapToGrid w:val="0"/>
              <w:color w:val="auto"/>
              <w:sz w:val="32"/>
              <w:szCs w:val="32"/>
              <w:highlight w:val="none"/>
              <w:lang w:val="en-US" w:eastAsia="zh-CN"/>
            </w:rPr>
            <w:t>12</w:t>
          </w:r>
        </w:p>
        <w:p w14:paraId="1B88BF25">
          <w:pPr>
            <w:pStyle w:val="17"/>
            <w:keepNext w:val="0"/>
            <w:keepLines w:val="0"/>
            <w:pageBreakBefore w:val="0"/>
            <w:shd w:val="clear"/>
            <w:tabs>
              <w:tab w:val="right" w:leader="dot" w:pos="8296"/>
            </w:tabs>
            <w:wordWrap/>
            <w:overflowPunct/>
            <w:topLinePunct w:val="0"/>
            <w:bidi w:val="0"/>
            <w:adjustRightInd/>
            <w:snapToGrid/>
            <w:spacing w:line="560" w:lineRule="exact"/>
            <w:ind w:left="0" w:leftChars="0"/>
            <w:jc w:val="both"/>
            <w:rPr>
              <w:rFonts w:hint="default" w:ascii="仿宋_GB2312" w:hAnsi="仿宋_GB2312" w:eastAsia="仿宋_GB2312" w:cs="仿宋_GB2312"/>
              <w:b/>
              <w:bCs/>
              <w:snapToGrid w:val="0"/>
              <w:color w:val="auto"/>
              <w:sz w:val="32"/>
              <w:szCs w:val="32"/>
              <w:highlight w:val="none"/>
              <w:lang w:val="en-US" w:eastAsia="zh-CN"/>
            </w:rPr>
          </w:pPr>
          <w:r>
            <w:rPr>
              <w:rFonts w:hint="eastAsia" w:ascii="仿宋_GB2312" w:hAnsi="仿宋_GB2312" w:eastAsia="仿宋_GB2312" w:cs="仿宋_GB2312"/>
              <w:b/>
              <w:bCs/>
              <w:snapToGrid w:val="0"/>
              <w:color w:val="auto"/>
              <w:sz w:val="32"/>
              <w:szCs w:val="32"/>
              <w:highlight w:val="none"/>
              <w:lang w:val="zh-CN"/>
            </w:rPr>
            <w:t>第五章</w:t>
          </w:r>
          <w:r>
            <w:rPr>
              <w:rFonts w:hint="eastAsia" w:ascii="仿宋_GB2312" w:hAnsi="仿宋_GB2312" w:eastAsia="仿宋_GB2312" w:cs="仿宋_GB2312"/>
              <w:b/>
              <w:bCs/>
              <w:snapToGrid w:val="0"/>
              <w:color w:val="auto"/>
              <w:sz w:val="32"/>
              <w:szCs w:val="32"/>
              <w:highlight w:val="none"/>
              <w:lang w:val="en-US" w:eastAsia="zh-CN"/>
            </w:rPr>
            <w:t xml:space="preserve"> </w:t>
          </w:r>
          <w:r>
            <w:rPr>
              <w:rFonts w:hint="eastAsia" w:ascii="仿宋_GB2312" w:hAnsi="仿宋_GB2312" w:eastAsia="仿宋_GB2312" w:cs="仿宋_GB2312"/>
              <w:b/>
              <w:bCs/>
              <w:snapToGrid w:val="0"/>
              <w:color w:val="auto"/>
              <w:sz w:val="32"/>
              <w:szCs w:val="32"/>
              <w:highlight w:val="none"/>
              <w:lang w:val="zh-CN"/>
            </w:rPr>
            <w:t>效益分析</w:t>
          </w:r>
          <w:r>
            <w:rPr>
              <w:rFonts w:hint="eastAsia" w:ascii="仿宋_GB2312" w:hAnsi="仿宋_GB2312" w:eastAsia="仿宋_GB2312" w:cs="仿宋_GB2312"/>
              <w:b/>
              <w:bCs/>
              <w:snapToGrid w:val="0"/>
              <w:color w:val="auto"/>
              <w:sz w:val="32"/>
              <w:szCs w:val="32"/>
              <w:highlight w:val="none"/>
              <w:lang w:val="zh-CN"/>
            </w:rPr>
            <w:tab/>
          </w:r>
          <w:r>
            <w:rPr>
              <w:rFonts w:hint="eastAsia" w:ascii="仿宋_GB2312" w:hAnsi="仿宋_GB2312" w:eastAsia="仿宋_GB2312" w:cs="仿宋_GB2312"/>
              <w:b/>
              <w:bCs/>
              <w:snapToGrid w:val="0"/>
              <w:color w:val="auto"/>
              <w:sz w:val="32"/>
              <w:szCs w:val="32"/>
              <w:highlight w:val="none"/>
              <w:lang w:val="en-US" w:eastAsia="zh-CN"/>
            </w:rPr>
            <w:t>13</w:t>
          </w:r>
        </w:p>
        <w:p w14:paraId="7630D4D5">
          <w:pPr>
            <w:pStyle w:val="17"/>
            <w:keepNext w:val="0"/>
            <w:keepLines w:val="0"/>
            <w:pageBreakBefore w:val="0"/>
            <w:shd w:val="clear"/>
            <w:tabs>
              <w:tab w:val="right" w:leader="dot" w:pos="8296"/>
            </w:tabs>
            <w:wordWrap/>
            <w:overflowPunct/>
            <w:topLinePunct w:val="0"/>
            <w:bidi w:val="0"/>
            <w:adjustRightInd/>
            <w:snapToGrid/>
            <w:spacing w:line="560" w:lineRule="exact"/>
            <w:ind w:left="0" w:left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napToGrid w:val="0"/>
              <w:color w:val="auto"/>
              <w:sz w:val="32"/>
              <w:szCs w:val="32"/>
              <w:highlight w:val="none"/>
              <w:lang w:val="zh-CN"/>
            </w:rPr>
            <w:t>第六章</w:t>
          </w:r>
          <w:r>
            <w:rPr>
              <w:rFonts w:hint="eastAsia" w:ascii="仿宋_GB2312" w:hAnsi="仿宋_GB2312" w:eastAsia="仿宋_GB2312" w:cs="仿宋_GB2312"/>
              <w:b/>
              <w:bCs/>
              <w:snapToGrid w:val="0"/>
              <w:color w:val="auto"/>
              <w:sz w:val="32"/>
              <w:szCs w:val="32"/>
              <w:highlight w:val="none"/>
              <w:lang w:val="en-US" w:eastAsia="zh-CN"/>
            </w:rPr>
            <w:t xml:space="preserve"> </w:t>
          </w:r>
          <w:r>
            <w:rPr>
              <w:rFonts w:hint="eastAsia" w:ascii="仿宋_GB2312" w:hAnsi="仿宋_GB2312" w:eastAsia="仿宋_GB2312" w:cs="仿宋_GB2312"/>
              <w:b/>
              <w:bCs/>
              <w:snapToGrid w:val="0"/>
              <w:color w:val="auto"/>
              <w:sz w:val="32"/>
              <w:szCs w:val="32"/>
              <w:highlight w:val="none"/>
              <w:lang w:val="zh-CN"/>
            </w:rPr>
            <w:t>保障措施</w:t>
          </w:r>
          <w:r>
            <w:rPr>
              <w:rFonts w:hint="eastAsia" w:ascii="仿宋_GB2312" w:hAnsi="仿宋_GB2312" w:eastAsia="仿宋_GB2312" w:cs="仿宋_GB2312"/>
              <w:b/>
              <w:bCs/>
              <w:snapToGrid w:val="0"/>
              <w:color w:val="auto"/>
              <w:sz w:val="32"/>
              <w:szCs w:val="32"/>
              <w:highlight w:val="none"/>
              <w:lang w:val="zh-CN"/>
            </w:rPr>
            <w:tab/>
          </w:r>
          <w:r>
            <w:rPr>
              <w:rFonts w:hint="eastAsia" w:ascii="仿宋_GB2312" w:hAnsi="仿宋_GB2312" w:eastAsia="仿宋_GB2312" w:cs="仿宋_GB2312"/>
              <w:b/>
              <w:bCs/>
              <w:snapToGrid w:val="0"/>
              <w:color w:val="auto"/>
              <w:sz w:val="32"/>
              <w:szCs w:val="32"/>
              <w:highlight w:val="none"/>
              <w:lang w:val="en-US" w:eastAsia="zh-CN"/>
            </w:rPr>
            <w:t>14</w:t>
          </w:r>
        </w:p>
      </w:sdtContent>
    </w:sdt>
    <w:p w14:paraId="11125562">
      <w:pPr>
        <w:keepNext w:val="0"/>
        <w:keepLines w:val="0"/>
        <w:pageBreakBefore w:val="0"/>
        <w:shd w:val="clear"/>
        <w:wordWrap/>
        <w:overflowPunct/>
        <w:topLinePunct w:val="0"/>
        <w:bidi w:val="0"/>
        <w:adjustRightInd/>
        <w:snapToGrid/>
        <w:spacing w:line="560" w:lineRule="exact"/>
        <w:rPr>
          <w:rFonts w:hint="eastAsia" w:ascii="仿宋_GB2312" w:hAnsi="仿宋_GB2312" w:eastAsia="仿宋_GB2312" w:cs="仿宋_GB2312"/>
          <w:color w:val="auto"/>
          <w:sz w:val="32"/>
          <w:szCs w:val="32"/>
          <w:highlight w:val="none"/>
        </w:rPr>
        <w:sectPr>
          <w:headerReference r:id="rId5" w:type="default"/>
          <w:pgSz w:w="11906" w:h="16839" w:orient="landscape"/>
          <w:pgMar w:top="2098" w:right="1474" w:bottom="1984" w:left="1587" w:header="850" w:footer="567" w:gutter="0"/>
          <w:pgNumType w:fmt="decimal"/>
          <w:cols w:space="720" w:num="1"/>
          <w:docGrid w:linePitch="286" w:charSpace="0"/>
        </w:sectPr>
      </w:pPr>
    </w:p>
    <w:p w14:paraId="094B9056">
      <w:pPr>
        <w:keepNext w:val="0"/>
        <w:keepLines w:val="0"/>
        <w:pageBreakBefore w:val="0"/>
        <w:shd w:val="clear"/>
        <w:wordWrap/>
        <w:overflowPunct/>
        <w:topLinePunct w:val="0"/>
        <w:bidi w:val="0"/>
        <w:adjustRightInd/>
        <w:snapToGrid/>
        <w:spacing w:before="120" w:beforeLines="50" w:after="120" w:afterLines="50" w:line="560" w:lineRule="exact"/>
        <w:jc w:val="center"/>
        <w:outlineLvl w:val="0"/>
        <w:rPr>
          <w:rFonts w:hint="eastAsia" w:ascii="仿宋_GB2312" w:hAnsi="仿宋_GB2312" w:eastAsia="仿宋_GB2312" w:cs="仿宋_GB2312"/>
          <w:color w:val="auto"/>
          <w:sz w:val="32"/>
          <w:szCs w:val="32"/>
          <w:highlight w:val="none"/>
        </w:rPr>
      </w:pPr>
      <w:bookmarkStart w:id="0" w:name="_Toc108097349"/>
      <w:bookmarkStart w:id="1" w:name="_Toc180590346"/>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第一章</w:t>
      </w:r>
      <w:bookmarkEnd w:id="0"/>
      <w:r>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t xml:space="preserve">  </w:t>
      </w:r>
      <w:r>
        <w:rPr>
          <w:rFonts w:hint="eastAsia" w:ascii="仿宋_GB2312" w:hAnsi="仿宋_GB2312" w:eastAsia="仿宋_GB2312" w:cs="仿宋_GB2312"/>
          <w:color w:val="auto"/>
          <w:sz w:val="32"/>
          <w:szCs w:val="32"/>
          <w:highlight w:val="none"/>
          <w14:textOutline w14:w="6540" w14:cap="sq" w14:cmpd="sng" w14:algn="ctr">
            <w14:solidFill>
              <w14:srgbClr w14:val="000000"/>
            </w14:solidFill>
            <w14:prstDash w14:val="solid"/>
            <w14:bevel/>
          </w14:textOutline>
        </w:rPr>
        <w:t>项目背景</w:t>
      </w:r>
      <w:bookmarkEnd w:id="1"/>
    </w:p>
    <w:p w14:paraId="212C922E">
      <w:pPr>
        <w:keepNext w:val="0"/>
        <w:keepLines w:val="0"/>
        <w:pageBreakBefore w:val="0"/>
        <w:shd w:val="clear"/>
        <w:wordWrap/>
        <w:overflowPunct/>
        <w:topLinePunct w:val="0"/>
        <w:bidi w:val="0"/>
        <w:adjustRightInd/>
        <w:snapToGrid/>
        <w:spacing w:line="560" w:lineRule="exact"/>
        <w:ind w:firstLine="640" w:firstLineChars="200"/>
        <w:jc w:val="both"/>
        <w:rPr>
          <w:rFonts w:hint="eastAsia" w:ascii="黑体" w:hAnsi="黑体" w:eastAsia="黑体" w:cs="黑体"/>
          <w:b w:val="0"/>
          <w:bCs w:val="0"/>
          <w:color w:val="auto"/>
          <w:sz w:val="32"/>
          <w:szCs w:val="32"/>
          <w:highlight w:val="none"/>
        </w:rPr>
      </w:pPr>
      <w:bookmarkStart w:id="2" w:name="_Toc30259199"/>
      <w:bookmarkStart w:id="3" w:name="_Toc326"/>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政策背景</w:t>
      </w:r>
      <w:bookmarkEnd w:id="2"/>
      <w:bookmarkEnd w:id="3"/>
    </w:p>
    <w:p w14:paraId="4ABAC494">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党的十九大作出中国特色社会主义进入新时代的科学论断，提出实施乡村振兴战略的重大历史任务，在我国“三农”发展进程中具有划时代的里程碑意义，必须深入贯彻习近平新时代中国特色社会主义思想和党的</w:t>
      </w:r>
      <w:r>
        <w:rPr>
          <w:rFonts w:hint="eastAsia" w:ascii="仿宋_GB2312" w:hAnsi="仿宋_GB2312" w:eastAsia="仿宋_GB2312" w:cs="仿宋_GB2312"/>
          <w:color w:val="auto"/>
          <w:sz w:val="32"/>
          <w:szCs w:val="32"/>
          <w:highlight w:val="none"/>
          <w:lang w:val="en-US" w:eastAsia="zh-CN"/>
        </w:rPr>
        <w:t>二十大</w:t>
      </w:r>
      <w:r>
        <w:rPr>
          <w:rFonts w:hint="eastAsia" w:ascii="仿宋_GB2312" w:hAnsi="仿宋_GB2312" w:eastAsia="仿宋_GB2312" w:cs="仿宋_GB2312"/>
          <w:color w:val="auto"/>
          <w:sz w:val="32"/>
          <w:szCs w:val="32"/>
          <w:highlight w:val="none"/>
        </w:rPr>
        <w:t>精神，在认真总结农业农村发展历史性成就和历史性变革的基础上，准确研判经济社会发展趋势和乡村演变发展态势，切实抓住历史机遇，增强责任感、使命感、紧迫感，把乡村振兴战略实施好。</w:t>
      </w:r>
    </w:p>
    <w:p w14:paraId="5489BBBE">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前农业农村基础设施仍是最突出短板，也是城乡差距的最突出体现，必须强化重大工程项目研究论证，建立完善农业农村基础设施建设重大项目库，储备一批打基础、管长远、有影响力的重大建设项目，为农业农村建设注入强大新动能。各级农业农村部门要深刻认识建设完善农业农村基础建设储备库的重要意义，以习近平新时代中国特色社会主义思想为指导，深化农业供给侧结构性改革，聚集农业农村基础设施建设，深入开展调查研究和项目论证，认真组织编制重大建设项目规划，为乡村振兴战略顺利实施和实现农业农村高质量发展提供支撑。</w:t>
      </w:r>
    </w:p>
    <w:p w14:paraId="4AF63F91">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采取填平补齐、分类推进的方式、重点加强集聚提升类村庄投入、强化对特色保护类村庄保护、适当兼顾城郊融合类村庄。</w:t>
      </w:r>
    </w:p>
    <w:p w14:paraId="288CD76B">
      <w:pPr>
        <w:keepNext w:val="0"/>
        <w:keepLines w:val="0"/>
        <w:pageBreakBefore w:val="0"/>
        <w:shd w:val="clear"/>
        <w:wordWrap/>
        <w:overflowPunct/>
        <w:topLinePunct w:val="0"/>
        <w:bidi w:val="0"/>
        <w:adjustRightInd/>
        <w:snapToGrid/>
        <w:spacing w:line="560" w:lineRule="exact"/>
        <w:ind w:firstLine="640" w:firstLineChars="200"/>
        <w:jc w:val="both"/>
        <w:rPr>
          <w:rFonts w:hint="eastAsia" w:ascii="黑体" w:hAnsi="黑体" w:eastAsia="黑体" w:cs="黑体"/>
          <w:color w:val="auto"/>
          <w:sz w:val="32"/>
          <w:szCs w:val="32"/>
          <w:highlight w:val="none"/>
        </w:rPr>
      </w:pPr>
    </w:p>
    <w:p w14:paraId="0ED90E6F">
      <w:pPr>
        <w:keepNext w:val="0"/>
        <w:keepLines w:val="0"/>
        <w:pageBreakBefore w:val="0"/>
        <w:shd w:val="clear"/>
        <w:wordWrap/>
        <w:overflowPunct/>
        <w:topLinePunct w:val="0"/>
        <w:bidi w:val="0"/>
        <w:adjustRightInd/>
        <w:snapToGrid/>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规划情况</w:t>
      </w:r>
    </w:p>
    <w:p w14:paraId="4D5AF08E">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进一步</w:t>
      </w:r>
      <w:r>
        <w:rPr>
          <w:rFonts w:hint="default" w:ascii="Times New Roman" w:hAnsi="Times New Roman" w:eastAsia="仿宋_GB2312" w:cs="Times New Roman"/>
          <w:color w:val="auto"/>
          <w:sz w:val="32"/>
          <w:szCs w:val="32"/>
          <w:highlight w:val="none"/>
        </w:rPr>
        <w:t>推动县域高质量发展、强化乡镇联城带村的节点功能、建设宜居宜业和美乡村等方面提出多项具体要求，全面实施“百县千镇万村高质量发展工程”。到2025年，城乡融合发展体制机制基本建立，县域经济发展加快，新型城镇化、乡村振兴取得新成效，突出短板弱项基本补齐，城乡居民人均可支配收入差距进一步缩小。到2027年，城乡区域协调发展取得明显成效，县域综合实力明显增强，一批经济强县、经济强镇、和美乡村脱颖而出，城乡区域基础设施通达程度更加均衡，基本公共服务均等化水平显著提升，中国式现代化的广东实践在县域取得突破性进展。</w:t>
      </w:r>
    </w:p>
    <w:p w14:paraId="330C6F53">
      <w:pPr>
        <w:keepNext w:val="0"/>
        <w:keepLines w:val="0"/>
        <w:pageBreakBefore w:val="0"/>
        <w:shd w:val="clear"/>
        <w:wordWrap/>
        <w:overflowPunct/>
        <w:topLinePunct w:val="0"/>
        <w:bidi w:val="0"/>
        <w:adjustRightInd/>
        <w:snapToGrid/>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color w:val="auto"/>
          <w:sz w:val="32"/>
          <w:szCs w:val="32"/>
          <w:highlight w:val="none"/>
        </w:rPr>
        <w:t>区域经济、社会和农业现状与存在问题</w:t>
      </w:r>
    </w:p>
    <w:p w14:paraId="1EF974D5">
      <w:pPr>
        <w:keepNext w:val="0"/>
        <w:keepLines w:val="0"/>
        <w:pageBreakBefore w:val="0"/>
        <w:shd w:val="clear"/>
        <w:wordWrap/>
        <w:overflowPunct/>
        <w:topLinePunct w:val="0"/>
        <w:bidi w:val="0"/>
        <w:adjustRightInd/>
        <w:snapToGrid/>
        <w:spacing w:line="560" w:lineRule="exact"/>
        <w:ind w:firstLine="640" w:firstLineChars="200"/>
        <w:jc w:val="both"/>
        <w:rPr>
          <w:rFonts w:hint="eastAsia" w:ascii="楷体_GB2312" w:hAnsi="楷体_GB2312" w:eastAsia="楷体_GB2312" w:cs="楷体_GB2312"/>
          <w:b w:val="0"/>
          <w:bCs w:val="0"/>
          <w:color w:val="auto"/>
          <w:sz w:val="32"/>
          <w:szCs w:val="32"/>
          <w:highlight w:val="none"/>
        </w:rPr>
      </w:pPr>
      <w:bookmarkStart w:id="4" w:name="_Toc30259201"/>
      <w:bookmarkStart w:id="5" w:name="_Toc28724"/>
      <w:r>
        <w:rPr>
          <w:rFonts w:hint="eastAsia" w:ascii="楷体_GB2312" w:hAnsi="楷体_GB2312" w:eastAsia="楷体_GB2312" w:cs="楷体_GB2312"/>
          <w:b w:val="0"/>
          <w:bCs w:val="0"/>
          <w:color w:val="auto"/>
          <w:sz w:val="32"/>
          <w:szCs w:val="32"/>
          <w:highlight w:val="none"/>
          <w:lang w:val="en-US" w:eastAsia="zh-CN"/>
        </w:rPr>
        <w:t>（一）</w:t>
      </w:r>
      <w:r>
        <w:rPr>
          <w:rFonts w:hint="eastAsia" w:ascii="楷体_GB2312" w:hAnsi="楷体_GB2312" w:eastAsia="楷体_GB2312" w:cs="楷体_GB2312"/>
          <w:b w:val="0"/>
          <w:bCs w:val="0"/>
          <w:color w:val="auto"/>
          <w:sz w:val="32"/>
          <w:szCs w:val="32"/>
          <w:highlight w:val="none"/>
        </w:rPr>
        <w:t>区域经济现状与社会背景</w:t>
      </w:r>
    </w:p>
    <w:p w14:paraId="7222B123">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湴湄村位于广州市南沙区榄核镇，是著名音乐家冼星海的故乡，享有“广州市名村”美誉，具有深厚的文化底蕴和红色旅游发展潜力。近年来，湴湄村在乡村振兴战略的推动下，积极发展红色旅游和香云纱等非物质文化遗产，促进了乡村经济的多元化，提高了村民收入。</w:t>
      </w:r>
    </w:p>
    <w:p w14:paraId="25D3CF2A">
      <w:pPr>
        <w:keepNext w:val="0"/>
        <w:keepLines w:val="0"/>
        <w:pageBreakBefore w:val="0"/>
        <w:shd w:val="clear"/>
        <w:wordWrap/>
        <w:overflowPunct/>
        <w:topLinePunct w:val="0"/>
        <w:bidi w:val="0"/>
        <w:adjustRightInd/>
        <w:snapToGrid/>
        <w:spacing w:line="560" w:lineRule="exact"/>
        <w:ind w:firstLine="640" w:firstLineChars="200"/>
        <w:jc w:val="both"/>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rPr>
        <w:t>农业现状</w:t>
      </w:r>
    </w:p>
    <w:p w14:paraId="4272A25B">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湴湄村作为一个典型的岭南水乡，农业以种植香蕉、花卉、果蔗、蔬菜和鱼塘养殖为主。近年来，通过整合资源，部分鱼塘进行了标准化、规模化改造，提升了养殖效率。</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区域内经济仍然依赖传统农业，产业结构单一，高附加值产业和现代服务业尚不发达，存在一定的发展不平衡问题。</w:t>
      </w:r>
    </w:p>
    <w:p w14:paraId="7DC23923">
      <w:pPr>
        <w:keepNext w:val="0"/>
        <w:keepLines w:val="0"/>
        <w:pageBreakBefore w:val="0"/>
        <w:shd w:val="clear"/>
        <w:wordWrap/>
        <w:overflowPunct/>
        <w:topLinePunct w:val="0"/>
        <w:bidi w:val="0"/>
        <w:adjustRightInd/>
        <w:snapToGrid/>
        <w:spacing w:line="560" w:lineRule="exact"/>
        <w:ind w:firstLine="640" w:firstLineChars="200"/>
        <w:jc w:val="both"/>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（三）</w:t>
      </w:r>
      <w:r>
        <w:rPr>
          <w:rFonts w:hint="eastAsia" w:ascii="楷体_GB2312" w:hAnsi="楷体_GB2312" w:eastAsia="楷体_GB2312" w:cs="楷体_GB2312"/>
          <w:b w:val="0"/>
          <w:bCs w:val="0"/>
          <w:color w:val="auto"/>
          <w:sz w:val="32"/>
          <w:szCs w:val="32"/>
          <w:highlight w:val="none"/>
        </w:rPr>
        <w:t>存在问题</w:t>
      </w:r>
    </w:p>
    <w:p w14:paraId="4B0D3C6B">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湴湄村村部活动中心、旅游、休闲农业发展区域，对公共厕所需求高，无法满足游客与村民的日常需求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因此</w:t>
      </w:r>
      <w:r>
        <w:rPr>
          <w:rFonts w:hint="eastAsia" w:ascii="仿宋_GB2312" w:hAnsi="仿宋_GB2312" w:eastAsia="仿宋_GB2312" w:cs="仿宋_GB2312"/>
          <w:color w:val="auto"/>
          <w:sz w:val="32"/>
          <w:szCs w:val="32"/>
          <w:highlight w:val="none"/>
        </w:rPr>
        <w:t>需要增加公厕建设。</w:t>
      </w:r>
    </w:p>
    <w:p w14:paraId="4B5F6079">
      <w:pPr>
        <w:keepNext w:val="0"/>
        <w:keepLines w:val="0"/>
        <w:pageBreakBefore w:val="0"/>
        <w:shd w:val="clear"/>
        <w:wordWrap/>
        <w:overflowPunct/>
        <w:topLinePunct w:val="0"/>
        <w:bidi w:val="0"/>
        <w:adjustRightInd/>
        <w:snapToGrid/>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项目由来</w:t>
      </w:r>
      <w:bookmarkEnd w:id="4"/>
      <w:bookmarkEnd w:id="5"/>
      <w:bookmarkStart w:id="6" w:name="_Toc31116"/>
      <w:bookmarkStart w:id="7" w:name="_Toc30259202"/>
    </w:p>
    <w:p w14:paraId="732BD911">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为响应国家号召，推动“厕所革命”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以“科技+高效+环保”为理念，旨在打造宜居、宜业的美丽乡村，提升村民的生活品质和幸福感。</w:t>
      </w:r>
    </w:p>
    <w:p w14:paraId="251D4059">
      <w:pPr>
        <w:keepNext w:val="0"/>
        <w:keepLines w:val="0"/>
        <w:pageBreakBefore w:val="0"/>
        <w:shd w:val="clear"/>
        <w:wordWrap/>
        <w:overflowPunct/>
        <w:topLinePunct w:val="0"/>
        <w:bidi w:val="0"/>
        <w:adjustRightInd/>
        <w:snapToGrid/>
        <w:spacing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（一）项目选址情况</w:t>
      </w:r>
    </w:p>
    <w:p w14:paraId="7A8E3604">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drawing>
          <wp:anchor distT="0" distB="0" distL="114300" distR="114300" simplePos="0" relativeHeight="251661312" behindDoc="0" locked="0" layoutInCell="1" allowOverlap="1">
            <wp:simplePos x="0" y="0"/>
            <wp:positionH relativeFrom="column">
              <wp:posOffset>3019425</wp:posOffset>
            </wp:positionH>
            <wp:positionV relativeFrom="paragraph">
              <wp:posOffset>92075</wp:posOffset>
            </wp:positionV>
            <wp:extent cx="2219325" cy="1666875"/>
            <wp:effectExtent l="0" t="0" r="9525" b="9525"/>
            <wp:wrapSquare wrapText="bothSides"/>
            <wp:docPr id="2" name="图片 2" descr="173025013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0250133448"/>
                    <pic:cNvPicPr>
                      <a:picLocks noChangeAspect="1"/>
                    </pic:cNvPicPr>
                  </pic:nvPicPr>
                  <pic:blipFill>
                    <a:blip r:embed="rId8"/>
                    <a:stretch>
                      <a:fillRect/>
                    </a:stretch>
                  </pic:blipFill>
                  <pic:spPr>
                    <a:xfrm>
                      <a:off x="0" y="0"/>
                      <a:ext cx="2219325" cy="1666875"/>
                    </a:xfrm>
                    <a:prstGeom prst="rect">
                      <a:avLst/>
                    </a:prstGeom>
                  </pic:spPr>
                </pic:pic>
              </a:graphicData>
            </a:graphic>
          </wp:anchor>
        </w:drawing>
      </w:r>
      <w:r>
        <w:rPr>
          <w:rFonts w:hint="default" w:ascii="Times New Roman" w:hAnsi="Times New Roman" w:eastAsia="仿宋_GB2312" w:cs="Times New Roman"/>
          <w:color w:val="auto"/>
          <w:sz w:val="32"/>
          <w:szCs w:val="32"/>
          <w:highlight w:val="none"/>
          <w:lang w:val="en-US" w:eastAsia="zh-CN"/>
        </w:rPr>
        <w:t>项目位于榄核镇湴湄村星海路海港轩西南侧。</w:t>
      </w:r>
    </w:p>
    <w:p w14:paraId="1543C9E2">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域优势：一是推动我镇重点农文旅产业发展，打造种植、采摘、观光、休闲、游乐等业态于一体的红色美丽村庄田园综合体项目，计划将在2025年4月前开园，项目第一期以农业观光研学为主，届时预计有10万人/年左右的参观人流。为进一步推进落实“星海云纱” 新乡村示范带建设，促进榄核镇现代农业产业、乡村旅游发展，该项目目前正在开展土地平整工作。二是该位置为湴湄村星海路、星海街和重点机耕路交通节点，是村民日常工作生活的必经之路，预计该路段日均人流量1000人次，公厕项目可进一步提升便民服务质量。三是该位置周边有大规模农业种植业，是村内花卉苗木种植集中地之一，配套公厕项目可满足农民群众如厕需求。四是该位置周边计划打造停车场，与产业相配套及供村民使用，便利村民及游客。</w:t>
      </w:r>
    </w:p>
    <w:p w14:paraId="6C0DBBFF">
      <w:pPr>
        <w:keepNext w:val="0"/>
        <w:keepLines w:val="0"/>
        <w:pageBreakBefore w:val="0"/>
        <w:shd w:val="clear"/>
        <w:wordWrap/>
        <w:overflowPunct/>
        <w:topLinePunct w:val="0"/>
        <w:bidi w:val="0"/>
        <w:adjustRightInd/>
        <w:snapToGrid/>
        <w:spacing w:line="560" w:lineRule="exact"/>
        <w:ind w:firstLine="640" w:firstLineChars="200"/>
        <w:jc w:val="both"/>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rPr>
        <w:t>）建设单位基本情况</w:t>
      </w:r>
      <w:bookmarkEnd w:id="6"/>
      <w:bookmarkEnd w:id="7"/>
    </w:p>
    <w:p w14:paraId="25E66305">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业务职责</w:t>
      </w:r>
    </w:p>
    <w:p w14:paraId="37C5CE03">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州市南沙区榄核镇人民政府作为区级人民政府的派出机构，负责本镇的行政管理和公共服务，其性质为地方政府机关单位。主要职责包括但不限于：执行上级政府政策法规，制定和实施本镇发展规划；管理地方经济、农业、教育、文化、卫生、社会事务；推进乡村振兴、环境保护、基础设施建设；维护社会稳定等。法人资格证书可向镇</w:t>
      </w:r>
      <w:r>
        <w:rPr>
          <w:rFonts w:hint="default" w:ascii="Times New Roman" w:hAnsi="Times New Roman" w:eastAsia="仿宋_GB2312" w:cs="Times New Roman"/>
          <w:color w:val="auto"/>
          <w:sz w:val="32"/>
          <w:szCs w:val="32"/>
          <w:highlight w:val="none"/>
          <w:lang w:val="en-US" w:eastAsia="zh-CN"/>
        </w:rPr>
        <w:t>党政综合和人大</w:t>
      </w:r>
      <w:r>
        <w:rPr>
          <w:rFonts w:hint="default" w:ascii="Times New Roman" w:hAnsi="Times New Roman" w:eastAsia="仿宋_GB2312" w:cs="Times New Roman"/>
          <w:color w:val="auto"/>
          <w:sz w:val="32"/>
          <w:szCs w:val="32"/>
          <w:highlight w:val="none"/>
        </w:rPr>
        <w:t>办公室查询获取。</w:t>
      </w:r>
    </w:p>
    <w:p w14:paraId="7EFB2E52">
      <w:pPr>
        <w:keepNext w:val="0"/>
        <w:keepLines w:val="0"/>
        <w:pageBreakBefore w:val="0"/>
        <w:numPr>
          <w:ilvl w:val="0"/>
          <w:numId w:val="0"/>
        </w:numPr>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基础条件</w:t>
      </w:r>
    </w:p>
    <w:p w14:paraId="71A69194">
      <w:pPr>
        <w:keepNext w:val="0"/>
        <w:keepLines w:val="0"/>
        <w:pageBreakBefore w:val="0"/>
        <w:numPr>
          <w:ilvl w:val="0"/>
          <w:numId w:val="0"/>
        </w:numPr>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基础设施：镇</w:t>
      </w:r>
      <w:r>
        <w:rPr>
          <w:rFonts w:hint="default" w:ascii="Times New Roman" w:hAnsi="Times New Roman" w:eastAsia="仿宋_GB2312" w:cs="Times New Roman"/>
          <w:color w:val="auto"/>
          <w:sz w:val="32"/>
          <w:szCs w:val="32"/>
          <w:highlight w:val="none"/>
        </w:rPr>
        <w:t>内设有农业</w:t>
      </w:r>
      <w:r>
        <w:rPr>
          <w:rFonts w:hint="default" w:ascii="Times New Roman" w:hAnsi="Times New Roman" w:eastAsia="仿宋_GB2312" w:cs="Times New Roman"/>
          <w:color w:val="auto"/>
          <w:sz w:val="32"/>
          <w:szCs w:val="32"/>
          <w:highlight w:val="none"/>
          <w:lang w:val="en-US" w:eastAsia="zh-CN"/>
        </w:rPr>
        <w:t>农村</w:t>
      </w:r>
      <w:r>
        <w:rPr>
          <w:rFonts w:hint="default" w:ascii="Times New Roman" w:hAnsi="Times New Roman" w:eastAsia="仿宋_GB2312" w:cs="Times New Roman"/>
          <w:color w:val="auto"/>
          <w:sz w:val="32"/>
          <w:szCs w:val="32"/>
          <w:highlight w:val="none"/>
        </w:rPr>
        <w:t>技术服务中心</w:t>
      </w:r>
      <w:r>
        <w:rPr>
          <w:rFonts w:hint="default" w:ascii="Times New Roman" w:hAnsi="Times New Roman" w:eastAsia="仿宋_GB2312" w:cs="Times New Roman"/>
          <w:color w:val="auto"/>
          <w:sz w:val="32"/>
          <w:szCs w:val="32"/>
          <w:highlight w:val="none"/>
          <w:lang w:val="en-US" w:eastAsia="zh-CN"/>
        </w:rPr>
        <w:t>等服务机构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辖区内农</w:t>
      </w:r>
      <w:r>
        <w:rPr>
          <w:rFonts w:hint="default" w:ascii="Times New Roman" w:hAnsi="Times New Roman" w:eastAsia="仿宋_GB2312" w:cs="Times New Roman"/>
          <w:color w:val="auto"/>
          <w:sz w:val="32"/>
          <w:szCs w:val="32"/>
          <w:highlight w:val="none"/>
        </w:rPr>
        <w:t>田水利设施完善，配备农业机械齐全，具备一定科研合作基础。</w:t>
      </w:r>
    </w:p>
    <w:p w14:paraId="6463B7D7">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影响因素</w:t>
      </w:r>
    </w:p>
    <w:p w14:paraId="3F848D3D">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有利条件：政策支持乡村振兴战略，南沙区位处大湾区，资源丰富，政府重视基础设施投入。</w:t>
      </w:r>
    </w:p>
    <w:p w14:paraId="20412FDE">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不利因素：资金限制、人才短缺，技术更新需求与农村老龄化，环境</w:t>
      </w:r>
      <w:r>
        <w:rPr>
          <w:rFonts w:hint="default" w:ascii="Times New Roman" w:hAnsi="Times New Roman" w:eastAsia="仿宋_GB2312" w:cs="Times New Roman"/>
          <w:color w:val="auto"/>
          <w:sz w:val="32"/>
          <w:szCs w:val="32"/>
          <w:highlight w:val="none"/>
        </w:rPr>
        <w:t>与经济发展矛盾，需更高效管理与平衡。</w:t>
      </w:r>
    </w:p>
    <w:p w14:paraId="026DFD66">
      <w:pPr>
        <w:keepNext w:val="0"/>
        <w:keepLines w:val="0"/>
        <w:pageBreakBefore w:val="0"/>
        <w:shd w:val="clear"/>
        <w:wordWrap/>
        <w:overflowPunct/>
        <w:topLinePunct w:val="0"/>
        <w:bidi w:val="0"/>
        <w:adjustRightInd/>
        <w:snapToGrid/>
        <w:spacing w:line="560" w:lineRule="exact"/>
        <w:ind w:firstLine="640" w:firstLineChars="200"/>
        <w:jc w:val="both"/>
        <w:rPr>
          <w:rFonts w:hint="eastAsia" w:ascii="楷体_GB2312" w:hAnsi="楷体_GB2312" w:eastAsia="楷体_GB2312" w:cs="楷体_GB2312"/>
          <w:color w:val="auto"/>
          <w:sz w:val="32"/>
          <w:szCs w:val="32"/>
          <w:highlight w:val="none"/>
        </w:rPr>
      </w:pPr>
      <w:bookmarkStart w:id="8" w:name="_Toc30259203"/>
      <w:bookmarkStart w:id="9" w:name="_Toc12873"/>
    </w:p>
    <w:p w14:paraId="4BB87315">
      <w:pPr>
        <w:keepNext w:val="0"/>
        <w:keepLines w:val="0"/>
        <w:pageBreakBefore w:val="0"/>
        <w:shd w:val="clear"/>
        <w:wordWrap/>
        <w:overflowPunct/>
        <w:topLinePunct w:val="0"/>
        <w:bidi w:val="0"/>
        <w:adjustRightInd/>
        <w:snapToGrid/>
        <w:spacing w:line="560" w:lineRule="exact"/>
        <w:ind w:firstLine="640" w:firstLineChars="200"/>
        <w:jc w:val="both"/>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）项目建设必要性</w:t>
      </w:r>
      <w:bookmarkEnd w:id="8"/>
      <w:bookmarkEnd w:id="9"/>
    </w:p>
    <w:p w14:paraId="488FBBDD">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政策必要性</w:t>
      </w:r>
    </w:p>
    <w:p w14:paraId="584A99C0">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贯彻落实《中共中央国务院关于实施乡村振兴战略的意见》《中共广东省委关于实施“百县千镇万村高质量发展工程”促进城乡区域协调发展的决定》《南沙区农业和农村经济发展“十四五”规划（2021—2025年）》《广州南沙新区乡村建设规划（2018-2035）》《南沙新区村居环境完善和提升工程工作方案（试行）》等战略和政策要求，榄核镇计划实施榄核镇湴湄村装配式公厕项目。</w:t>
      </w:r>
    </w:p>
    <w:p w14:paraId="5541E625">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社会经济发展必要性</w:t>
      </w:r>
    </w:p>
    <w:p w14:paraId="56F69EC1">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新增产出品（公共服务）：</w:t>
      </w:r>
      <w:r>
        <w:rPr>
          <w:rFonts w:hint="default" w:ascii="Times New Roman" w:hAnsi="Times New Roman" w:eastAsia="仿宋_GB2312" w:cs="Times New Roman"/>
          <w:color w:val="auto"/>
          <w:sz w:val="32"/>
          <w:szCs w:val="32"/>
          <w:highlight w:val="none"/>
        </w:rPr>
        <w:t>项目直接增加了高标准的公共卫生间设施，提升了乡村公共基础设施水平，是响应国家“厕所革命”政策的重要实践。这种现代化、卫生、环保的公厕不仅满足了村民的基本生活需求，也提升了乡村形象，成为吸引游客的重要因素，促进了乡村旅游的发展。</w:t>
      </w:r>
    </w:p>
    <w:p w14:paraId="56813FF6">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投资效益：</w:t>
      </w:r>
      <w:r>
        <w:rPr>
          <w:rFonts w:hint="default" w:ascii="Times New Roman" w:hAnsi="Times New Roman" w:eastAsia="仿宋_GB2312" w:cs="Times New Roman"/>
          <w:color w:val="auto"/>
          <w:sz w:val="32"/>
          <w:szCs w:val="32"/>
          <w:highlight w:val="none"/>
        </w:rPr>
        <w:t>项目通过财政补助实施，资金投入能够迅速转化为实体资产，长期服务于社区，减少因卫生条件不佳导致的健康问题，降低医疗成本。同时，良好的卫生环境促进乡村旅游和投资吸引力，间接带动经济增长，长远看投资回报显著。</w:t>
      </w:r>
    </w:p>
    <w:p w14:paraId="531AB98B">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可持续发展必要性</w:t>
      </w:r>
    </w:p>
    <w:p w14:paraId="623D938C">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环境保护：</w:t>
      </w:r>
      <w:r>
        <w:rPr>
          <w:rFonts w:hint="default" w:ascii="Times New Roman" w:hAnsi="Times New Roman" w:eastAsia="仿宋_GB2312" w:cs="Times New Roman"/>
          <w:color w:val="auto"/>
          <w:sz w:val="32"/>
          <w:szCs w:val="32"/>
          <w:highlight w:val="none"/>
        </w:rPr>
        <w:t>采用装配式建设方式，减少现场施工对环境的干扰和污染，施工速度快，减少噪音和尘埃。此外，公厕设计注重节水节能，采用生态处理系统，减少对水资源的消耗和污染排放，符合绿色发展的理念。</w:t>
      </w:r>
    </w:p>
    <w:p w14:paraId="6466C9CD">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资源配置：</w:t>
      </w:r>
      <w:r>
        <w:rPr>
          <w:rFonts w:hint="default" w:ascii="Times New Roman" w:hAnsi="Times New Roman" w:eastAsia="仿宋_GB2312" w:cs="Times New Roman"/>
          <w:color w:val="auto"/>
          <w:sz w:val="32"/>
          <w:szCs w:val="32"/>
          <w:highlight w:val="none"/>
        </w:rPr>
        <w:t>项目选址科学，利用现有空间资源，避免占用过多耕地或生态敏感区，同时，结合村庄发展规划，合理规划，确保与未来其他基础设施建设的协同性和互补性。</w:t>
      </w:r>
    </w:p>
    <w:p w14:paraId="57664CFB">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生态效益：</w:t>
      </w:r>
      <w:r>
        <w:rPr>
          <w:rFonts w:hint="default" w:ascii="Times New Roman" w:hAnsi="Times New Roman" w:eastAsia="仿宋_GB2312" w:cs="Times New Roman"/>
          <w:color w:val="auto"/>
          <w:sz w:val="32"/>
          <w:szCs w:val="32"/>
          <w:highlight w:val="none"/>
        </w:rPr>
        <w:t>提升公共卫生条件，减少疾病传播，有利于居民健康，是生态文明建设的组成部分。同时，生态友好型公厕设计能促进生态系统平衡，比如利用生物降解技术处理废物，为乡村生态环境的持续改善贡献力量。</w:t>
      </w:r>
    </w:p>
    <w:p w14:paraId="6E0EF8CD">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建设单位的发展需要</w:t>
      </w:r>
    </w:p>
    <w:p w14:paraId="3EEE7057">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经济效益：</w:t>
      </w:r>
      <w:r>
        <w:rPr>
          <w:rFonts w:hint="default" w:ascii="Times New Roman" w:hAnsi="Times New Roman" w:eastAsia="仿宋_GB2312" w:cs="Times New Roman"/>
          <w:color w:val="auto"/>
          <w:sz w:val="32"/>
          <w:szCs w:val="32"/>
          <w:highlight w:val="none"/>
        </w:rPr>
        <w:t>对榄核镇人民政府而言，该项目是提升乡村治理能力和公共服务水平的关键一步，有助于塑造政府正面形象，增强民众信任。通过改善基础设施，可以间接带动乡村旅游和农产品销售，为镇域经济注入新的增长动力。</w:t>
      </w:r>
    </w:p>
    <w:p w14:paraId="4DFF3E14">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社会效益：</w:t>
      </w:r>
      <w:r>
        <w:rPr>
          <w:rFonts w:hint="default" w:ascii="Times New Roman" w:hAnsi="Times New Roman" w:eastAsia="仿宋_GB2312" w:cs="Times New Roman"/>
          <w:color w:val="auto"/>
          <w:sz w:val="32"/>
          <w:szCs w:val="32"/>
          <w:highlight w:val="none"/>
        </w:rPr>
        <w:t>公厕的建设直接提高了村民的生活质量，增强了村民的幸福感和归属感。同时，作为乡村文明建设的标志性项目，能够吸引外部关注和投资，为村庄带来更多的发展机遇，促进社会和谐稳定。</w:t>
      </w:r>
    </w:p>
    <w:p w14:paraId="65ECD8E3">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发展要求：</w:t>
      </w:r>
      <w:r>
        <w:rPr>
          <w:rFonts w:hint="default" w:ascii="Times New Roman" w:hAnsi="Times New Roman" w:eastAsia="仿宋_GB2312" w:cs="Times New Roman"/>
          <w:color w:val="auto"/>
          <w:sz w:val="32"/>
          <w:szCs w:val="32"/>
          <w:highlight w:val="none"/>
        </w:rPr>
        <w:t>随着乡村振兴战略的深入实施，对基础设施现代化的需求日益迫切，公厕项目是响应国家政策，落实乡村治理体系和治理能力现代化的重要举措，符合镇政府的长远发展目标。</w:t>
      </w:r>
    </w:p>
    <w:p w14:paraId="29A13CB5">
      <w:pPr>
        <w:keepNext w:val="0"/>
        <w:keepLines w:val="0"/>
        <w:pageBreakBefore w:val="0"/>
        <w:shd w:val="clear"/>
        <w:wordWrap/>
        <w:overflowPunct/>
        <w:topLinePunct w:val="0"/>
        <w:bidi w:val="0"/>
        <w:adjustRightInd/>
        <w:snapToGrid/>
        <w:spacing w:before="120" w:beforeLines="50" w:after="120" w:afterLines="50" w:line="560" w:lineRule="exact"/>
        <w:jc w:val="center"/>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14:paraId="58173524">
      <w:pPr>
        <w:keepNext w:val="0"/>
        <w:keepLines w:val="0"/>
        <w:pageBreakBefore w:val="0"/>
        <w:shd w:val="clear"/>
        <w:wordWrap/>
        <w:overflowPunct/>
        <w:topLinePunct w:val="0"/>
        <w:bidi w:val="0"/>
        <w:adjustRightInd/>
        <w:snapToGrid/>
        <w:spacing w:before="120" w:beforeLines="50" w:after="120" w:afterLines="50" w:line="560" w:lineRule="exact"/>
        <w:jc w:val="center"/>
        <w:outlineLvl w:val="0"/>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pPr>
      <w:r>
        <w:rPr>
          <w:rFonts w:hint="eastAsia" w:ascii="仿宋_GB2312" w:hAnsi="仿宋_GB2312" w:eastAsia="仿宋_GB2312" w:cs="仿宋_GB2312"/>
          <w:color w:val="auto"/>
          <w:sz w:val="32"/>
          <w:szCs w:val="32"/>
          <w:highlight w:val="none"/>
          <w:lang w:val="en-US" w:eastAsia="zh-CN"/>
        </w:rPr>
        <w:t xml:space="preserve">  </w:t>
      </w:r>
      <w:bookmarkStart w:id="10" w:name="_Toc108097365"/>
      <w:bookmarkStart w:id="11" w:name="_Toc180590347"/>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第二章</w:t>
      </w:r>
      <w:bookmarkEnd w:id="10"/>
      <w:r>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t xml:space="preserve">  </w:t>
      </w:r>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建设内容</w:t>
      </w:r>
      <w:bookmarkEnd w:id="11"/>
    </w:p>
    <w:p w14:paraId="0B4E3FA5">
      <w:pPr>
        <w:keepNext w:val="0"/>
        <w:keepLines w:val="0"/>
        <w:pageBreakBefore w:val="0"/>
        <w:shd w:val="clear"/>
        <w:wordWrap/>
        <w:overflowPunct/>
        <w:topLinePunct w:val="0"/>
        <w:bidi w:val="0"/>
        <w:adjustRightInd/>
        <w:snapToGrid/>
        <w:spacing w:line="560" w:lineRule="exact"/>
        <w:ind w:firstLine="640" w:firstLineChars="200"/>
        <w:jc w:val="both"/>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建设原则</w:t>
      </w:r>
    </w:p>
    <w:p w14:paraId="524E59D1">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坚持导向，服务大局原则</w:t>
      </w:r>
    </w:p>
    <w:p w14:paraId="387B5EA4">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以人为本，对接需求原则</w:t>
      </w:r>
    </w:p>
    <w:p w14:paraId="02DF9962">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统筹规划，共建共享原则</w:t>
      </w:r>
    </w:p>
    <w:p w14:paraId="29EEF960">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因地制宜，分类指导原则</w:t>
      </w:r>
    </w:p>
    <w:p w14:paraId="5741C8B6">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改革创新，提升效能原则</w:t>
      </w:r>
    </w:p>
    <w:p w14:paraId="05330619">
      <w:pPr>
        <w:keepNext w:val="0"/>
        <w:keepLines w:val="0"/>
        <w:pageBreakBefore w:val="0"/>
        <w:shd w:val="clear"/>
        <w:wordWrap/>
        <w:overflowPunct/>
        <w:topLinePunct w:val="0"/>
        <w:bidi w:val="0"/>
        <w:adjustRightInd/>
        <w:snapToGrid/>
        <w:spacing w:line="560" w:lineRule="exact"/>
        <w:ind w:firstLine="640" w:firstLineChars="200"/>
        <w:jc w:val="both"/>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rPr>
        <w:t>功能定位</w:t>
      </w:r>
    </w:p>
    <w:p w14:paraId="45E70265">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服务功能：提供卫生、清洁的公共厕所服务，保障基本卫生需求。</w:t>
      </w:r>
    </w:p>
    <w:p w14:paraId="5CFCEA15">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服务能力：24小时开放，无障碍设计，满足不同人群需求。</w:t>
      </w:r>
    </w:p>
    <w:p w14:paraId="1CAF35BA">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生活：增设洗手区、母婴设施，提升生活便利性。</w:t>
      </w:r>
    </w:p>
    <w:p w14:paraId="4357FCE0">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环保交流：设置垃圾分类回收，普及环保知识。</w:t>
      </w:r>
    </w:p>
    <w:p w14:paraId="6351AA02">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智能服务：考虑智能感应系统，提高使用效率与清洁频次。</w:t>
      </w:r>
    </w:p>
    <w:p w14:paraId="088CEA0C">
      <w:pPr>
        <w:keepNext w:val="0"/>
        <w:keepLines w:val="0"/>
        <w:pageBreakBefore w:val="0"/>
        <w:shd w:val="clear"/>
        <w:wordWrap/>
        <w:overflowPunct/>
        <w:topLinePunct w:val="0"/>
        <w:bidi w:val="0"/>
        <w:adjustRightInd/>
        <w:snapToGrid/>
        <w:spacing w:line="560" w:lineRule="exact"/>
        <w:ind w:firstLine="640" w:firstLineChars="200"/>
        <w:jc w:val="both"/>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建设内容</w:t>
      </w:r>
    </w:p>
    <w:p w14:paraId="3CD722BB">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新建一座约50平方米装配式公厕，含男卫、女卫、无障碍卫生间、洗手区。</w:t>
      </w:r>
    </w:p>
    <w:p w14:paraId="679C6BE1">
      <w:pPr>
        <w:keepNext w:val="0"/>
        <w:keepLines w:val="0"/>
        <w:pageBreakBefore w:val="0"/>
        <w:shd w:val="clear"/>
        <w:wordWrap/>
        <w:overflowPunct/>
        <w:topLinePunct w:val="0"/>
        <w:bidi w:val="0"/>
        <w:adjustRightInd/>
        <w:snapToGrid/>
        <w:spacing w:line="560" w:lineRule="exact"/>
        <w:ind w:firstLine="640" w:firstLineChars="200"/>
        <w:jc w:val="both"/>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建设地点</w:t>
      </w:r>
    </w:p>
    <w:p w14:paraId="5460015F">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项目位于榄核镇湴湄村</w:t>
      </w:r>
      <w:r>
        <w:rPr>
          <w:rFonts w:hint="eastAsia" w:ascii="仿宋_GB2312" w:hAnsi="仿宋_GB2312" w:eastAsia="仿宋_GB2312" w:cs="仿宋_GB2312"/>
          <w:color w:val="auto"/>
          <w:sz w:val="32"/>
          <w:szCs w:val="32"/>
          <w:highlight w:val="none"/>
          <w:lang w:val="en-US" w:eastAsia="zh-CN"/>
        </w:rPr>
        <w:t>星海路海港轩西南侧</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目前该区域周边配套农文旅产业项目，打造红色美丽村庄田园综合体，大力发展乡村特色产业，引进各知名企业及业内外界群众前往实地参观游玩，为更好完善产业周边基础设施配套，计划在该位置建设一个装配式公厕，为前往的游客提供便利，解决需求。</w:t>
      </w:r>
    </w:p>
    <w:p w14:paraId="528300F4">
      <w:pPr>
        <w:keepNext w:val="0"/>
        <w:keepLines w:val="0"/>
        <w:pageBreakBefore w:val="0"/>
        <w:shd w:val="clear"/>
        <w:wordWrap/>
        <w:overflowPunct/>
        <w:topLinePunct w:val="0"/>
        <w:bidi w:val="0"/>
        <w:spacing w:before="9" w:line="560" w:lineRule="exact"/>
        <w:ind w:left="18" w:right="46" w:firstLine="560"/>
        <w:rPr>
          <w:rFonts w:hint="eastAsia" w:ascii="仿宋_GB2312" w:hAnsi="仿宋_GB2312" w:eastAsia="仿宋_GB2312" w:cs="仿宋_GB2312"/>
          <w:color w:val="auto"/>
          <w:spacing w:val="-1"/>
          <w:sz w:val="32"/>
          <w:szCs w:val="32"/>
          <w:highlight w:val="none"/>
        </w:rPr>
      </w:pPr>
      <w:bookmarkStart w:id="12" w:name="_Toc4769"/>
      <w:bookmarkStart w:id="13" w:name="_Toc30259207"/>
      <w:r>
        <w:rPr>
          <w:rFonts w:hint="eastAsia" w:ascii="仿宋_GB2312" w:hAnsi="仿宋_GB2312" w:eastAsia="仿宋_GB2312" w:cs="仿宋_GB2312"/>
          <w:color w:val="auto"/>
          <w:spacing w:val="-1"/>
          <w:sz w:val="32"/>
          <w:szCs w:val="32"/>
          <w:highlight w:val="none"/>
        </w:rPr>
        <w:drawing>
          <wp:anchor distT="0" distB="0" distL="114935" distR="114935" simplePos="0" relativeHeight="251660288" behindDoc="0" locked="0" layoutInCell="1" allowOverlap="1">
            <wp:simplePos x="0" y="0"/>
            <wp:positionH relativeFrom="column">
              <wp:posOffset>30480</wp:posOffset>
            </wp:positionH>
            <wp:positionV relativeFrom="paragraph">
              <wp:posOffset>121920</wp:posOffset>
            </wp:positionV>
            <wp:extent cx="5612765" cy="3180715"/>
            <wp:effectExtent l="0" t="0" r="10795" b="444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612765" cy="3180715"/>
                    </a:xfrm>
                    <a:prstGeom prst="rect">
                      <a:avLst/>
                    </a:prstGeom>
                    <a:noFill/>
                    <a:ln>
                      <a:noFill/>
                    </a:ln>
                  </pic:spPr>
                </pic:pic>
              </a:graphicData>
            </a:graphic>
          </wp:anchor>
        </w:drawing>
      </w:r>
      <w:bookmarkEnd w:id="12"/>
      <w:bookmarkEnd w:id="13"/>
    </w:p>
    <w:p w14:paraId="4045D66D">
      <w:pPr>
        <w:keepNext w:val="0"/>
        <w:keepLines w:val="0"/>
        <w:pageBreakBefore w:val="0"/>
        <w:shd w:val="clear"/>
        <w:wordWrap/>
        <w:overflowPunct/>
        <w:topLinePunct w:val="0"/>
        <w:bidi w:val="0"/>
        <w:spacing w:before="9" w:line="560" w:lineRule="exact"/>
        <w:ind w:left="18" w:right="46" w:firstLine="560"/>
        <w:rPr>
          <w:rFonts w:hint="eastAsia" w:ascii="仿宋_GB2312" w:hAnsi="仿宋_GB2312" w:eastAsia="仿宋_GB2312" w:cs="仿宋_GB2312"/>
          <w:color w:val="auto"/>
          <w:spacing w:val="-1"/>
          <w:sz w:val="32"/>
          <w:szCs w:val="32"/>
          <w:highlight w:val="none"/>
        </w:rPr>
      </w:pPr>
    </w:p>
    <w:p w14:paraId="00AA0173">
      <w:pPr>
        <w:keepNext w:val="0"/>
        <w:keepLines w:val="0"/>
        <w:pageBreakBefore w:val="0"/>
        <w:shd w:val="clear"/>
        <w:wordWrap/>
        <w:overflowPunct/>
        <w:topLinePunct w:val="0"/>
        <w:bidi w:val="0"/>
        <w:spacing w:before="9" w:line="560" w:lineRule="exact"/>
        <w:ind w:left="18" w:right="46" w:firstLine="560"/>
        <w:rPr>
          <w:rFonts w:hint="eastAsia" w:ascii="仿宋_GB2312" w:hAnsi="仿宋_GB2312" w:eastAsia="仿宋_GB2312" w:cs="仿宋_GB2312"/>
          <w:color w:val="auto"/>
          <w:spacing w:val="-1"/>
          <w:sz w:val="32"/>
          <w:szCs w:val="32"/>
          <w:highlight w:val="none"/>
        </w:rPr>
      </w:pPr>
    </w:p>
    <w:p w14:paraId="53D77F7E">
      <w:pPr>
        <w:keepNext w:val="0"/>
        <w:keepLines w:val="0"/>
        <w:pageBreakBefore w:val="0"/>
        <w:shd w:val="clear"/>
        <w:wordWrap/>
        <w:overflowPunct/>
        <w:topLinePunct w:val="0"/>
        <w:bidi w:val="0"/>
        <w:spacing w:before="9" w:line="560" w:lineRule="exact"/>
        <w:ind w:left="18" w:right="46" w:firstLine="560"/>
        <w:rPr>
          <w:rFonts w:hint="eastAsia" w:ascii="仿宋_GB2312" w:hAnsi="仿宋_GB2312" w:eastAsia="仿宋_GB2312" w:cs="仿宋_GB2312"/>
          <w:color w:val="auto"/>
          <w:sz w:val="32"/>
          <w:szCs w:val="32"/>
          <w:highlight w:val="none"/>
        </w:rPr>
        <w:sectPr>
          <w:footerReference r:id="rId6" w:type="default"/>
          <w:pgSz w:w="11906" w:h="16839" w:orient="landscape"/>
          <w:pgMar w:top="2098" w:right="1474" w:bottom="1587" w:left="1984" w:header="850" w:footer="680" w:gutter="0"/>
          <w:pgNumType w:fmt="decimal" w:start="1"/>
          <w:cols w:space="720" w:num="1"/>
          <w:docGrid w:linePitch="286" w:charSpace="0"/>
        </w:sectPr>
      </w:pPr>
    </w:p>
    <w:p w14:paraId="37AA2FCE">
      <w:pPr>
        <w:keepNext w:val="0"/>
        <w:keepLines w:val="0"/>
        <w:pageBreakBefore w:val="0"/>
        <w:shd w:val="clear"/>
        <w:wordWrap/>
        <w:overflowPunct/>
        <w:topLinePunct w:val="0"/>
        <w:bidi w:val="0"/>
        <w:adjustRightInd/>
        <w:snapToGrid/>
        <w:spacing w:before="120" w:beforeLines="50" w:after="120" w:afterLines="50" w:line="560" w:lineRule="exact"/>
        <w:jc w:val="center"/>
        <w:outlineLvl w:val="0"/>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pPr>
      <w:bookmarkStart w:id="14" w:name="_bookmark39"/>
      <w:bookmarkEnd w:id="14"/>
      <w:bookmarkStart w:id="15" w:name="_Toc108097387"/>
      <w:bookmarkStart w:id="16" w:name="_Toc180590348"/>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第三章</w:t>
      </w:r>
      <w:bookmarkEnd w:id="15"/>
      <w:r>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t xml:space="preserve">  </w:t>
      </w:r>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项目投资</w:t>
      </w:r>
      <w:bookmarkEnd w:id="16"/>
    </w:p>
    <w:p w14:paraId="5EA0924A">
      <w:pPr>
        <w:keepNext w:val="0"/>
        <w:keepLines w:val="0"/>
        <w:pageBreakBefore w:val="0"/>
        <w:shd w:val="clear"/>
        <w:wordWrap/>
        <w:overflowPunct/>
        <w:topLinePunct w:val="0"/>
        <w:bidi w:val="0"/>
        <w:adjustRightInd/>
        <w:snapToGrid/>
        <w:spacing w:line="560" w:lineRule="exact"/>
        <w:ind w:firstLine="640" w:firstLineChars="200"/>
        <w:jc w:val="both"/>
        <w:rPr>
          <w:rFonts w:hint="eastAsia" w:ascii="黑体" w:hAnsi="黑体" w:eastAsia="黑体" w:cs="黑体"/>
          <w:b w:val="0"/>
          <w:bCs w:val="0"/>
          <w:color w:val="auto"/>
          <w:sz w:val="32"/>
          <w:szCs w:val="32"/>
          <w:highlight w:val="none"/>
        </w:rPr>
      </w:pPr>
      <w:bookmarkStart w:id="17" w:name="_bookmark40"/>
      <w:bookmarkEnd w:id="17"/>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投资估算编制说明</w:t>
      </w:r>
    </w:p>
    <w:p w14:paraId="6E4B4FB0">
      <w:pPr>
        <w:keepNext w:val="0"/>
        <w:keepLines w:val="0"/>
        <w:pageBreakBefore w:val="0"/>
        <w:shd w:val="clear"/>
        <w:wordWrap/>
        <w:overflowPunct/>
        <w:topLinePunct w:val="0"/>
        <w:bidi w:val="0"/>
        <w:adjustRightInd/>
        <w:snapToGrid/>
        <w:spacing w:line="560" w:lineRule="exact"/>
        <w:ind w:firstLine="640" w:firstLineChars="200"/>
        <w:jc w:val="both"/>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rPr>
        <w:t>）编制范围</w:t>
      </w:r>
    </w:p>
    <w:p w14:paraId="0F581009">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概况：榄核镇湴湄村装配式公厕项目是一项响应国家“厕所革命”政策，旨在提升乡村公共卫生设施水平的现代化建设项目。项目采用装配式建筑技术，通过工厂预制构件现场快速组装，以达到高效、环保的建设目标。公厕设计融入了科技、高效和环保理念，旨在提升村民及游客的使用体验，促进乡村旅游业发展，并作为标杆示范项目推动当地乡村振兴战略的实施。</w:t>
      </w:r>
    </w:p>
    <w:p w14:paraId="273F3EB7">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建设地点：本项目位于广州市南沙区榄核镇湴湄村。</w:t>
      </w:r>
    </w:p>
    <w:p w14:paraId="7D0FE480">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建设规模：计划新建一座50平方米的装配式公厕。</w:t>
      </w:r>
    </w:p>
    <w:p w14:paraId="07071E52">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工程数量：50平方米装配式公厕。</w:t>
      </w:r>
    </w:p>
    <w:p w14:paraId="0395DD4C">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施工总工期：预计项目自202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月开始，至202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年1</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月完成。</w:t>
      </w:r>
    </w:p>
    <w:p w14:paraId="5A84EA9D">
      <w:pPr>
        <w:keepNext w:val="0"/>
        <w:keepLines w:val="0"/>
        <w:pageBreakBefore w:val="0"/>
        <w:shd w:val="clear"/>
        <w:wordWrap/>
        <w:overflowPunct/>
        <w:topLinePunct w:val="0"/>
        <w:bidi w:val="0"/>
        <w:adjustRightInd/>
        <w:snapToGrid/>
        <w:spacing w:line="560" w:lineRule="exact"/>
        <w:ind w:firstLine="640" w:firstLineChars="200"/>
        <w:jc w:val="both"/>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投资估算</w:t>
      </w:r>
    </w:p>
    <w:p w14:paraId="4DA3D6AD">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本项目总估算</w:t>
      </w:r>
      <w:r>
        <w:rPr>
          <w:rFonts w:hint="default" w:ascii="Times New Roman" w:hAnsi="Times New Roman" w:eastAsia="仿宋_GB2312" w:cs="Times New Roman"/>
          <w:color w:val="auto"/>
          <w:sz w:val="32"/>
          <w:szCs w:val="32"/>
          <w:highlight w:val="none"/>
          <w:lang w:val="en-US" w:eastAsia="zh-CN"/>
        </w:rPr>
        <w:t>37.891</w:t>
      </w:r>
      <w:r>
        <w:rPr>
          <w:rFonts w:hint="default" w:ascii="Times New Roman" w:hAnsi="Times New Roman" w:eastAsia="仿宋_GB2312" w:cs="Times New Roman"/>
          <w:color w:val="auto"/>
          <w:sz w:val="32"/>
          <w:szCs w:val="32"/>
          <w:highlight w:val="none"/>
        </w:rPr>
        <w:t>万元，其中工程建设费33万元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市级资金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4.89万元（镇级资金），</w:t>
      </w:r>
      <w:r>
        <w:rPr>
          <w:rFonts w:hint="default" w:ascii="Times New Roman" w:hAnsi="Times New Roman" w:eastAsia="仿宋_GB2312" w:cs="Times New Roman"/>
          <w:color w:val="auto"/>
          <w:sz w:val="32"/>
          <w:szCs w:val="32"/>
          <w:highlight w:val="none"/>
        </w:rPr>
        <w:t>详见附表。</w:t>
      </w:r>
      <w:bookmarkStart w:id="18" w:name="_Toc30259218"/>
    </w:p>
    <w:bookmarkEnd w:id="18"/>
    <w:p w14:paraId="7F829A18">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建安费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用于装配式公厕建设费用，其中包含主体结构、装配式结构部分、电气、防雷、给排水、智能化等建设内容</w:t>
      </w:r>
      <w:r>
        <w:rPr>
          <w:rFonts w:hint="default" w:ascii="Times New Roman" w:hAnsi="Times New Roman" w:eastAsia="仿宋_GB2312" w:cs="Times New Roman"/>
          <w:color w:val="auto"/>
          <w:sz w:val="32"/>
          <w:szCs w:val="32"/>
          <w:highlight w:val="none"/>
        </w:rPr>
        <w:t>。</w:t>
      </w:r>
    </w:p>
    <w:p w14:paraId="2BCB3158">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镇级资金：用于项目</w:t>
      </w:r>
      <w:r>
        <w:rPr>
          <w:rFonts w:hint="default" w:ascii="Times New Roman" w:hAnsi="Times New Roman" w:eastAsia="仿宋_GB2312" w:cs="Times New Roman"/>
          <w:color w:val="auto"/>
          <w:sz w:val="32"/>
          <w:szCs w:val="32"/>
          <w:highlight w:val="none"/>
        </w:rPr>
        <w:t>设计、监理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竣工图编制、项目检测、保险、造价咨询等费用</w:t>
      </w:r>
      <w:r>
        <w:rPr>
          <w:rFonts w:hint="default" w:ascii="Times New Roman" w:hAnsi="Times New Roman" w:eastAsia="仿宋_GB2312" w:cs="Times New Roman"/>
          <w:color w:val="auto"/>
          <w:sz w:val="32"/>
          <w:szCs w:val="32"/>
          <w:highlight w:val="none"/>
        </w:rPr>
        <w:t>。</w:t>
      </w:r>
    </w:p>
    <w:p w14:paraId="3CBFA51B">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不可预见费：为应对施工过程中的意外情况预留的资金。</w:t>
      </w:r>
    </w:p>
    <w:p w14:paraId="0F68297B">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不包括的项目或费用：</w:t>
      </w:r>
    </w:p>
    <w:p w14:paraId="5644D07B">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项目运营维护费用：项目建成后的日常维护和运营管理费用不由本预算承担。</w:t>
      </w:r>
    </w:p>
    <w:p w14:paraId="29084C26">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业主自备设施费用：如村民个人财产的迁移或升级不在项目费用范围内。</w:t>
      </w:r>
    </w:p>
    <w:p w14:paraId="56E66F45">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政策性调整费用：如遇政策变动导致的税费调整等额外成本。</w:t>
      </w:r>
    </w:p>
    <w:p w14:paraId="23019048">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征地拆迁及补偿费：涉及的征地补偿、青苗补偿等。</w:t>
      </w:r>
    </w:p>
    <w:p w14:paraId="703F398B">
      <w:pPr>
        <w:keepNext w:val="0"/>
        <w:keepLines w:val="0"/>
        <w:pageBreakBefore w:val="0"/>
        <w:shd w:val="clear"/>
        <w:wordWrap/>
        <w:overflowPunct/>
        <w:topLinePunct w:val="0"/>
        <w:bidi w:val="0"/>
        <w:adjustRightInd/>
        <w:snapToGrid/>
        <w:spacing w:line="560" w:lineRule="exact"/>
        <w:ind w:firstLine="960" w:firstLineChars="300"/>
        <w:jc w:val="both"/>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编制依据</w:t>
      </w:r>
    </w:p>
    <w:p w14:paraId="0069640D">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《农业建设项目投资估算内容和方法》(NY/T1716-2009)</w:t>
      </w:r>
    </w:p>
    <w:p w14:paraId="3337A5DE">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（2）《建设项目投资估算编审规程》（CECA/GC1-2015）</w:t>
      </w:r>
    </w:p>
    <w:p w14:paraId="103955EB">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（3）《建设项目经济评价方法与参数(第三版)》</w:t>
      </w:r>
    </w:p>
    <w:p w14:paraId="46B9CB6C">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（4）《公路工程基本建设项目概算、预算编制办法》（JTGB06-2007）</w:t>
      </w:r>
    </w:p>
    <w:p w14:paraId="7CD9C999">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（5）交通运输部办公厅关于印发《公路工程营业税改征增值计价依据调整方案》的通知(交办公路〔2016〕66号）</w:t>
      </w:r>
    </w:p>
    <w:p w14:paraId="3B922280">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（6）国家发展和改革委员会、建设部《关于发布&lt;工程勘察建设收费管理规定&gt;的通知》</w:t>
      </w:r>
    </w:p>
    <w:p w14:paraId="3C27EEF4">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（7）国家发展计划委员会、建设部价格〔2002〕10号《工程勘察建设收费标准》</w:t>
      </w:r>
    </w:p>
    <w:p w14:paraId="05B0D516">
      <w:pPr>
        <w:keepNext w:val="0"/>
        <w:keepLines w:val="0"/>
        <w:pageBreakBefore w:val="0"/>
        <w:shd w:val="clear"/>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（8）其他有关广东省预算、概算定额，地方预算、概算定额。</w:t>
      </w:r>
    </w:p>
    <w:p w14:paraId="69B94F80">
      <w:pPr>
        <w:keepNext w:val="0"/>
        <w:keepLines w:val="0"/>
        <w:pageBreakBefore w:val="0"/>
        <w:shd w:val="clear"/>
        <w:wordWrap/>
        <w:overflowPunct/>
        <w:topLinePunct w:val="0"/>
        <w:bidi w:val="0"/>
        <w:adjustRightInd/>
        <w:snapToGrid/>
        <w:spacing w:line="560" w:lineRule="exact"/>
        <w:jc w:val="center"/>
        <w:rPr>
          <w:rFonts w:hint="eastAsia" w:ascii="仿宋_GB2312" w:hAnsi="仿宋_GB2312" w:eastAsia="仿宋_GB2312" w:cs="仿宋_GB2312"/>
          <w:color w:val="auto"/>
          <w:spacing w:val="-1"/>
          <w:sz w:val="32"/>
          <w:szCs w:val="32"/>
          <w:highlight w:val="none"/>
        </w:rPr>
      </w:pPr>
    </w:p>
    <w:p w14:paraId="4833B5F9">
      <w:pPr>
        <w:keepNext w:val="0"/>
        <w:keepLines w:val="0"/>
        <w:pageBreakBefore w:val="0"/>
        <w:shd w:val="clear"/>
        <w:wordWrap/>
        <w:overflowPunct/>
        <w:topLinePunct w:val="0"/>
        <w:bidi w:val="0"/>
        <w:adjustRightInd/>
        <w:snapToGrid/>
        <w:spacing w:line="560" w:lineRule="exact"/>
        <w:ind w:firstLine="639" w:firstLineChars="200"/>
        <w:jc w:val="center"/>
        <w:rPr>
          <w:rFonts w:hint="eastAsia" w:ascii="仿宋_GB2312" w:hAnsi="仿宋_GB2312" w:eastAsia="仿宋_GB2312" w:cs="仿宋_GB2312"/>
          <w:b/>
          <w:bCs/>
          <w:color w:val="auto"/>
          <w:spacing w:val="-1"/>
          <w:sz w:val="32"/>
          <w:szCs w:val="32"/>
          <w:highlight w:val="none"/>
        </w:rPr>
        <w:sectPr>
          <w:pgSz w:w="11906" w:h="16839" w:orient="landscape"/>
          <w:pgMar w:top="1440" w:right="1800" w:bottom="1440" w:left="1800" w:header="850" w:footer="680" w:gutter="0"/>
          <w:pgNumType w:fmt="decimal"/>
          <w:cols w:space="720" w:num="1"/>
          <w:docGrid w:linePitch="286" w:charSpace="0"/>
        </w:sectPr>
      </w:pPr>
    </w:p>
    <w:p w14:paraId="3D66CAAA">
      <w:pPr>
        <w:keepNext w:val="0"/>
        <w:keepLines w:val="0"/>
        <w:pageBreakBefore w:val="0"/>
        <w:shd w:val="clear"/>
        <w:wordWrap/>
        <w:overflowPunct/>
        <w:topLinePunct w:val="0"/>
        <w:bidi w:val="0"/>
        <w:adjustRightInd/>
        <w:snapToGrid/>
        <w:spacing w:before="120" w:beforeLines="50" w:after="120" w:afterLines="50" w:line="560" w:lineRule="exact"/>
        <w:jc w:val="center"/>
        <w:outlineLvl w:val="0"/>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pPr>
      <w:bookmarkStart w:id="19" w:name="_Toc108097374"/>
      <w:bookmarkStart w:id="20" w:name="_Toc180590349"/>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第四章</w:t>
      </w:r>
      <w:bookmarkEnd w:id="19"/>
      <w:r>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t xml:space="preserve">  </w:t>
      </w:r>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实施计划</w:t>
      </w:r>
      <w:bookmarkEnd w:id="20"/>
    </w:p>
    <w:p w14:paraId="65C87000">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color w:val="auto"/>
          <w:spacing w:val="-1"/>
          <w:sz w:val="32"/>
          <w:szCs w:val="32"/>
          <w:highlight w:val="none"/>
        </w:rPr>
      </w:pPr>
      <w:bookmarkStart w:id="21" w:name="_bookmark28"/>
      <w:bookmarkEnd w:id="21"/>
      <w:r>
        <w:rPr>
          <w:rFonts w:hint="eastAsia" w:ascii="黑体" w:hAnsi="黑体" w:eastAsia="黑体" w:cs="黑体"/>
          <w:color w:val="auto"/>
          <w:spacing w:val="-1"/>
          <w:sz w:val="32"/>
          <w:szCs w:val="32"/>
          <w:highlight w:val="none"/>
          <w:lang w:val="en-US" w:eastAsia="zh-CN"/>
        </w:rPr>
        <w:t>一、</w:t>
      </w:r>
      <w:r>
        <w:rPr>
          <w:rFonts w:hint="eastAsia" w:ascii="黑体" w:hAnsi="黑体" w:eastAsia="黑体" w:cs="黑体"/>
          <w:color w:val="auto"/>
          <w:spacing w:val="-1"/>
          <w:sz w:val="32"/>
          <w:szCs w:val="32"/>
          <w:highlight w:val="none"/>
        </w:rPr>
        <w:t>施工部署</w:t>
      </w:r>
    </w:p>
    <w:p w14:paraId="072A0AB9">
      <w:pPr>
        <w:keepNext w:val="0"/>
        <w:keepLines w:val="0"/>
        <w:pageBreakBefore w:val="0"/>
        <w:shd w:val="clear"/>
        <w:wordWrap/>
        <w:overflowPunct/>
        <w:topLinePunct w:val="0"/>
        <w:bidi w:val="0"/>
        <w:adjustRightInd/>
        <w:snapToGrid/>
        <w:spacing w:line="560" w:lineRule="exact"/>
        <w:ind w:firstLine="636" w:firstLineChars="200"/>
        <w:jc w:val="both"/>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pacing w:val="-1"/>
          <w:sz w:val="32"/>
          <w:szCs w:val="32"/>
          <w:highlight w:val="none"/>
        </w:rPr>
        <w:t>工程目标：确保工程质量优良，工期</w:t>
      </w:r>
      <w:r>
        <w:rPr>
          <w:rFonts w:hint="default" w:ascii="Times New Roman" w:hAnsi="Times New Roman" w:eastAsia="仿宋_GB2312" w:cs="Times New Roman"/>
          <w:color w:val="auto"/>
          <w:spacing w:val="-1"/>
          <w:sz w:val="32"/>
          <w:szCs w:val="32"/>
          <w:highlight w:val="none"/>
          <w:lang w:val="en-US" w:eastAsia="zh-CN"/>
        </w:rPr>
        <w:t>360</w:t>
      </w:r>
      <w:r>
        <w:rPr>
          <w:rFonts w:hint="default" w:ascii="Times New Roman" w:hAnsi="Times New Roman" w:eastAsia="仿宋_GB2312" w:cs="Times New Roman"/>
          <w:color w:val="auto"/>
          <w:spacing w:val="-1"/>
          <w:sz w:val="32"/>
          <w:szCs w:val="32"/>
          <w:highlight w:val="none"/>
        </w:rPr>
        <w:t>天内完成，无安全事故，成本控制在预算内。</w:t>
      </w:r>
    </w:p>
    <w:p w14:paraId="04E3584A">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施工</w:t>
      </w:r>
      <w:r>
        <w:rPr>
          <w:rFonts w:hint="eastAsia" w:ascii="仿宋_GB2312" w:hAnsi="仿宋_GB2312" w:eastAsia="仿宋_GB2312" w:cs="仿宋_GB2312"/>
          <w:color w:val="auto"/>
          <w:spacing w:val="-1"/>
          <w:sz w:val="32"/>
          <w:szCs w:val="32"/>
          <w:highlight w:val="none"/>
          <w:lang w:val="en-US" w:eastAsia="zh-CN"/>
        </w:rPr>
        <w:t>前期</w:t>
      </w:r>
      <w:r>
        <w:rPr>
          <w:rFonts w:hint="eastAsia" w:ascii="仿宋_GB2312" w:hAnsi="仿宋_GB2312" w:eastAsia="仿宋_GB2312" w:cs="仿宋_GB2312"/>
          <w:color w:val="auto"/>
          <w:spacing w:val="-1"/>
          <w:sz w:val="32"/>
          <w:szCs w:val="32"/>
          <w:highlight w:val="none"/>
        </w:rPr>
        <w:t>准备</w:t>
      </w:r>
      <w:r>
        <w:rPr>
          <w:rFonts w:hint="eastAsia" w:ascii="仿宋_GB2312" w:hAnsi="仿宋_GB2312" w:eastAsia="仿宋_GB2312" w:cs="仿宋_GB2312"/>
          <w:color w:val="auto"/>
          <w:spacing w:val="-1"/>
          <w:sz w:val="32"/>
          <w:szCs w:val="32"/>
          <w:highlight w:val="none"/>
          <w:lang w:val="en-US" w:eastAsia="zh-CN"/>
        </w:rPr>
        <w:t>工作</w:t>
      </w:r>
      <w:r>
        <w:rPr>
          <w:rFonts w:hint="eastAsia" w:ascii="仿宋_GB2312" w:hAnsi="仿宋_GB2312" w:eastAsia="仿宋_GB2312" w:cs="仿宋_GB2312"/>
          <w:color w:val="auto"/>
          <w:spacing w:val="-1"/>
          <w:sz w:val="32"/>
          <w:szCs w:val="32"/>
          <w:highlight w:val="none"/>
        </w:rPr>
        <w:t>：技术交底、安全培训、材料设备进场、现场布置。</w:t>
      </w:r>
    </w:p>
    <w:p w14:paraId="4C744CDB">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color w:val="auto"/>
          <w:spacing w:val="-1"/>
          <w:sz w:val="32"/>
          <w:szCs w:val="32"/>
          <w:highlight w:val="none"/>
        </w:rPr>
      </w:pPr>
      <w:r>
        <w:rPr>
          <w:rFonts w:hint="eastAsia" w:ascii="黑体" w:hAnsi="黑体" w:eastAsia="黑体" w:cs="黑体"/>
          <w:color w:val="auto"/>
          <w:spacing w:val="-1"/>
          <w:sz w:val="32"/>
          <w:szCs w:val="32"/>
          <w:highlight w:val="none"/>
          <w:lang w:val="en-US" w:eastAsia="zh-CN"/>
        </w:rPr>
        <w:t>二、</w:t>
      </w:r>
      <w:r>
        <w:rPr>
          <w:rFonts w:hint="eastAsia" w:ascii="黑体" w:hAnsi="黑体" w:eastAsia="黑体" w:cs="黑体"/>
          <w:color w:val="auto"/>
          <w:spacing w:val="-1"/>
          <w:sz w:val="32"/>
          <w:szCs w:val="32"/>
          <w:highlight w:val="none"/>
        </w:rPr>
        <w:t>施工进度计划</w:t>
      </w:r>
    </w:p>
    <w:p w14:paraId="4C90591F">
      <w:pPr>
        <w:keepNext w:val="0"/>
        <w:keepLines w:val="0"/>
        <w:pageBreakBefore w:val="0"/>
        <w:shd w:val="clear"/>
        <w:wordWrap/>
        <w:overflowPunct/>
        <w:topLinePunct w:val="0"/>
        <w:bidi w:val="0"/>
        <w:adjustRightInd/>
        <w:snapToGrid/>
        <w:spacing w:line="560" w:lineRule="exact"/>
        <w:ind w:firstLine="636" w:firstLineChars="200"/>
        <w:jc w:val="both"/>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pacing w:val="-1"/>
          <w:sz w:val="32"/>
          <w:szCs w:val="32"/>
          <w:highlight w:val="none"/>
        </w:rPr>
        <w:t>开工期：202</w:t>
      </w:r>
      <w:r>
        <w:rPr>
          <w:rFonts w:hint="default" w:ascii="Times New Roman" w:hAnsi="Times New Roman" w:eastAsia="仿宋_GB2312" w:cs="Times New Roman"/>
          <w:color w:val="auto"/>
          <w:spacing w:val="-1"/>
          <w:sz w:val="32"/>
          <w:szCs w:val="32"/>
          <w:highlight w:val="none"/>
          <w:lang w:val="en-US" w:eastAsia="zh-CN"/>
        </w:rPr>
        <w:t>4</w:t>
      </w:r>
      <w:r>
        <w:rPr>
          <w:rFonts w:hint="default" w:ascii="Times New Roman" w:hAnsi="Times New Roman" w:eastAsia="仿宋_GB2312" w:cs="Times New Roman"/>
          <w:color w:val="auto"/>
          <w:spacing w:val="-1"/>
          <w:sz w:val="32"/>
          <w:szCs w:val="32"/>
          <w:highlight w:val="none"/>
        </w:rPr>
        <w:t>年</w:t>
      </w:r>
      <w:r>
        <w:rPr>
          <w:rFonts w:hint="default" w:ascii="Times New Roman" w:hAnsi="Times New Roman" w:eastAsia="仿宋_GB2312" w:cs="Times New Roman"/>
          <w:color w:val="auto"/>
          <w:spacing w:val="-1"/>
          <w:sz w:val="32"/>
          <w:szCs w:val="32"/>
          <w:highlight w:val="none"/>
          <w:lang w:val="en-US" w:eastAsia="zh-CN"/>
        </w:rPr>
        <w:t>11</w:t>
      </w:r>
      <w:r>
        <w:rPr>
          <w:rFonts w:hint="default" w:ascii="Times New Roman" w:hAnsi="Times New Roman" w:eastAsia="仿宋_GB2312" w:cs="Times New Roman"/>
          <w:color w:val="auto"/>
          <w:spacing w:val="-1"/>
          <w:sz w:val="32"/>
          <w:szCs w:val="32"/>
          <w:highlight w:val="none"/>
        </w:rPr>
        <w:t>月初，竣工期：2025年10月。</w:t>
      </w:r>
    </w:p>
    <w:p w14:paraId="4D78AAE0">
      <w:pPr>
        <w:keepNext w:val="0"/>
        <w:keepLines w:val="0"/>
        <w:pageBreakBefore w:val="0"/>
        <w:shd w:val="clear"/>
        <w:wordWrap/>
        <w:overflowPunct/>
        <w:topLinePunct w:val="0"/>
        <w:bidi w:val="0"/>
        <w:adjustRightInd/>
        <w:snapToGrid/>
        <w:spacing w:line="560" w:lineRule="exact"/>
        <w:ind w:firstLine="636" w:firstLineChars="200"/>
        <w:jc w:val="both"/>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pacing w:val="-1"/>
          <w:sz w:val="32"/>
          <w:szCs w:val="32"/>
          <w:highlight w:val="none"/>
        </w:rPr>
        <w:t>关键节点：</w:t>
      </w:r>
      <w:r>
        <w:rPr>
          <w:rFonts w:hint="default" w:ascii="Times New Roman" w:hAnsi="Times New Roman" w:eastAsia="仿宋_GB2312" w:cs="Times New Roman"/>
          <w:color w:val="auto"/>
          <w:spacing w:val="-1"/>
          <w:sz w:val="32"/>
          <w:szCs w:val="32"/>
          <w:highlight w:val="none"/>
          <w:lang w:val="en-US" w:eastAsia="zh-CN"/>
        </w:rPr>
        <w:t>1</w:t>
      </w:r>
      <w:r>
        <w:rPr>
          <w:rFonts w:hint="default" w:ascii="Times New Roman" w:hAnsi="Times New Roman" w:eastAsia="仿宋_GB2312" w:cs="Times New Roman"/>
          <w:color w:val="auto"/>
          <w:spacing w:val="-1"/>
          <w:sz w:val="32"/>
          <w:szCs w:val="32"/>
          <w:highlight w:val="none"/>
        </w:rPr>
        <w:t>月完成</w:t>
      </w:r>
      <w:r>
        <w:rPr>
          <w:rFonts w:hint="default" w:ascii="Times New Roman" w:hAnsi="Times New Roman" w:eastAsia="仿宋_GB2312" w:cs="Times New Roman"/>
          <w:color w:val="auto"/>
          <w:spacing w:val="-1"/>
          <w:sz w:val="32"/>
          <w:szCs w:val="32"/>
          <w:highlight w:val="none"/>
          <w:lang w:val="en-US" w:eastAsia="zh-CN"/>
        </w:rPr>
        <w:t>公厕</w:t>
      </w:r>
      <w:r>
        <w:rPr>
          <w:rFonts w:hint="default" w:ascii="Times New Roman" w:hAnsi="Times New Roman" w:eastAsia="仿宋_GB2312" w:cs="Times New Roman"/>
          <w:color w:val="auto"/>
          <w:spacing w:val="-1"/>
          <w:sz w:val="32"/>
          <w:szCs w:val="32"/>
          <w:highlight w:val="none"/>
        </w:rPr>
        <w:t>设计</w:t>
      </w:r>
      <w:r>
        <w:rPr>
          <w:rFonts w:hint="default" w:ascii="Times New Roman" w:hAnsi="Times New Roman" w:eastAsia="仿宋_GB2312" w:cs="Times New Roman"/>
          <w:color w:val="auto"/>
          <w:spacing w:val="-1"/>
          <w:sz w:val="32"/>
          <w:szCs w:val="32"/>
          <w:highlight w:val="none"/>
          <w:lang w:val="en-US" w:eastAsia="zh-CN"/>
        </w:rPr>
        <w:t>工作</w:t>
      </w:r>
      <w:r>
        <w:rPr>
          <w:rFonts w:hint="default" w:ascii="Times New Roman" w:hAnsi="Times New Roman" w:eastAsia="仿宋_GB2312" w:cs="Times New Roman"/>
          <w:color w:val="auto"/>
          <w:spacing w:val="-1"/>
          <w:sz w:val="32"/>
          <w:szCs w:val="32"/>
          <w:highlight w:val="none"/>
        </w:rPr>
        <w:t>，</w:t>
      </w:r>
      <w:r>
        <w:rPr>
          <w:rFonts w:hint="default" w:ascii="Times New Roman" w:hAnsi="Times New Roman" w:eastAsia="仿宋_GB2312" w:cs="Times New Roman"/>
          <w:color w:val="auto"/>
          <w:spacing w:val="-1"/>
          <w:sz w:val="32"/>
          <w:szCs w:val="32"/>
          <w:highlight w:val="none"/>
          <w:lang w:val="en-US" w:eastAsia="zh-CN"/>
        </w:rPr>
        <w:t>2</w:t>
      </w:r>
      <w:r>
        <w:rPr>
          <w:rFonts w:hint="default" w:ascii="Times New Roman" w:hAnsi="Times New Roman" w:eastAsia="仿宋_GB2312" w:cs="Times New Roman"/>
          <w:color w:val="auto"/>
          <w:spacing w:val="-1"/>
          <w:sz w:val="32"/>
          <w:szCs w:val="32"/>
          <w:highlight w:val="none"/>
        </w:rPr>
        <w:t>月</w:t>
      </w:r>
      <w:r>
        <w:rPr>
          <w:rFonts w:hint="default" w:ascii="Times New Roman" w:hAnsi="Times New Roman" w:eastAsia="仿宋_GB2312" w:cs="Times New Roman"/>
          <w:color w:val="auto"/>
          <w:spacing w:val="-1"/>
          <w:sz w:val="32"/>
          <w:szCs w:val="32"/>
          <w:highlight w:val="none"/>
          <w:lang w:val="en-US" w:eastAsia="zh-CN"/>
        </w:rPr>
        <w:t>立项</w:t>
      </w:r>
      <w:r>
        <w:rPr>
          <w:rFonts w:hint="default" w:ascii="Times New Roman" w:hAnsi="Times New Roman" w:eastAsia="仿宋_GB2312" w:cs="Times New Roman"/>
          <w:color w:val="auto"/>
          <w:spacing w:val="-1"/>
          <w:sz w:val="32"/>
          <w:szCs w:val="32"/>
          <w:highlight w:val="none"/>
        </w:rPr>
        <w:t>，</w:t>
      </w:r>
      <w:r>
        <w:rPr>
          <w:rFonts w:hint="default" w:ascii="Times New Roman" w:hAnsi="Times New Roman" w:eastAsia="仿宋_GB2312" w:cs="Times New Roman"/>
          <w:color w:val="auto"/>
          <w:spacing w:val="-1"/>
          <w:sz w:val="32"/>
          <w:szCs w:val="32"/>
          <w:highlight w:val="none"/>
          <w:lang w:val="en-US" w:eastAsia="zh-CN"/>
        </w:rPr>
        <w:t>3-4月施工图审查、概算评审、预算编制等工作，</w:t>
      </w:r>
      <w:r>
        <w:rPr>
          <w:rFonts w:hint="default" w:ascii="Times New Roman" w:hAnsi="Times New Roman" w:eastAsia="仿宋_GB2312" w:cs="Times New Roman"/>
          <w:color w:val="auto"/>
          <w:spacing w:val="-1"/>
          <w:sz w:val="32"/>
          <w:szCs w:val="32"/>
          <w:highlight w:val="none"/>
        </w:rPr>
        <w:t>5月招标，6月施工，10月完工。</w:t>
      </w:r>
    </w:p>
    <w:p w14:paraId="5B8C0529">
      <w:pPr>
        <w:keepNext w:val="0"/>
        <w:keepLines w:val="0"/>
        <w:pageBreakBefore w:val="0"/>
        <w:shd w:val="clear"/>
        <w:wordWrap/>
        <w:overflowPunct/>
        <w:topLinePunct w:val="0"/>
        <w:bidi w:val="0"/>
        <w:adjustRightInd/>
        <w:snapToGrid/>
        <w:spacing w:line="560" w:lineRule="exact"/>
        <w:ind w:firstLine="636" w:firstLineChars="200"/>
        <w:jc w:val="both"/>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pacing w:val="-1"/>
          <w:sz w:val="32"/>
          <w:szCs w:val="32"/>
          <w:highlight w:val="none"/>
        </w:rPr>
        <w:t>验收：1</w:t>
      </w:r>
      <w:r>
        <w:rPr>
          <w:rFonts w:hint="default" w:ascii="Times New Roman" w:hAnsi="Times New Roman" w:eastAsia="仿宋_GB2312" w:cs="Times New Roman"/>
          <w:color w:val="auto"/>
          <w:spacing w:val="-1"/>
          <w:sz w:val="32"/>
          <w:szCs w:val="32"/>
          <w:highlight w:val="none"/>
          <w:lang w:val="en-US" w:eastAsia="zh-CN"/>
        </w:rPr>
        <w:t>0</w:t>
      </w:r>
      <w:r>
        <w:rPr>
          <w:rFonts w:hint="default" w:ascii="Times New Roman" w:hAnsi="Times New Roman" w:eastAsia="仿宋_GB2312" w:cs="Times New Roman"/>
          <w:color w:val="auto"/>
          <w:spacing w:val="-1"/>
          <w:sz w:val="32"/>
          <w:szCs w:val="32"/>
          <w:highlight w:val="none"/>
        </w:rPr>
        <w:t>月，确保合规，正式交付。</w:t>
      </w:r>
    </w:p>
    <w:p w14:paraId="07598EAB">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color w:val="auto"/>
          <w:spacing w:val="-1"/>
          <w:sz w:val="32"/>
          <w:szCs w:val="32"/>
          <w:highlight w:val="none"/>
        </w:rPr>
      </w:pPr>
      <w:r>
        <w:rPr>
          <w:rFonts w:hint="eastAsia" w:ascii="黑体" w:hAnsi="黑体" w:eastAsia="黑体" w:cs="黑体"/>
          <w:color w:val="auto"/>
          <w:spacing w:val="-1"/>
          <w:sz w:val="32"/>
          <w:szCs w:val="32"/>
          <w:highlight w:val="none"/>
          <w:lang w:val="en-US" w:eastAsia="zh-CN"/>
        </w:rPr>
        <w:t>三、</w:t>
      </w:r>
      <w:r>
        <w:rPr>
          <w:rFonts w:hint="eastAsia" w:ascii="黑体" w:hAnsi="黑体" w:eastAsia="黑体" w:cs="黑体"/>
          <w:color w:val="auto"/>
          <w:spacing w:val="-1"/>
          <w:sz w:val="32"/>
          <w:szCs w:val="32"/>
          <w:highlight w:val="none"/>
        </w:rPr>
        <w:t>施工主要分部（分项）工程施工方法</w:t>
      </w:r>
    </w:p>
    <w:p w14:paraId="3BCAC999">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主体工程：采用预制装配式构件，现场快速组装，减少湿作业。</w:t>
      </w:r>
    </w:p>
    <w:p w14:paraId="703D4538">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室内外装饰装修：环保材料，防水防潮，易于清洁，外观与乡村环境协调。</w:t>
      </w:r>
    </w:p>
    <w:p w14:paraId="09199890">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水电工程：预埋管线，智能节水系统，确保用水安全，照明符合节能标准。</w:t>
      </w:r>
    </w:p>
    <w:p w14:paraId="20862CC4">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设备安装：智能感应门锁、节水冲洗装置，考虑无障碍设施的安装细节。</w:t>
      </w:r>
    </w:p>
    <w:p w14:paraId="6B089018">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环保处理：集成化污水处理系统，确保排放符合环保标准，考虑生态循环利用。</w:t>
      </w:r>
    </w:p>
    <w:p w14:paraId="159F85FC">
      <w:pPr>
        <w:keepNext w:val="0"/>
        <w:keepLines w:val="0"/>
        <w:pageBreakBefore w:val="0"/>
        <w:shd w:val="clear"/>
        <w:wordWrap/>
        <w:overflowPunct/>
        <w:topLinePunct w:val="0"/>
        <w:bidi w:val="0"/>
        <w:adjustRightInd/>
        <w:snapToGrid/>
        <w:spacing w:before="120" w:beforeLines="50" w:after="120" w:afterLines="50" w:line="560" w:lineRule="exact"/>
        <w:jc w:val="center"/>
        <w:outlineLvl w:val="0"/>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pPr>
      <w:bookmarkStart w:id="22" w:name="_bookmark29"/>
      <w:bookmarkEnd w:id="22"/>
      <w:bookmarkStart w:id="23" w:name="_bookmark31"/>
      <w:bookmarkEnd w:id="23"/>
      <w:bookmarkStart w:id="24" w:name="_bookmark47"/>
      <w:bookmarkEnd w:id="24"/>
      <w:bookmarkStart w:id="25" w:name="_Toc108097394"/>
      <w:bookmarkStart w:id="26" w:name="_Toc180590350"/>
    </w:p>
    <w:p w14:paraId="713C1140">
      <w:pPr>
        <w:keepNext w:val="0"/>
        <w:keepLines w:val="0"/>
        <w:pageBreakBefore w:val="0"/>
        <w:shd w:val="clear"/>
        <w:wordWrap/>
        <w:overflowPunct/>
        <w:topLinePunct w:val="0"/>
        <w:bidi w:val="0"/>
        <w:adjustRightInd/>
        <w:snapToGrid/>
        <w:spacing w:before="120" w:beforeLines="50" w:after="120" w:afterLines="50" w:line="560" w:lineRule="exact"/>
        <w:jc w:val="center"/>
        <w:outlineLvl w:val="0"/>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pPr>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第五章</w:t>
      </w:r>
      <w:bookmarkEnd w:id="25"/>
      <w:r>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t xml:space="preserve">  </w:t>
      </w:r>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效益分析</w:t>
      </w:r>
      <w:bookmarkEnd w:id="26"/>
    </w:p>
    <w:p w14:paraId="547A052C">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一、生态效益</w:t>
      </w:r>
    </w:p>
    <w:p w14:paraId="111EE032">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提升公共卫生条件，减少疾病传播，有利于居民健康，是生态文明建设的组成部分。同时，生态友好型公厕设计能促进生态系统平衡，比如利用生物降解技术处理废物，为乡村生态环境的持续改善贡献力量。</w:t>
      </w:r>
    </w:p>
    <w:p w14:paraId="3FCD3D3D">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二、经济效益</w:t>
      </w:r>
    </w:p>
    <w:p w14:paraId="37DC988B">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对榄核镇人民政府而言，该项目是提升乡村治理能力和公共服务水平的关键一步，有助于塑造政府正面形象，增强民众信任。通过改善基础设施，可以间接带动乡村旅游和农产品销售，为镇域经济注入新的增长动力。</w:t>
      </w:r>
    </w:p>
    <w:p w14:paraId="51CA1A25">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三、社会效益</w:t>
      </w:r>
    </w:p>
    <w:p w14:paraId="69263B88">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公厕的建设直接提高了村民的生活质量，增强了村民的幸福感和归属感。同时，作为乡村文明建设的标志性项目，能够吸引外部关注和投资，为村庄带来更多的发展机遇，促进社会和谐稳定。</w:t>
      </w:r>
    </w:p>
    <w:p w14:paraId="255A26EA">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随着乡村振兴战略的深入实施，对基础设施现代化的需求日益迫切，公厕项目是响应国家政策，落实乡村治理体系和治理能力现代化的重要举措，符合镇政府的长远发展目标。</w:t>
      </w:r>
    </w:p>
    <w:p w14:paraId="167DA71E">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p>
    <w:p w14:paraId="5243FF7C">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p>
    <w:p w14:paraId="26D327B8">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p>
    <w:p w14:paraId="4BEEF39B">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sectPr>
          <w:pgSz w:w="11906" w:h="16839" w:orient="landscape"/>
          <w:pgMar w:top="1440" w:right="1800" w:bottom="1440" w:left="1800" w:header="850" w:footer="680" w:gutter="0"/>
          <w:pgNumType w:fmt="decimal"/>
          <w:cols w:space="720" w:num="1"/>
          <w:docGrid w:linePitch="286" w:charSpace="0"/>
        </w:sectPr>
      </w:pPr>
    </w:p>
    <w:p w14:paraId="2E8231A2">
      <w:pPr>
        <w:keepNext w:val="0"/>
        <w:keepLines w:val="0"/>
        <w:pageBreakBefore w:val="0"/>
        <w:shd w:val="clear"/>
        <w:wordWrap/>
        <w:overflowPunct/>
        <w:topLinePunct w:val="0"/>
        <w:bidi w:val="0"/>
        <w:adjustRightInd/>
        <w:snapToGrid/>
        <w:spacing w:before="120" w:beforeLines="50" w:after="120" w:afterLines="50" w:line="560" w:lineRule="exact"/>
        <w:jc w:val="center"/>
        <w:outlineLvl w:val="0"/>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pPr>
      <w:bookmarkStart w:id="27" w:name="_Toc180590351"/>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第六章</w:t>
      </w:r>
      <w:r>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t xml:space="preserve">  </w:t>
      </w:r>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保障措施</w:t>
      </w:r>
      <w:bookmarkEnd w:id="27"/>
    </w:p>
    <w:p w14:paraId="11EE1AA3">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一、技术保障</w:t>
      </w:r>
    </w:p>
    <w:p w14:paraId="243E3968">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val="en-US" w:eastAsia="zh-CN"/>
        </w:rPr>
        <w:t>（一）</w:t>
      </w:r>
      <w:r>
        <w:rPr>
          <w:rFonts w:hint="eastAsia" w:ascii="楷体_GB2312" w:hAnsi="楷体_GB2312" w:eastAsia="楷体_GB2312" w:cs="楷体_GB2312"/>
          <w:color w:val="auto"/>
          <w:spacing w:val="-1"/>
          <w:sz w:val="32"/>
          <w:szCs w:val="32"/>
          <w:highlight w:val="none"/>
        </w:rPr>
        <w:t>设计优化</w:t>
      </w:r>
    </w:p>
    <w:p w14:paraId="2A63479F">
      <w:pPr>
        <w:keepNext w:val="0"/>
        <w:keepLines w:val="0"/>
        <w:pageBreakBefore w:val="0"/>
        <w:shd w:val="clear"/>
        <w:wordWrap/>
        <w:overflowPunct/>
        <w:topLinePunct w:val="0"/>
        <w:bidi w:val="0"/>
        <w:adjustRightInd/>
        <w:snapToGrid/>
        <w:spacing w:line="560" w:lineRule="exact"/>
        <w:ind w:firstLine="636" w:firstLineChars="200"/>
        <w:jc w:val="both"/>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pacing w:val="-1"/>
          <w:sz w:val="32"/>
          <w:szCs w:val="32"/>
          <w:highlight w:val="none"/>
        </w:rPr>
        <w:t>聘请专业的设计团队，根据项目需求和场地特点，进行科学合理的装配式公厕设计。确保公厕布局合理、功能齐全、通风良好、采光充足，同时满足无障碍设计要求，方便各类人群使用。</w:t>
      </w:r>
    </w:p>
    <w:p w14:paraId="03CE673B">
      <w:pPr>
        <w:keepNext w:val="0"/>
        <w:keepLines w:val="0"/>
        <w:pageBreakBefore w:val="0"/>
        <w:shd w:val="clear"/>
        <w:wordWrap/>
        <w:overflowPunct/>
        <w:topLinePunct w:val="0"/>
        <w:bidi w:val="0"/>
        <w:adjustRightInd/>
        <w:snapToGrid/>
        <w:spacing w:line="560" w:lineRule="exact"/>
        <w:ind w:firstLine="636" w:firstLineChars="200"/>
        <w:jc w:val="both"/>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pacing w:val="-1"/>
          <w:sz w:val="32"/>
          <w:szCs w:val="32"/>
          <w:highlight w:val="none"/>
        </w:rPr>
        <w:t>采用先进的建筑信息模型（BIM）技术，对装配式公厕的设计、生产、施工全过程进行模拟和优化，提前发现并解决可能出现的问题，提高项目的质量和效率。</w:t>
      </w:r>
    </w:p>
    <w:p w14:paraId="4998059A">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二</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材料选择</w:t>
      </w:r>
    </w:p>
    <w:p w14:paraId="58CE474C">
      <w:pPr>
        <w:keepNext w:val="0"/>
        <w:keepLines w:val="0"/>
        <w:pageBreakBefore w:val="0"/>
        <w:shd w:val="clear"/>
        <w:wordWrap/>
        <w:overflowPunct/>
        <w:topLinePunct w:val="0"/>
        <w:bidi w:val="0"/>
        <w:adjustRightInd/>
        <w:snapToGrid/>
        <w:spacing w:line="560" w:lineRule="exact"/>
        <w:ind w:firstLine="636" w:firstLineChars="200"/>
        <w:jc w:val="both"/>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pacing w:val="-1"/>
          <w:sz w:val="32"/>
          <w:szCs w:val="32"/>
          <w:highlight w:val="none"/>
        </w:rPr>
        <w:t>选用高质量的装配式建筑材料，如钢结构、预制混凝土构件、环保板材等。这些材料应具有强度高、耐久性好、防火、防水、隔音、隔热等性能，确保公厕的安全可靠和舒适使用。</w:t>
      </w:r>
    </w:p>
    <w:p w14:paraId="3D500476">
      <w:pPr>
        <w:keepNext w:val="0"/>
        <w:keepLines w:val="0"/>
        <w:pageBreakBefore w:val="0"/>
        <w:shd w:val="clear"/>
        <w:wordWrap/>
        <w:overflowPunct/>
        <w:topLinePunct w:val="0"/>
        <w:bidi w:val="0"/>
        <w:adjustRightInd/>
        <w:snapToGrid/>
        <w:spacing w:line="560" w:lineRule="exact"/>
        <w:ind w:firstLine="636" w:firstLineChars="200"/>
        <w:jc w:val="both"/>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pacing w:val="-1"/>
          <w:sz w:val="32"/>
          <w:szCs w:val="32"/>
          <w:highlight w:val="none"/>
        </w:rPr>
        <w:t>优先选择环保材料，减少对环境的污染。例如，使用可回收利用的钢材、木材替代品，以及低挥发性有机化合物（VOC）的涂料和胶粘剂等。</w:t>
      </w:r>
    </w:p>
    <w:p w14:paraId="4DA8F1DE">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三</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生产工艺</w:t>
      </w:r>
    </w:p>
    <w:p w14:paraId="239AC507">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建立标准化的生产流程和质量控制体系，确保装配式公厕的构件在工厂生产过程中严格按照设计要求和质量标准进行。加强对生产过程的监控和检验，及时发现并纠正生产中的问题，保证构件的质量稳定。</w:t>
      </w:r>
    </w:p>
    <w:p w14:paraId="2E55E04E">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采用先进的生产设备和技术，提高生产效率和构件精度。例如，使用自动化生产线、数控加工设备等，确保构件的尺寸准确、表面平整、连接牢固。</w:t>
      </w:r>
    </w:p>
    <w:p w14:paraId="1CC37EBB">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二、质量保障</w:t>
      </w:r>
    </w:p>
    <w:p w14:paraId="1C15BBF0">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一</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质量控制体系</w:t>
      </w:r>
    </w:p>
    <w:p w14:paraId="4B7FCC19">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建立完善的质量控制体系，明确质量目标和质量标准，制定质量检验计划和检验方法。对装配式公厕的设计、生产、施工全过程进行质量控制，确保项目质量符合相关标准和要求。</w:t>
      </w:r>
    </w:p>
    <w:p w14:paraId="05E4278D">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加强对原材料、构配件的质量检验，严格执行进货检验制度。对不合格的材料和构配件坚决予以退回，不得用于项目建设。</w:t>
      </w:r>
    </w:p>
    <w:p w14:paraId="0174EB5A">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二</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施工质量管理</w:t>
      </w:r>
    </w:p>
    <w:p w14:paraId="4EA7C47C">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选派经验丰富、技术过硬的施工队伍，确保施工过程中的技术水平和施工质量。加强对施工人员的培训和管理，提高施工人员的质量意识和操作技能。</w:t>
      </w:r>
    </w:p>
    <w:p w14:paraId="24BB550C">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严格按照施工图纸和施工方案进行施工，加强对施工过程的监督和检查</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对关键部位和重要工序进行旁站监理，确保施工质量符合要求。</w:t>
      </w:r>
    </w:p>
    <w:p w14:paraId="68D47BBA">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三</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验收管理</w:t>
      </w:r>
    </w:p>
    <w:p w14:paraId="342B108F">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制定严格的验收标准和验收程序，对装配式公厕的各个环节进行验收</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包括构件的出厂验收、基础工程验收、主体结构验收、装饰装修验收等</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只有通过验收的环节才能进入下一道工序，确保项目整体质量。</w:t>
      </w:r>
    </w:p>
    <w:p w14:paraId="62ED6442">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邀请相关部门和专业机构进行竣工验收，对装配式公厕的质量、功能、环保等方面进行全面评估</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确保公厕符合相关标准和要求，能够正常投入使用。</w:t>
      </w:r>
    </w:p>
    <w:p w14:paraId="468E7AA8">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三、进度保障</w:t>
      </w:r>
    </w:p>
    <w:p w14:paraId="15C9D0E4">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一</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项目计划管理</w:t>
      </w:r>
    </w:p>
    <w:p w14:paraId="221C3613">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制定详细的项目进度计划，明确各个阶段的工作任务、时间节点和责任人</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对项目进度进行动态监控和调整，</w:t>
      </w:r>
      <w:r>
        <w:rPr>
          <w:rFonts w:hint="eastAsia" w:ascii="仿宋_GB2312" w:hAnsi="仿宋_GB2312" w:eastAsia="仿宋_GB2312" w:cs="仿宋_GB2312"/>
          <w:color w:val="auto"/>
          <w:spacing w:val="-1"/>
          <w:sz w:val="32"/>
          <w:szCs w:val="32"/>
          <w:highlight w:val="none"/>
          <w:lang w:val="en-US" w:eastAsia="zh-CN"/>
        </w:rPr>
        <w:t>时刻</w:t>
      </w:r>
      <w:r>
        <w:rPr>
          <w:rFonts w:hint="eastAsia" w:ascii="仿宋_GB2312" w:hAnsi="仿宋_GB2312" w:eastAsia="仿宋_GB2312" w:cs="仿宋_GB2312"/>
          <w:color w:val="auto"/>
          <w:spacing w:val="-1"/>
          <w:sz w:val="32"/>
          <w:szCs w:val="32"/>
          <w:highlight w:val="none"/>
        </w:rPr>
        <w:t>掌握项目进展情况，发现问题及时解决，提高项目管理的效率和精度</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确保项目按计划顺利进行。</w:t>
      </w:r>
    </w:p>
    <w:p w14:paraId="0C2C5069">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二</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生产进度控制</w:t>
      </w:r>
    </w:p>
    <w:p w14:paraId="3F74DF7F">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与装配式建筑生产厂家密切合作，制定合理的生产计划。根据项目进度要求，安排生产任务，确保构件的生产进度与施工进度相匹配。</w:t>
      </w:r>
    </w:p>
    <w:p w14:paraId="6490BFD5">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加强对生产过程的协调和管理，及时解决生产中出现的问题</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如原材料供应不及时、生产设备故障等，确保生产进度不受影响。</w:t>
      </w:r>
    </w:p>
    <w:p w14:paraId="7A08B9F0">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三</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施工进度管理</w:t>
      </w:r>
    </w:p>
    <w:p w14:paraId="371E0FC9">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优化施工组织设计，合理安排施工顺序和施工工艺。采用平行施工、流水作业等方式，提高施工效率，缩短施工周期。</w:t>
      </w:r>
    </w:p>
    <w:p w14:paraId="71311064">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加强对施工过程的协调和管理，及时解决施工中出现的问题</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如施工场地受限、交叉作业干扰等，确保施工进度不受影响。</w:t>
      </w:r>
    </w:p>
    <w:p w14:paraId="5578DD7F">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p>
    <w:p w14:paraId="09BF4567">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四、安全保障</w:t>
      </w:r>
    </w:p>
    <w:p w14:paraId="3CE99D1C">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一</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安全管理制度</w:t>
      </w:r>
    </w:p>
    <w:p w14:paraId="281C4256">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建立健全安全管理制度，明确安全责任和安全目标。制定安全操作规程和应急预案，加强对施工人员的安全教育和培训，提高施工人员的安全意识和自我保护能力。</w:t>
      </w:r>
    </w:p>
    <w:p w14:paraId="047CA6A0">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加强对施工现场的安全管理，设置安全警示标志和防护设施</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定期进行安全检查和隐患排查，及时发现并消除安全隐患，确保施工安全。</w:t>
      </w:r>
    </w:p>
    <w:p w14:paraId="09F519D6">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二</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施工安全措施</w:t>
      </w:r>
    </w:p>
    <w:p w14:paraId="6DE93B52">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对装配式公厕的施工过程进行风险评估，制定相应的安全措施</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如高处作业安全措施、起重吊装安全措施、临时用电安全措施等。</w:t>
      </w:r>
    </w:p>
    <w:p w14:paraId="577367A5">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加强对施工设备和机械的安全管理，定期进行维护和保养</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确保设备和机械的安全性能良好，操作人员持证上岗。</w:t>
      </w:r>
    </w:p>
    <w:p w14:paraId="02BA56F0">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三</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消防安全措施</w:t>
      </w:r>
    </w:p>
    <w:p w14:paraId="216A6916">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装配式公厕应配备必要的消防设施和器材，如灭火器、消火栓等</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定期进行消防检查和演练，提高施工人员的消防安全意识和应急处置能力。</w:t>
      </w:r>
    </w:p>
    <w:p w14:paraId="2D1152C4">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b w:val="0"/>
          <w:bCs w:val="0"/>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加强对施工现场的用火用电管理，严格执行动火审批制度</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确保施工现场的消防安全。</w:t>
      </w:r>
    </w:p>
    <w:p w14:paraId="2D1179B6">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五、环保保障</w:t>
      </w:r>
    </w:p>
    <w:p w14:paraId="3F73F358">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一</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环境保护措施</w:t>
      </w:r>
    </w:p>
    <w:p w14:paraId="628B541D">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制定环境保护措施，减少装配式公厕建设对环境的影响。如施工现场的扬尘控制、噪声控制、废水处理等。</w:t>
      </w:r>
    </w:p>
    <w:p w14:paraId="0DF1BD69">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加强对施工过程中的建筑垃圾管理，及时清理和运输建筑垃圾</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采用环保型建筑材料和施工工艺，减少建筑垃圾的产生。</w:t>
      </w:r>
    </w:p>
    <w:p w14:paraId="1F11227A">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二</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节能减排措施</w:t>
      </w:r>
    </w:p>
    <w:p w14:paraId="0BBA982A">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装配式公厕应采用节能型建筑材料和设备，如节能灯具、节水洁具等</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优化建筑设计，提高能源利用效率，降低能源消耗。</w:t>
      </w:r>
    </w:p>
    <w:p w14:paraId="55D66AA8">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加强对施工现场的能源管理，合理安排施工时间和施工设备的使用</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避免能源浪费，实现节能减排的目标。</w:t>
      </w:r>
    </w:p>
    <w:p w14:paraId="6802567C">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六、资金保障</w:t>
      </w:r>
    </w:p>
    <w:p w14:paraId="73150689">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一</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资金预算管理</w:t>
      </w:r>
    </w:p>
    <w:p w14:paraId="6220E661">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制定详细的项目资金预算，明确项目的资金需求和来源。对项目资金进行合理分配和使用，确保资金使用的合理性和有效性。</w:t>
      </w:r>
    </w:p>
    <w:p w14:paraId="7CB66002">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加强对项目资金的预算执行情况进行监控和管理，及时调整资金预算，确保项目资金的充足和稳定。</w:t>
      </w:r>
    </w:p>
    <w:p w14:paraId="6DB46807">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二</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资金筹集渠道</w:t>
      </w:r>
    </w:p>
    <w:p w14:paraId="763FB13B">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积极争取政府财政资金支持，如申请专项建设资金、补贴资金等。同时，也可以通过银行贷款、社会融资等方式筹集项目资金。</w:t>
      </w:r>
    </w:p>
    <w:p w14:paraId="3D1A356A">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加强与合作伙伴的合作，共同投资建设装配式公厕项目。通过合作共赢的方式，降低项目资金压力，提高项目的可行性和可持续性。</w:t>
      </w:r>
    </w:p>
    <w:p w14:paraId="468445DA">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p>
    <w:p w14:paraId="67014CDA">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七、运营保障</w:t>
      </w:r>
    </w:p>
    <w:p w14:paraId="6189E451">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一</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运营管理模式</w:t>
      </w:r>
    </w:p>
    <w:p w14:paraId="60D39E7A">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建立科学合理的运营管理模式，明确运营管理机构和职责</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制定运营管理制度和服务标准，确保装配式公厕的正常运行和服务质量。</w:t>
      </w:r>
    </w:p>
    <w:p w14:paraId="2D1D3E0C">
      <w:pPr>
        <w:keepNext w:val="0"/>
        <w:keepLines w:val="0"/>
        <w:pageBreakBefore w:val="0"/>
        <w:shd w:val="clear"/>
        <w:wordWrap/>
        <w:overflowPunct/>
        <w:topLinePunct w:val="0"/>
        <w:bidi w:val="0"/>
        <w:adjustRightInd/>
        <w:snapToGrid/>
        <w:spacing w:line="560" w:lineRule="exact"/>
        <w:ind w:firstLine="636" w:firstLineChars="200"/>
        <w:jc w:val="both"/>
        <w:rPr>
          <w:rFonts w:hint="default"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pacing w:val="-1"/>
          <w:sz w:val="32"/>
          <w:szCs w:val="32"/>
          <w:highlight w:val="none"/>
        </w:rPr>
        <w:t>可以采用市场化运营模式，通过招标等方式选择专业的运营管理公司进行管理</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也可以采用政府购买服务的方式，委托专业机构进行运营管理</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lang w:val="en-US" w:eastAsia="zh-CN"/>
        </w:rPr>
        <w:t>也可以由管护单位聘请人员专职管理。</w:t>
      </w:r>
    </w:p>
    <w:p w14:paraId="3D0A30FB">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二</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设施维护保养</w:t>
      </w:r>
    </w:p>
    <w:p w14:paraId="55C23F74">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建立健全设施维护保养制度，定期对装配式公厕的设施设备进行维护保养</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及时更换损坏的设施设备，确保公厕的正常使用。</w:t>
      </w:r>
    </w:p>
    <w:p w14:paraId="43CCE6B6">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加强对公厕的清洁卫生管理，保持公厕的整洁干净</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定期进行消毒杀菌，防止疾病传播。</w:t>
      </w:r>
    </w:p>
    <w:p w14:paraId="05858BFF">
      <w:pPr>
        <w:keepNext w:val="0"/>
        <w:keepLines w:val="0"/>
        <w:pageBreakBefore w:val="0"/>
        <w:shd w:val="clear"/>
        <w:wordWrap/>
        <w:overflowPunct/>
        <w:topLinePunct w:val="0"/>
        <w:bidi w:val="0"/>
        <w:adjustRightInd/>
        <w:snapToGrid/>
        <w:spacing w:line="560" w:lineRule="exact"/>
        <w:ind w:firstLine="636" w:firstLineChars="200"/>
        <w:jc w:val="both"/>
        <w:rPr>
          <w:rFonts w:hint="eastAsia" w:ascii="楷体_GB2312" w:hAnsi="楷体_GB2312" w:eastAsia="楷体_GB2312" w:cs="楷体_GB2312"/>
          <w:color w:val="auto"/>
          <w:spacing w:val="-1"/>
          <w:sz w:val="32"/>
          <w:szCs w:val="32"/>
          <w:highlight w:val="none"/>
        </w:rPr>
      </w:pP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lang w:val="en-US" w:eastAsia="zh-CN"/>
        </w:rPr>
        <w:t>三</w:t>
      </w:r>
      <w:r>
        <w:rPr>
          <w:rFonts w:hint="eastAsia" w:ascii="楷体_GB2312" w:hAnsi="楷体_GB2312" w:eastAsia="楷体_GB2312" w:cs="楷体_GB2312"/>
          <w:color w:val="auto"/>
          <w:spacing w:val="-1"/>
          <w:sz w:val="32"/>
          <w:szCs w:val="32"/>
          <w:highlight w:val="none"/>
          <w:lang w:eastAsia="zh-CN"/>
        </w:rPr>
        <w:t>）</w:t>
      </w:r>
      <w:r>
        <w:rPr>
          <w:rFonts w:hint="eastAsia" w:ascii="楷体_GB2312" w:hAnsi="楷体_GB2312" w:eastAsia="楷体_GB2312" w:cs="楷体_GB2312"/>
          <w:color w:val="auto"/>
          <w:spacing w:val="-1"/>
          <w:sz w:val="32"/>
          <w:szCs w:val="32"/>
          <w:highlight w:val="none"/>
        </w:rPr>
        <w:t>服务质量提升</w:t>
      </w:r>
    </w:p>
    <w:p w14:paraId="7DFBC8A2">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加强对运营管理人员的培训和管理，提高服务意识和服务水平</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为用户提供优质、高效、便捷的服务，提升用户满意度。</w:t>
      </w:r>
    </w:p>
    <w:p w14:paraId="75CE2325">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建立用户反馈机制，及时了解用户的需求和意见。根据用户反馈，不断改进服务质量，提高公厕的使用体验。</w:t>
      </w:r>
    </w:p>
    <w:p w14:paraId="6A5E9F66">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p>
    <w:p w14:paraId="1FB0C368">
      <w:pPr>
        <w:keepNext w:val="0"/>
        <w:keepLines w:val="0"/>
        <w:pageBreakBefore w:val="0"/>
        <w:shd w:val="clear"/>
        <w:wordWrap/>
        <w:overflowPunct/>
        <w:topLinePunct w:val="0"/>
        <w:bidi w:val="0"/>
        <w:adjustRightInd/>
        <w:snapToGrid/>
        <w:spacing w:before="120" w:beforeLines="50" w:after="120" w:afterLines="50" w:line="560" w:lineRule="exact"/>
        <w:jc w:val="center"/>
        <w:outlineLvl w:val="0"/>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pPr>
      <w:bookmarkStart w:id="28" w:name="_Toc180590352"/>
    </w:p>
    <w:bookmarkEnd w:id="28"/>
    <w:p w14:paraId="732900E1">
      <w:pPr>
        <w:shd w:val="clear"/>
        <w:adjustRightInd/>
        <w:snapToGrid/>
        <w:spacing w:line="360" w:lineRule="auto"/>
        <w:jc w:val="both"/>
        <w:rPr>
          <w:rFonts w:hint="eastAsia" w:ascii="仿宋_GB2312" w:hAnsi="仿宋_GB2312" w:eastAsia="仿宋_GB2312" w:cs="仿宋_GB2312"/>
          <w:b/>
          <w:bCs/>
          <w:color w:val="auto"/>
          <w:sz w:val="32"/>
          <w:szCs w:val="32"/>
          <w:highlight w:val="none"/>
        </w:rPr>
      </w:pPr>
      <w:bookmarkStart w:id="29" w:name="_GoBack"/>
      <w:bookmarkEnd w:id="29"/>
    </w:p>
    <w:sectPr>
      <w:pgSz w:w="11906" w:h="16839"/>
      <w:pgMar w:top="1440" w:right="1800" w:bottom="1440" w:left="1800" w:header="850" w:footer="68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37B79C-6F78-4196-AFC9-3F33F1C32E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729D6CE0-62B5-4A20-A2CD-7EBCB8903EF7}"/>
  </w:font>
  <w:font w:name="方正小标宋简体">
    <w:panose1 w:val="02000000000000000000"/>
    <w:charset w:val="86"/>
    <w:family w:val="auto"/>
    <w:pitch w:val="default"/>
    <w:sig w:usb0="00000001" w:usb1="080E0000" w:usb2="00000000" w:usb3="00000000" w:csb0="00040000" w:csb1="00000000"/>
    <w:embedRegular r:id="rId3" w:fontKey="{22B95DD9-FB0D-447E-8C23-4FAB1BE2F402}"/>
  </w:font>
  <w:font w:name="楷体_GB2312">
    <w:panose1 w:val="02010609030101010101"/>
    <w:charset w:val="86"/>
    <w:family w:val="auto"/>
    <w:pitch w:val="default"/>
    <w:sig w:usb0="00000001" w:usb1="080E0000" w:usb2="00000000" w:usb3="00000000" w:csb0="00040000" w:csb1="00000000"/>
    <w:embedRegular r:id="rId4" w:fontKey="{77153913-F5B0-4665-96FC-B169C031C8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1C1D9">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4B16C">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F5AE1">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4F5AE1">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3F6DF45F">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810D">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475BE">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5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hkYWMyYjI5YTJhMzJmNzRhMmRkMmFiMDI0MGQ1YTkifQ=="/>
  </w:docVars>
  <w:rsids>
    <w:rsidRoot w:val="00BD4E1D"/>
    <w:rsid w:val="00001CBD"/>
    <w:rsid w:val="00003AA6"/>
    <w:rsid w:val="00003FC6"/>
    <w:rsid w:val="00006937"/>
    <w:rsid w:val="00010A7D"/>
    <w:rsid w:val="00012A9B"/>
    <w:rsid w:val="0002383D"/>
    <w:rsid w:val="00023A15"/>
    <w:rsid w:val="00024B17"/>
    <w:rsid w:val="0003167B"/>
    <w:rsid w:val="00033AA4"/>
    <w:rsid w:val="0003601F"/>
    <w:rsid w:val="0004602E"/>
    <w:rsid w:val="0004784E"/>
    <w:rsid w:val="00053FEB"/>
    <w:rsid w:val="000559D9"/>
    <w:rsid w:val="000560AA"/>
    <w:rsid w:val="00061AC4"/>
    <w:rsid w:val="00066EBD"/>
    <w:rsid w:val="00067B6A"/>
    <w:rsid w:val="000741E1"/>
    <w:rsid w:val="00075308"/>
    <w:rsid w:val="00082472"/>
    <w:rsid w:val="000835E8"/>
    <w:rsid w:val="00090C3D"/>
    <w:rsid w:val="000A67D0"/>
    <w:rsid w:val="000A6F57"/>
    <w:rsid w:val="000B0237"/>
    <w:rsid w:val="000C0E06"/>
    <w:rsid w:val="000C35A3"/>
    <w:rsid w:val="000C3945"/>
    <w:rsid w:val="000C71C2"/>
    <w:rsid w:val="000E5FDE"/>
    <w:rsid w:val="000F7077"/>
    <w:rsid w:val="00101A47"/>
    <w:rsid w:val="00103D66"/>
    <w:rsid w:val="00105CF7"/>
    <w:rsid w:val="0011070C"/>
    <w:rsid w:val="00111D45"/>
    <w:rsid w:val="001346C3"/>
    <w:rsid w:val="00137353"/>
    <w:rsid w:val="0014174A"/>
    <w:rsid w:val="00141D37"/>
    <w:rsid w:val="00142358"/>
    <w:rsid w:val="00142A7E"/>
    <w:rsid w:val="00145BE0"/>
    <w:rsid w:val="00151E9B"/>
    <w:rsid w:val="00164537"/>
    <w:rsid w:val="00191BAE"/>
    <w:rsid w:val="0019536C"/>
    <w:rsid w:val="0019658E"/>
    <w:rsid w:val="00197ADF"/>
    <w:rsid w:val="001A220C"/>
    <w:rsid w:val="001B0156"/>
    <w:rsid w:val="001C01F1"/>
    <w:rsid w:val="001D4F9E"/>
    <w:rsid w:val="001E1808"/>
    <w:rsid w:val="001E6A2B"/>
    <w:rsid w:val="001F010D"/>
    <w:rsid w:val="001F5777"/>
    <w:rsid w:val="0020609D"/>
    <w:rsid w:val="002143AB"/>
    <w:rsid w:val="00227675"/>
    <w:rsid w:val="00231B31"/>
    <w:rsid w:val="00240ACA"/>
    <w:rsid w:val="00240EEF"/>
    <w:rsid w:val="00241E1B"/>
    <w:rsid w:val="00247309"/>
    <w:rsid w:val="002512C2"/>
    <w:rsid w:val="002519B6"/>
    <w:rsid w:val="002644C7"/>
    <w:rsid w:val="00265B1E"/>
    <w:rsid w:val="00266491"/>
    <w:rsid w:val="002818B0"/>
    <w:rsid w:val="00284F13"/>
    <w:rsid w:val="0028617E"/>
    <w:rsid w:val="00292E26"/>
    <w:rsid w:val="00296CD7"/>
    <w:rsid w:val="00296E86"/>
    <w:rsid w:val="002A43A7"/>
    <w:rsid w:val="002A68BE"/>
    <w:rsid w:val="002B031C"/>
    <w:rsid w:val="002B146D"/>
    <w:rsid w:val="002B36C8"/>
    <w:rsid w:val="002C285C"/>
    <w:rsid w:val="002D10F1"/>
    <w:rsid w:val="002D2402"/>
    <w:rsid w:val="002E1824"/>
    <w:rsid w:val="002E6021"/>
    <w:rsid w:val="002F14F8"/>
    <w:rsid w:val="002F4D68"/>
    <w:rsid w:val="00300839"/>
    <w:rsid w:val="003061B4"/>
    <w:rsid w:val="003065A5"/>
    <w:rsid w:val="003121EC"/>
    <w:rsid w:val="00317BBD"/>
    <w:rsid w:val="00323CBE"/>
    <w:rsid w:val="003254B7"/>
    <w:rsid w:val="00327277"/>
    <w:rsid w:val="00331D99"/>
    <w:rsid w:val="00332EB8"/>
    <w:rsid w:val="00335BB9"/>
    <w:rsid w:val="00343D26"/>
    <w:rsid w:val="00356E5E"/>
    <w:rsid w:val="003623BC"/>
    <w:rsid w:val="00365C3C"/>
    <w:rsid w:val="00366231"/>
    <w:rsid w:val="00367447"/>
    <w:rsid w:val="00373C6A"/>
    <w:rsid w:val="00387292"/>
    <w:rsid w:val="003874A1"/>
    <w:rsid w:val="0039264E"/>
    <w:rsid w:val="0039494D"/>
    <w:rsid w:val="003A00AA"/>
    <w:rsid w:val="003A66F7"/>
    <w:rsid w:val="003C4533"/>
    <w:rsid w:val="003C56B7"/>
    <w:rsid w:val="003D19A5"/>
    <w:rsid w:val="003D23D7"/>
    <w:rsid w:val="003D5C5D"/>
    <w:rsid w:val="003E1A46"/>
    <w:rsid w:val="003E2156"/>
    <w:rsid w:val="003E500C"/>
    <w:rsid w:val="003F303E"/>
    <w:rsid w:val="003F6E29"/>
    <w:rsid w:val="003F72C5"/>
    <w:rsid w:val="004024C3"/>
    <w:rsid w:val="004040C5"/>
    <w:rsid w:val="00411545"/>
    <w:rsid w:val="00412D93"/>
    <w:rsid w:val="00414358"/>
    <w:rsid w:val="004167BA"/>
    <w:rsid w:val="00421324"/>
    <w:rsid w:val="00422190"/>
    <w:rsid w:val="00423BD0"/>
    <w:rsid w:val="0042529D"/>
    <w:rsid w:val="004315ED"/>
    <w:rsid w:val="00433A3F"/>
    <w:rsid w:val="00433CE7"/>
    <w:rsid w:val="004340FD"/>
    <w:rsid w:val="0043649D"/>
    <w:rsid w:val="00441EF2"/>
    <w:rsid w:val="004420B5"/>
    <w:rsid w:val="00443845"/>
    <w:rsid w:val="00451C9A"/>
    <w:rsid w:val="0045589F"/>
    <w:rsid w:val="00461D6B"/>
    <w:rsid w:val="00462485"/>
    <w:rsid w:val="00464C8B"/>
    <w:rsid w:val="00481B84"/>
    <w:rsid w:val="00486437"/>
    <w:rsid w:val="004865D2"/>
    <w:rsid w:val="004A1637"/>
    <w:rsid w:val="004A3FD1"/>
    <w:rsid w:val="004A4699"/>
    <w:rsid w:val="004A5188"/>
    <w:rsid w:val="004A601F"/>
    <w:rsid w:val="004B19F1"/>
    <w:rsid w:val="004B1B2D"/>
    <w:rsid w:val="004B2F0D"/>
    <w:rsid w:val="004C5D2D"/>
    <w:rsid w:val="004C5EAD"/>
    <w:rsid w:val="004D364B"/>
    <w:rsid w:val="004D6E04"/>
    <w:rsid w:val="004E6761"/>
    <w:rsid w:val="005026C4"/>
    <w:rsid w:val="00504E27"/>
    <w:rsid w:val="00505146"/>
    <w:rsid w:val="0050762A"/>
    <w:rsid w:val="00513019"/>
    <w:rsid w:val="00513F40"/>
    <w:rsid w:val="00514D6F"/>
    <w:rsid w:val="00515A18"/>
    <w:rsid w:val="0052549D"/>
    <w:rsid w:val="0052643C"/>
    <w:rsid w:val="00533B54"/>
    <w:rsid w:val="00536503"/>
    <w:rsid w:val="00554024"/>
    <w:rsid w:val="005543CF"/>
    <w:rsid w:val="00566C9A"/>
    <w:rsid w:val="00581301"/>
    <w:rsid w:val="00581B58"/>
    <w:rsid w:val="005A3CEE"/>
    <w:rsid w:val="005A7DE8"/>
    <w:rsid w:val="005B217A"/>
    <w:rsid w:val="005B2EA5"/>
    <w:rsid w:val="005B44B9"/>
    <w:rsid w:val="005B4525"/>
    <w:rsid w:val="005B759B"/>
    <w:rsid w:val="005B7CBB"/>
    <w:rsid w:val="005E3D3B"/>
    <w:rsid w:val="005F64F4"/>
    <w:rsid w:val="00600D43"/>
    <w:rsid w:val="0060232E"/>
    <w:rsid w:val="00607319"/>
    <w:rsid w:val="006108EB"/>
    <w:rsid w:val="00612F08"/>
    <w:rsid w:val="00614060"/>
    <w:rsid w:val="0061447B"/>
    <w:rsid w:val="00620327"/>
    <w:rsid w:val="0063501C"/>
    <w:rsid w:val="00644584"/>
    <w:rsid w:val="00645A3D"/>
    <w:rsid w:val="006546AC"/>
    <w:rsid w:val="00654778"/>
    <w:rsid w:val="006621BE"/>
    <w:rsid w:val="00665D1D"/>
    <w:rsid w:val="006719EF"/>
    <w:rsid w:val="006734F3"/>
    <w:rsid w:val="00673B03"/>
    <w:rsid w:val="0068353D"/>
    <w:rsid w:val="0069216A"/>
    <w:rsid w:val="006A30C2"/>
    <w:rsid w:val="006A34B8"/>
    <w:rsid w:val="006A36DC"/>
    <w:rsid w:val="006A38F8"/>
    <w:rsid w:val="006B2ACF"/>
    <w:rsid w:val="006B7B5F"/>
    <w:rsid w:val="006D59F2"/>
    <w:rsid w:val="006D7EF8"/>
    <w:rsid w:val="006E2E22"/>
    <w:rsid w:val="006E34F0"/>
    <w:rsid w:val="006E7733"/>
    <w:rsid w:val="006F3D3F"/>
    <w:rsid w:val="0070532C"/>
    <w:rsid w:val="0071364A"/>
    <w:rsid w:val="00713EF9"/>
    <w:rsid w:val="00715D78"/>
    <w:rsid w:val="0071643A"/>
    <w:rsid w:val="00716D75"/>
    <w:rsid w:val="00721DC7"/>
    <w:rsid w:val="007222DF"/>
    <w:rsid w:val="007232B4"/>
    <w:rsid w:val="007272DC"/>
    <w:rsid w:val="00732A2C"/>
    <w:rsid w:val="0074280D"/>
    <w:rsid w:val="0074601F"/>
    <w:rsid w:val="00752683"/>
    <w:rsid w:val="0076535A"/>
    <w:rsid w:val="00774FCA"/>
    <w:rsid w:val="00775348"/>
    <w:rsid w:val="007779BC"/>
    <w:rsid w:val="00783096"/>
    <w:rsid w:val="00783FC5"/>
    <w:rsid w:val="00796855"/>
    <w:rsid w:val="00797859"/>
    <w:rsid w:val="007A0F17"/>
    <w:rsid w:val="007A1FA6"/>
    <w:rsid w:val="007B70AB"/>
    <w:rsid w:val="007C4C7E"/>
    <w:rsid w:val="007D1EF8"/>
    <w:rsid w:val="007D4D6E"/>
    <w:rsid w:val="007D7629"/>
    <w:rsid w:val="007E178E"/>
    <w:rsid w:val="007E457A"/>
    <w:rsid w:val="007F32E1"/>
    <w:rsid w:val="007F4341"/>
    <w:rsid w:val="007F7BE9"/>
    <w:rsid w:val="00803B23"/>
    <w:rsid w:val="0080554D"/>
    <w:rsid w:val="00811969"/>
    <w:rsid w:val="00811A01"/>
    <w:rsid w:val="00812440"/>
    <w:rsid w:val="008131E0"/>
    <w:rsid w:val="00837D2E"/>
    <w:rsid w:val="008503B0"/>
    <w:rsid w:val="008567AB"/>
    <w:rsid w:val="00856D6C"/>
    <w:rsid w:val="008654DF"/>
    <w:rsid w:val="00866B8D"/>
    <w:rsid w:val="00866F5D"/>
    <w:rsid w:val="00867614"/>
    <w:rsid w:val="00870B58"/>
    <w:rsid w:val="0087208F"/>
    <w:rsid w:val="00873E85"/>
    <w:rsid w:val="00874F46"/>
    <w:rsid w:val="0087524C"/>
    <w:rsid w:val="008757AB"/>
    <w:rsid w:val="00880E6A"/>
    <w:rsid w:val="00881698"/>
    <w:rsid w:val="00881CEC"/>
    <w:rsid w:val="00883A91"/>
    <w:rsid w:val="00891FC9"/>
    <w:rsid w:val="008928AE"/>
    <w:rsid w:val="00892ECB"/>
    <w:rsid w:val="00893329"/>
    <w:rsid w:val="00893856"/>
    <w:rsid w:val="00893C1E"/>
    <w:rsid w:val="008A27FC"/>
    <w:rsid w:val="008B7EFF"/>
    <w:rsid w:val="008C0459"/>
    <w:rsid w:val="008C1697"/>
    <w:rsid w:val="008C2769"/>
    <w:rsid w:val="008C7749"/>
    <w:rsid w:val="008D1D65"/>
    <w:rsid w:val="008D35E5"/>
    <w:rsid w:val="008E0CC6"/>
    <w:rsid w:val="008E4870"/>
    <w:rsid w:val="008E506D"/>
    <w:rsid w:val="008E60B7"/>
    <w:rsid w:val="008E636A"/>
    <w:rsid w:val="0090591C"/>
    <w:rsid w:val="00921989"/>
    <w:rsid w:val="00921C6A"/>
    <w:rsid w:val="0092566E"/>
    <w:rsid w:val="00925CBD"/>
    <w:rsid w:val="00933A7C"/>
    <w:rsid w:val="00941029"/>
    <w:rsid w:val="009430D2"/>
    <w:rsid w:val="00950F57"/>
    <w:rsid w:val="00953459"/>
    <w:rsid w:val="00956ED7"/>
    <w:rsid w:val="009570E7"/>
    <w:rsid w:val="00974A7E"/>
    <w:rsid w:val="0097630F"/>
    <w:rsid w:val="00983633"/>
    <w:rsid w:val="009970BE"/>
    <w:rsid w:val="00997CBB"/>
    <w:rsid w:val="009A03CB"/>
    <w:rsid w:val="009A3C5E"/>
    <w:rsid w:val="009A40C7"/>
    <w:rsid w:val="009B1126"/>
    <w:rsid w:val="009B3373"/>
    <w:rsid w:val="009B43FD"/>
    <w:rsid w:val="009B5697"/>
    <w:rsid w:val="009C50D1"/>
    <w:rsid w:val="009C60D3"/>
    <w:rsid w:val="009C712C"/>
    <w:rsid w:val="009E6793"/>
    <w:rsid w:val="009F2FB8"/>
    <w:rsid w:val="00A03578"/>
    <w:rsid w:val="00A10006"/>
    <w:rsid w:val="00A133D7"/>
    <w:rsid w:val="00A147B1"/>
    <w:rsid w:val="00A264D3"/>
    <w:rsid w:val="00A35F0D"/>
    <w:rsid w:val="00A36B2A"/>
    <w:rsid w:val="00A40265"/>
    <w:rsid w:val="00A57BD4"/>
    <w:rsid w:val="00A626F8"/>
    <w:rsid w:val="00A64E00"/>
    <w:rsid w:val="00A6579C"/>
    <w:rsid w:val="00A65C16"/>
    <w:rsid w:val="00A70C11"/>
    <w:rsid w:val="00A7186F"/>
    <w:rsid w:val="00A76A0A"/>
    <w:rsid w:val="00A80B8B"/>
    <w:rsid w:val="00A8390A"/>
    <w:rsid w:val="00A857A3"/>
    <w:rsid w:val="00A9150F"/>
    <w:rsid w:val="00A91862"/>
    <w:rsid w:val="00A9301D"/>
    <w:rsid w:val="00AB1A5F"/>
    <w:rsid w:val="00AB2872"/>
    <w:rsid w:val="00AB2DEE"/>
    <w:rsid w:val="00AB4E54"/>
    <w:rsid w:val="00AB5796"/>
    <w:rsid w:val="00AC41E5"/>
    <w:rsid w:val="00AC5D44"/>
    <w:rsid w:val="00AD4843"/>
    <w:rsid w:val="00AE6163"/>
    <w:rsid w:val="00AF57EE"/>
    <w:rsid w:val="00B112E3"/>
    <w:rsid w:val="00B1527F"/>
    <w:rsid w:val="00B224B3"/>
    <w:rsid w:val="00B23C81"/>
    <w:rsid w:val="00B24CD0"/>
    <w:rsid w:val="00B260F0"/>
    <w:rsid w:val="00B27522"/>
    <w:rsid w:val="00B335A2"/>
    <w:rsid w:val="00B34ABD"/>
    <w:rsid w:val="00B35DA2"/>
    <w:rsid w:val="00B36ECF"/>
    <w:rsid w:val="00B47E86"/>
    <w:rsid w:val="00B52193"/>
    <w:rsid w:val="00B57891"/>
    <w:rsid w:val="00B63AB8"/>
    <w:rsid w:val="00B63D9E"/>
    <w:rsid w:val="00B6554A"/>
    <w:rsid w:val="00B67122"/>
    <w:rsid w:val="00B83E4F"/>
    <w:rsid w:val="00B846D9"/>
    <w:rsid w:val="00B9338A"/>
    <w:rsid w:val="00B93E44"/>
    <w:rsid w:val="00BA0F6E"/>
    <w:rsid w:val="00BA3F5C"/>
    <w:rsid w:val="00BB0787"/>
    <w:rsid w:val="00BB662B"/>
    <w:rsid w:val="00BD1387"/>
    <w:rsid w:val="00BD4E1D"/>
    <w:rsid w:val="00BF0669"/>
    <w:rsid w:val="00BF4642"/>
    <w:rsid w:val="00C0647F"/>
    <w:rsid w:val="00C179C9"/>
    <w:rsid w:val="00C27DEB"/>
    <w:rsid w:val="00C33D5D"/>
    <w:rsid w:val="00C341D5"/>
    <w:rsid w:val="00C430A8"/>
    <w:rsid w:val="00C57708"/>
    <w:rsid w:val="00C62CE0"/>
    <w:rsid w:val="00C64E22"/>
    <w:rsid w:val="00C71948"/>
    <w:rsid w:val="00C737E7"/>
    <w:rsid w:val="00C75937"/>
    <w:rsid w:val="00C856C3"/>
    <w:rsid w:val="00C91351"/>
    <w:rsid w:val="00C93C62"/>
    <w:rsid w:val="00C9429D"/>
    <w:rsid w:val="00CA24BF"/>
    <w:rsid w:val="00CA3C54"/>
    <w:rsid w:val="00CA6C7F"/>
    <w:rsid w:val="00CB2588"/>
    <w:rsid w:val="00CC6842"/>
    <w:rsid w:val="00CC6C9B"/>
    <w:rsid w:val="00CD409C"/>
    <w:rsid w:val="00CD4F61"/>
    <w:rsid w:val="00CE5545"/>
    <w:rsid w:val="00CF381E"/>
    <w:rsid w:val="00CF5B80"/>
    <w:rsid w:val="00D05D77"/>
    <w:rsid w:val="00D106D9"/>
    <w:rsid w:val="00D11CBF"/>
    <w:rsid w:val="00D1479B"/>
    <w:rsid w:val="00D2302E"/>
    <w:rsid w:val="00D242C7"/>
    <w:rsid w:val="00D25D13"/>
    <w:rsid w:val="00D30ECE"/>
    <w:rsid w:val="00D40F71"/>
    <w:rsid w:val="00D54158"/>
    <w:rsid w:val="00D541F0"/>
    <w:rsid w:val="00D6120C"/>
    <w:rsid w:val="00D6364F"/>
    <w:rsid w:val="00D66B6E"/>
    <w:rsid w:val="00D720F7"/>
    <w:rsid w:val="00D92638"/>
    <w:rsid w:val="00D928B5"/>
    <w:rsid w:val="00DA5EDF"/>
    <w:rsid w:val="00DA7DB9"/>
    <w:rsid w:val="00DB5FF5"/>
    <w:rsid w:val="00DC22D2"/>
    <w:rsid w:val="00DC6955"/>
    <w:rsid w:val="00DD0F04"/>
    <w:rsid w:val="00DD27D3"/>
    <w:rsid w:val="00DD4593"/>
    <w:rsid w:val="00DD4CEB"/>
    <w:rsid w:val="00DD6441"/>
    <w:rsid w:val="00DE0F17"/>
    <w:rsid w:val="00DE7466"/>
    <w:rsid w:val="00DF1BC3"/>
    <w:rsid w:val="00E0047C"/>
    <w:rsid w:val="00E06291"/>
    <w:rsid w:val="00E210C2"/>
    <w:rsid w:val="00E240D1"/>
    <w:rsid w:val="00E2679B"/>
    <w:rsid w:val="00E26BA3"/>
    <w:rsid w:val="00E34D9F"/>
    <w:rsid w:val="00E34F5B"/>
    <w:rsid w:val="00E3535A"/>
    <w:rsid w:val="00E4310B"/>
    <w:rsid w:val="00E54C6A"/>
    <w:rsid w:val="00E55853"/>
    <w:rsid w:val="00E60FCF"/>
    <w:rsid w:val="00E66F4A"/>
    <w:rsid w:val="00E67462"/>
    <w:rsid w:val="00E80C66"/>
    <w:rsid w:val="00E83158"/>
    <w:rsid w:val="00E90B96"/>
    <w:rsid w:val="00E9393B"/>
    <w:rsid w:val="00E93F1F"/>
    <w:rsid w:val="00EA0C51"/>
    <w:rsid w:val="00EB3801"/>
    <w:rsid w:val="00EB6781"/>
    <w:rsid w:val="00EC38B9"/>
    <w:rsid w:val="00ED1AC7"/>
    <w:rsid w:val="00ED3EE4"/>
    <w:rsid w:val="00ED653C"/>
    <w:rsid w:val="00ED6CA8"/>
    <w:rsid w:val="00ED6DA0"/>
    <w:rsid w:val="00EE029F"/>
    <w:rsid w:val="00EE211E"/>
    <w:rsid w:val="00EE224E"/>
    <w:rsid w:val="00EF24F7"/>
    <w:rsid w:val="00EF5540"/>
    <w:rsid w:val="00EF6039"/>
    <w:rsid w:val="00F0288A"/>
    <w:rsid w:val="00F05AE4"/>
    <w:rsid w:val="00F0684E"/>
    <w:rsid w:val="00F10C13"/>
    <w:rsid w:val="00F11AB5"/>
    <w:rsid w:val="00F16104"/>
    <w:rsid w:val="00F242F5"/>
    <w:rsid w:val="00F4017A"/>
    <w:rsid w:val="00F44522"/>
    <w:rsid w:val="00F52BF1"/>
    <w:rsid w:val="00F5307B"/>
    <w:rsid w:val="00F62950"/>
    <w:rsid w:val="00F62C57"/>
    <w:rsid w:val="00F62EC3"/>
    <w:rsid w:val="00F7614B"/>
    <w:rsid w:val="00F87039"/>
    <w:rsid w:val="00F9213C"/>
    <w:rsid w:val="00FA1139"/>
    <w:rsid w:val="00FA1343"/>
    <w:rsid w:val="00FA5943"/>
    <w:rsid w:val="00FB1636"/>
    <w:rsid w:val="00FB5F54"/>
    <w:rsid w:val="00FC0DD1"/>
    <w:rsid w:val="00FC3DFD"/>
    <w:rsid w:val="00FD3400"/>
    <w:rsid w:val="00FD3CFD"/>
    <w:rsid w:val="00FE06E1"/>
    <w:rsid w:val="00FE1223"/>
    <w:rsid w:val="00FE2026"/>
    <w:rsid w:val="00FE3A82"/>
    <w:rsid w:val="00FE7A69"/>
    <w:rsid w:val="00FF04FD"/>
    <w:rsid w:val="00FF0DAC"/>
    <w:rsid w:val="00FF2B95"/>
    <w:rsid w:val="00FF5ED3"/>
    <w:rsid w:val="04997DC4"/>
    <w:rsid w:val="0523112D"/>
    <w:rsid w:val="06647B6F"/>
    <w:rsid w:val="0E4C277D"/>
    <w:rsid w:val="162268AE"/>
    <w:rsid w:val="1C6D6A03"/>
    <w:rsid w:val="29967E4D"/>
    <w:rsid w:val="29E23632"/>
    <w:rsid w:val="31F27954"/>
    <w:rsid w:val="34396C2B"/>
    <w:rsid w:val="36ED45F9"/>
    <w:rsid w:val="37E96BF0"/>
    <w:rsid w:val="3C2F08BE"/>
    <w:rsid w:val="3E320924"/>
    <w:rsid w:val="43007EAE"/>
    <w:rsid w:val="430A2092"/>
    <w:rsid w:val="45B22B27"/>
    <w:rsid w:val="47B25BA8"/>
    <w:rsid w:val="52770A33"/>
    <w:rsid w:val="54095846"/>
    <w:rsid w:val="5A9C4EC9"/>
    <w:rsid w:val="649178C7"/>
    <w:rsid w:val="688D12AD"/>
    <w:rsid w:val="6AB904E6"/>
    <w:rsid w:val="6BF60850"/>
    <w:rsid w:val="75C715EF"/>
    <w:rsid w:val="76CC5798"/>
    <w:rsid w:val="7B095BA5"/>
    <w:rsid w:val="7B8C06C9"/>
    <w:rsid w:val="7FB6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widowControl w:val="0"/>
      <w:kinsoku/>
      <w:autoSpaceDE/>
      <w:autoSpaceDN/>
      <w:adjustRightInd/>
      <w:snapToGrid/>
      <w:ind w:left="2520" w:leftChars="1200"/>
      <w:jc w:val="both"/>
      <w:textAlignment w:val="auto"/>
    </w:pPr>
    <w:rPr>
      <w:rFonts w:asciiTheme="minorHAnsi" w:hAnsiTheme="minorHAnsi" w:eastAsiaTheme="minorEastAsia" w:cstheme="minorBidi"/>
      <w:snapToGrid/>
      <w:color w:val="auto"/>
      <w:kern w:val="2"/>
      <w:szCs w:val="22"/>
    </w:rPr>
  </w:style>
  <w:style w:type="paragraph" w:styleId="6">
    <w:name w:val="annotation text"/>
    <w:basedOn w:val="1"/>
    <w:link w:val="65"/>
    <w:qFormat/>
    <w:uiPriority w:val="0"/>
  </w:style>
  <w:style w:type="paragraph" w:styleId="7">
    <w:name w:val="Body Text"/>
    <w:basedOn w:val="1"/>
    <w:link w:val="35"/>
    <w:qFormat/>
    <w:uiPriority w:val="0"/>
    <w:pPr>
      <w:kinsoku/>
      <w:autoSpaceDE/>
      <w:autoSpaceDN/>
      <w:adjustRightInd/>
      <w:snapToGrid/>
      <w:spacing w:line="360" w:lineRule="auto"/>
      <w:ind w:firstLine="200" w:firstLineChars="200"/>
      <w:jc w:val="both"/>
      <w:textAlignment w:val="auto"/>
    </w:pPr>
    <w:rPr>
      <w:rFonts w:ascii="Times New Roman" w:hAnsi="Times New Roman" w:eastAsia="仿宋" w:cstheme="minorBidi"/>
      <w:snapToGrid/>
      <w:color w:val="auto"/>
      <w:sz w:val="28"/>
      <w:szCs w:val="28"/>
    </w:rPr>
  </w:style>
  <w:style w:type="paragraph" w:styleId="8">
    <w:name w:val="toc 5"/>
    <w:basedOn w:val="1"/>
    <w:next w:val="1"/>
    <w:unhideWhenUsed/>
    <w:qFormat/>
    <w:uiPriority w:val="39"/>
    <w:pPr>
      <w:widowControl w:val="0"/>
      <w:kinsoku/>
      <w:autoSpaceDE/>
      <w:autoSpaceDN/>
      <w:adjustRightInd/>
      <w:snapToGrid/>
      <w:ind w:left="1680" w:leftChars="800"/>
      <w:jc w:val="both"/>
      <w:textAlignment w:val="auto"/>
    </w:pPr>
    <w:rPr>
      <w:rFonts w:asciiTheme="minorHAnsi" w:hAnsiTheme="minorHAnsi" w:eastAsiaTheme="minorEastAsia" w:cstheme="minorBidi"/>
      <w:snapToGrid/>
      <w:color w:val="auto"/>
      <w:kern w:val="2"/>
      <w:szCs w:val="22"/>
    </w:rPr>
  </w:style>
  <w:style w:type="paragraph" w:styleId="9">
    <w:name w:val="toc 3"/>
    <w:basedOn w:val="1"/>
    <w:next w:val="1"/>
    <w:qFormat/>
    <w:uiPriority w:val="39"/>
    <w:pPr>
      <w:ind w:left="840" w:leftChars="400"/>
    </w:pPr>
  </w:style>
  <w:style w:type="paragraph" w:styleId="10">
    <w:name w:val="Plain Text"/>
    <w:basedOn w:val="1"/>
    <w:link w:val="72"/>
    <w:qFormat/>
    <w:uiPriority w:val="0"/>
    <w:pPr>
      <w:widowControl w:val="0"/>
      <w:kinsoku/>
      <w:autoSpaceDE/>
      <w:autoSpaceDN/>
      <w:adjustRightInd/>
      <w:snapToGrid/>
      <w:jc w:val="both"/>
      <w:textAlignment w:val="auto"/>
    </w:pPr>
    <w:rPr>
      <w:rFonts w:ascii="宋体" w:hAnsi="Courier New" w:eastAsia="宋体" w:cs="Times New Roman"/>
      <w:snapToGrid/>
      <w:color w:val="auto"/>
      <w:kern w:val="2"/>
      <w:szCs w:val="20"/>
    </w:rPr>
  </w:style>
  <w:style w:type="paragraph" w:styleId="11">
    <w:name w:val="toc 8"/>
    <w:basedOn w:val="1"/>
    <w:next w:val="1"/>
    <w:unhideWhenUsed/>
    <w:qFormat/>
    <w:uiPriority w:val="39"/>
    <w:pPr>
      <w:widowControl w:val="0"/>
      <w:kinsoku/>
      <w:autoSpaceDE/>
      <w:autoSpaceDN/>
      <w:adjustRightInd/>
      <w:snapToGrid/>
      <w:ind w:left="2940" w:leftChars="1400"/>
      <w:jc w:val="both"/>
      <w:textAlignment w:val="auto"/>
    </w:pPr>
    <w:rPr>
      <w:rFonts w:asciiTheme="minorHAnsi" w:hAnsiTheme="minorHAnsi" w:eastAsiaTheme="minorEastAsia" w:cstheme="minorBidi"/>
      <w:snapToGrid/>
      <w:color w:val="auto"/>
      <w:kern w:val="2"/>
      <w:szCs w:val="22"/>
    </w:rPr>
  </w:style>
  <w:style w:type="paragraph" w:styleId="12">
    <w:name w:val="footer"/>
    <w:basedOn w:val="1"/>
    <w:link w:val="29"/>
    <w:qFormat/>
    <w:uiPriority w:val="0"/>
    <w:pPr>
      <w:tabs>
        <w:tab w:val="center" w:pos="4153"/>
        <w:tab w:val="right" w:pos="8306"/>
      </w:tabs>
    </w:pPr>
    <w:rPr>
      <w:sz w:val="18"/>
      <w:szCs w:val="18"/>
    </w:rPr>
  </w:style>
  <w:style w:type="paragraph" w:styleId="13">
    <w:name w:val="header"/>
    <w:basedOn w:val="1"/>
    <w:link w:val="28"/>
    <w:qFormat/>
    <w:uiPriority w:val="0"/>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style>
  <w:style w:type="paragraph" w:styleId="15">
    <w:name w:val="toc 4"/>
    <w:basedOn w:val="1"/>
    <w:next w:val="1"/>
    <w:unhideWhenUsed/>
    <w:qFormat/>
    <w:uiPriority w:val="39"/>
    <w:pPr>
      <w:widowControl w:val="0"/>
      <w:kinsoku/>
      <w:autoSpaceDE/>
      <w:autoSpaceDN/>
      <w:adjustRightInd/>
      <w:snapToGrid/>
      <w:ind w:left="1260" w:leftChars="600"/>
      <w:jc w:val="both"/>
      <w:textAlignment w:val="auto"/>
    </w:pPr>
    <w:rPr>
      <w:rFonts w:asciiTheme="minorHAnsi" w:hAnsiTheme="minorHAnsi" w:eastAsiaTheme="minorEastAsia" w:cstheme="minorBidi"/>
      <w:snapToGrid/>
      <w:color w:val="auto"/>
      <w:kern w:val="2"/>
      <w:szCs w:val="22"/>
    </w:rPr>
  </w:style>
  <w:style w:type="paragraph" w:styleId="16">
    <w:name w:val="toc 6"/>
    <w:basedOn w:val="1"/>
    <w:next w:val="1"/>
    <w:unhideWhenUsed/>
    <w:qFormat/>
    <w:uiPriority w:val="39"/>
    <w:pPr>
      <w:widowControl w:val="0"/>
      <w:kinsoku/>
      <w:autoSpaceDE/>
      <w:autoSpaceDN/>
      <w:adjustRightInd/>
      <w:snapToGrid/>
      <w:ind w:left="2100" w:leftChars="1000"/>
      <w:jc w:val="both"/>
      <w:textAlignment w:val="auto"/>
    </w:pPr>
    <w:rPr>
      <w:rFonts w:asciiTheme="minorHAnsi" w:hAnsiTheme="minorHAnsi" w:eastAsiaTheme="minorEastAsia" w:cstheme="minorBidi"/>
      <w:snapToGrid/>
      <w:color w:val="auto"/>
      <w:kern w:val="2"/>
      <w:szCs w:val="22"/>
    </w:rPr>
  </w:style>
  <w:style w:type="paragraph" w:styleId="17">
    <w:name w:val="toc 2"/>
    <w:basedOn w:val="1"/>
    <w:next w:val="1"/>
    <w:qFormat/>
    <w:uiPriority w:val="39"/>
    <w:pPr>
      <w:ind w:left="420" w:leftChars="200"/>
    </w:pPr>
  </w:style>
  <w:style w:type="paragraph" w:styleId="18">
    <w:name w:val="toc 9"/>
    <w:basedOn w:val="1"/>
    <w:next w:val="1"/>
    <w:unhideWhenUsed/>
    <w:qFormat/>
    <w:uiPriority w:val="39"/>
    <w:pPr>
      <w:widowControl w:val="0"/>
      <w:kinsoku/>
      <w:autoSpaceDE/>
      <w:autoSpaceDN/>
      <w:adjustRightInd/>
      <w:snapToGrid/>
      <w:ind w:left="3360" w:leftChars="1600"/>
      <w:jc w:val="both"/>
      <w:textAlignment w:val="auto"/>
    </w:pPr>
    <w:rPr>
      <w:rFonts w:asciiTheme="minorHAnsi" w:hAnsiTheme="minorHAnsi" w:eastAsiaTheme="minorEastAsia" w:cstheme="minorBidi"/>
      <w:snapToGrid/>
      <w:color w:val="auto"/>
      <w:kern w:val="2"/>
      <w:szCs w:val="22"/>
    </w:rPr>
  </w:style>
  <w:style w:type="paragraph" w:styleId="19">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styleId="20">
    <w:name w:val="annotation subject"/>
    <w:basedOn w:val="6"/>
    <w:next w:val="6"/>
    <w:link w:val="66"/>
    <w:qFormat/>
    <w:uiPriority w:val="0"/>
    <w:rPr>
      <w:b/>
      <w:bCs/>
    </w:rPr>
  </w:style>
  <w:style w:type="table" w:styleId="22">
    <w:name w:val="Table Grid"/>
    <w:basedOn w:val="21"/>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table" w:customStyle="1" w:styleId="27">
    <w:name w:val="Table Normal"/>
    <w:semiHidden/>
    <w:unhideWhenUsed/>
    <w:qFormat/>
    <w:uiPriority w:val="0"/>
    <w:tblPr>
      <w:tblCellMar>
        <w:top w:w="0" w:type="dxa"/>
        <w:left w:w="0" w:type="dxa"/>
        <w:bottom w:w="0" w:type="dxa"/>
        <w:right w:w="0" w:type="dxa"/>
      </w:tblCellMar>
    </w:tblPr>
  </w:style>
  <w:style w:type="character" w:customStyle="1" w:styleId="28">
    <w:name w:val="页眉 字符"/>
    <w:basedOn w:val="23"/>
    <w:link w:val="13"/>
    <w:qFormat/>
    <w:uiPriority w:val="0"/>
    <w:rPr>
      <w:rFonts w:eastAsia="Arial"/>
      <w:snapToGrid w:val="0"/>
      <w:color w:val="000000"/>
      <w:sz w:val="18"/>
      <w:szCs w:val="18"/>
    </w:rPr>
  </w:style>
  <w:style w:type="character" w:customStyle="1" w:styleId="29">
    <w:name w:val="页脚 字符"/>
    <w:basedOn w:val="23"/>
    <w:link w:val="12"/>
    <w:qFormat/>
    <w:uiPriority w:val="0"/>
    <w:rPr>
      <w:rFonts w:eastAsia="Arial"/>
      <w:snapToGrid w:val="0"/>
      <w:color w:val="000000"/>
      <w:sz w:val="18"/>
      <w:szCs w:val="18"/>
    </w:rPr>
  </w:style>
  <w:style w:type="character" w:customStyle="1" w:styleId="30">
    <w:name w:val="标题 1 字符"/>
    <w:basedOn w:val="23"/>
    <w:link w:val="2"/>
    <w:qFormat/>
    <w:uiPriority w:val="0"/>
    <w:rPr>
      <w:rFonts w:eastAsia="Arial"/>
      <w:b/>
      <w:bCs/>
      <w:snapToGrid w:val="0"/>
      <w:color w:val="000000"/>
      <w:kern w:val="44"/>
      <w:sz w:val="44"/>
      <w:szCs w:val="44"/>
    </w:rPr>
  </w:style>
  <w:style w:type="paragraph" w:customStyle="1" w:styleId="31">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rPr>
  </w:style>
  <w:style w:type="character" w:customStyle="1" w:styleId="32">
    <w:name w:val="Unresolved Mention"/>
    <w:basedOn w:val="23"/>
    <w:semiHidden/>
    <w:unhideWhenUsed/>
    <w:qFormat/>
    <w:uiPriority w:val="99"/>
    <w:rPr>
      <w:color w:val="605E5C"/>
      <w:shd w:val="clear" w:color="auto" w:fill="E1DFDD"/>
    </w:rPr>
  </w:style>
  <w:style w:type="paragraph" w:styleId="33">
    <w:name w:val="List Paragraph"/>
    <w:basedOn w:val="1"/>
    <w:link w:val="73"/>
    <w:qFormat/>
    <w:uiPriority w:val="99"/>
    <w:pPr>
      <w:ind w:firstLine="420" w:firstLineChars="200"/>
    </w:pPr>
  </w:style>
  <w:style w:type="character" w:styleId="34">
    <w:name w:val="Placeholder Text"/>
    <w:basedOn w:val="23"/>
    <w:semiHidden/>
    <w:qFormat/>
    <w:uiPriority w:val="99"/>
    <w:rPr>
      <w:color w:val="808080"/>
    </w:rPr>
  </w:style>
  <w:style w:type="character" w:customStyle="1" w:styleId="35">
    <w:name w:val="正文文本 字符"/>
    <w:basedOn w:val="23"/>
    <w:link w:val="7"/>
    <w:qFormat/>
    <w:uiPriority w:val="0"/>
    <w:rPr>
      <w:rFonts w:ascii="Times New Roman" w:hAnsi="Times New Roman" w:eastAsia="仿宋" w:cstheme="minorBidi"/>
      <w:sz w:val="28"/>
      <w:szCs w:val="28"/>
    </w:rPr>
  </w:style>
  <w:style w:type="character" w:customStyle="1" w:styleId="36">
    <w:name w:val="标题 2 字符"/>
    <w:basedOn w:val="23"/>
    <w:link w:val="3"/>
    <w:semiHidden/>
    <w:qFormat/>
    <w:uiPriority w:val="0"/>
    <w:rPr>
      <w:rFonts w:asciiTheme="majorHAnsi" w:hAnsiTheme="majorHAnsi" w:eastAsiaTheme="majorEastAsia" w:cstheme="majorBidi"/>
      <w:b/>
      <w:bCs/>
      <w:snapToGrid w:val="0"/>
      <w:color w:val="000000"/>
      <w:sz w:val="32"/>
      <w:szCs w:val="32"/>
    </w:rPr>
  </w:style>
  <w:style w:type="character" w:customStyle="1" w:styleId="37">
    <w:name w:val="标题 3 字符"/>
    <w:basedOn w:val="23"/>
    <w:link w:val="4"/>
    <w:semiHidden/>
    <w:qFormat/>
    <w:uiPriority w:val="0"/>
    <w:rPr>
      <w:rFonts w:eastAsia="Arial"/>
      <w:b/>
      <w:bCs/>
      <w:snapToGrid w:val="0"/>
      <w:color w:val="000000"/>
      <w:sz w:val="32"/>
      <w:szCs w:val="32"/>
    </w:rPr>
  </w:style>
  <w:style w:type="character" w:customStyle="1" w:styleId="38">
    <w:name w:val="font191"/>
    <w:basedOn w:val="23"/>
    <w:qFormat/>
    <w:uiPriority w:val="0"/>
    <w:rPr>
      <w:rFonts w:hint="eastAsia" w:ascii="宋体" w:hAnsi="宋体" w:eastAsia="宋体" w:cs="宋体"/>
      <w:color w:val="000000"/>
      <w:sz w:val="22"/>
      <w:szCs w:val="22"/>
      <w:u w:val="none"/>
    </w:rPr>
  </w:style>
  <w:style w:type="character" w:customStyle="1" w:styleId="39">
    <w:name w:val="font61"/>
    <w:basedOn w:val="23"/>
    <w:qFormat/>
    <w:uiPriority w:val="0"/>
    <w:rPr>
      <w:rFonts w:hint="default" w:ascii="Times New Roman" w:hAnsi="Times New Roman" w:cs="Times New Roman"/>
      <w:color w:val="000000"/>
      <w:sz w:val="22"/>
      <w:szCs w:val="22"/>
      <w:u w:val="none"/>
    </w:rPr>
  </w:style>
  <w:style w:type="character" w:customStyle="1" w:styleId="40">
    <w:name w:val="font161"/>
    <w:basedOn w:val="23"/>
    <w:qFormat/>
    <w:uiPriority w:val="0"/>
    <w:rPr>
      <w:rFonts w:hint="default" w:ascii="Times New Roman" w:hAnsi="Times New Roman" w:cs="Times New Roman"/>
      <w:color w:val="000000"/>
      <w:sz w:val="22"/>
      <w:szCs w:val="22"/>
      <w:u w:val="none"/>
    </w:rPr>
  </w:style>
  <w:style w:type="character" w:customStyle="1" w:styleId="41">
    <w:name w:val="font151"/>
    <w:basedOn w:val="23"/>
    <w:qFormat/>
    <w:uiPriority w:val="0"/>
    <w:rPr>
      <w:rFonts w:hint="eastAsia" w:ascii="宋体" w:hAnsi="宋体" w:eastAsia="宋体" w:cs="宋体"/>
      <w:color w:val="000000"/>
      <w:sz w:val="22"/>
      <w:szCs w:val="22"/>
      <w:u w:val="none"/>
      <w:vertAlign w:val="superscript"/>
    </w:rPr>
  </w:style>
  <w:style w:type="character" w:customStyle="1" w:styleId="42">
    <w:name w:val="font11"/>
    <w:basedOn w:val="23"/>
    <w:qFormat/>
    <w:uiPriority w:val="0"/>
    <w:rPr>
      <w:rFonts w:hint="eastAsia" w:ascii="宋体" w:hAnsi="宋体" w:eastAsia="宋体" w:cs="宋体"/>
      <w:color w:val="000000"/>
      <w:sz w:val="22"/>
      <w:szCs w:val="22"/>
      <w:u w:val="none"/>
      <w:vertAlign w:val="superscript"/>
    </w:rPr>
  </w:style>
  <w:style w:type="character" w:customStyle="1" w:styleId="43">
    <w:name w:val="font251"/>
    <w:basedOn w:val="23"/>
    <w:qFormat/>
    <w:uiPriority w:val="0"/>
    <w:rPr>
      <w:rFonts w:hint="eastAsia" w:ascii="宋体" w:hAnsi="宋体" w:eastAsia="宋体" w:cs="宋体"/>
      <w:color w:val="000000"/>
      <w:sz w:val="22"/>
      <w:szCs w:val="22"/>
      <w:u w:val="none"/>
      <w:vertAlign w:val="superscript"/>
    </w:rPr>
  </w:style>
  <w:style w:type="character" w:customStyle="1" w:styleId="44">
    <w:name w:val="font231"/>
    <w:basedOn w:val="23"/>
    <w:qFormat/>
    <w:uiPriority w:val="0"/>
    <w:rPr>
      <w:rFonts w:hint="eastAsia" w:ascii="宋体" w:hAnsi="宋体" w:eastAsia="宋体" w:cs="宋体"/>
      <w:color w:val="000000"/>
      <w:sz w:val="22"/>
      <w:szCs w:val="22"/>
      <w:u w:val="none"/>
    </w:rPr>
  </w:style>
  <w:style w:type="character" w:customStyle="1" w:styleId="45">
    <w:name w:val="font201"/>
    <w:basedOn w:val="23"/>
    <w:qFormat/>
    <w:uiPriority w:val="0"/>
    <w:rPr>
      <w:rFonts w:hint="default" w:ascii="Times New Roman" w:hAnsi="Times New Roman" w:cs="Times New Roman"/>
      <w:color w:val="000000"/>
      <w:sz w:val="22"/>
      <w:szCs w:val="22"/>
      <w:u w:val="none"/>
    </w:rPr>
  </w:style>
  <w:style w:type="character" w:customStyle="1" w:styleId="46">
    <w:name w:val="font171"/>
    <w:basedOn w:val="23"/>
    <w:qFormat/>
    <w:uiPriority w:val="0"/>
    <w:rPr>
      <w:rFonts w:ascii="Calibri" w:hAnsi="Calibri" w:cs="Calibri"/>
      <w:color w:val="000000"/>
      <w:sz w:val="21"/>
      <w:szCs w:val="21"/>
      <w:u w:val="none"/>
    </w:rPr>
  </w:style>
  <w:style w:type="character" w:customStyle="1" w:styleId="47">
    <w:name w:val="font122"/>
    <w:basedOn w:val="23"/>
    <w:qFormat/>
    <w:uiPriority w:val="0"/>
    <w:rPr>
      <w:rFonts w:hint="eastAsia" w:ascii="宋体" w:hAnsi="宋体" w:eastAsia="宋体" w:cs="宋体"/>
      <w:color w:val="000000"/>
      <w:sz w:val="24"/>
      <w:szCs w:val="24"/>
      <w:u w:val="none"/>
      <w:vertAlign w:val="superscript"/>
    </w:rPr>
  </w:style>
  <w:style w:type="character" w:customStyle="1" w:styleId="48">
    <w:name w:val="font31"/>
    <w:basedOn w:val="23"/>
    <w:qFormat/>
    <w:uiPriority w:val="0"/>
    <w:rPr>
      <w:rFonts w:hint="eastAsia" w:ascii="宋体" w:hAnsi="宋体" w:eastAsia="宋体" w:cs="宋体"/>
      <w:color w:val="000000"/>
      <w:sz w:val="22"/>
      <w:szCs w:val="22"/>
      <w:u w:val="none"/>
    </w:rPr>
  </w:style>
  <w:style w:type="character" w:customStyle="1" w:styleId="49">
    <w:name w:val="font131"/>
    <w:basedOn w:val="23"/>
    <w:qFormat/>
    <w:uiPriority w:val="0"/>
    <w:rPr>
      <w:rFonts w:hint="default" w:ascii="Times New Roman" w:hAnsi="Times New Roman" w:cs="Times New Roman"/>
      <w:color w:val="000000"/>
      <w:sz w:val="22"/>
      <w:szCs w:val="22"/>
      <w:u w:val="none"/>
    </w:rPr>
  </w:style>
  <w:style w:type="character" w:customStyle="1" w:styleId="50">
    <w:name w:val="font112"/>
    <w:basedOn w:val="23"/>
    <w:qFormat/>
    <w:uiPriority w:val="0"/>
    <w:rPr>
      <w:rFonts w:hint="eastAsia" w:ascii="宋体" w:hAnsi="宋体" w:eastAsia="宋体" w:cs="宋体"/>
      <w:color w:val="000000"/>
      <w:sz w:val="22"/>
      <w:szCs w:val="22"/>
      <w:u w:val="none"/>
    </w:rPr>
  </w:style>
  <w:style w:type="character" w:customStyle="1" w:styleId="51">
    <w:name w:val="font222"/>
    <w:basedOn w:val="23"/>
    <w:qFormat/>
    <w:uiPriority w:val="0"/>
    <w:rPr>
      <w:rFonts w:hint="eastAsia" w:ascii="宋体" w:hAnsi="宋体" w:eastAsia="宋体" w:cs="宋体"/>
      <w:color w:val="000000"/>
      <w:sz w:val="22"/>
      <w:szCs w:val="22"/>
      <w:u w:val="none"/>
    </w:rPr>
  </w:style>
  <w:style w:type="character" w:customStyle="1" w:styleId="52">
    <w:name w:val="font91"/>
    <w:basedOn w:val="23"/>
    <w:qFormat/>
    <w:uiPriority w:val="0"/>
    <w:rPr>
      <w:rFonts w:hint="default" w:ascii="Times New Roman" w:hAnsi="Times New Roman" w:cs="Times New Roman"/>
      <w:color w:val="000000"/>
      <w:sz w:val="22"/>
      <w:szCs w:val="22"/>
      <w:u w:val="none"/>
    </w:rPr>
  </w:style>
  <w:style w:type="character" w:customStyle="1" w:styleId="53">
    <w:name w:val="font12"/>
    <w:basedOn w:val="23"/>
    <w:qFormat/>
    <w:uiPriority w:val="0"/>
    <w:rPr>
      <w:rFonts w:hint="eastAsia" w:ascii="宋体" w:hAnsi="宋体" w:eastAsia="宋体" w:cs="宋体"/>
      <w:color w:val="000000"/>
      <w:sz w:val="22"/>
      <w:szCs w:val="22"/>
      <w:u w:val="none"/>
      <w:vertAlign w:val="superscript"/>
    </w:rPr>
  </w:style>
  <w:style w:type="character" w:customStyle="1" w:styleId="54">
    <w:name w:val="font101"/>
    <w:basedOn w:val="23"/>
    <w:qFormat/>
    <w:uiPriority w:val="0"/>
    <w:rPr>
      <w:rFonts w:hint="eastAsia" w:ascii="宋体" w:hAnsi="宋体" w:eastAsia="宋体" w:cs="宋体"/>
      <w:color w:val="000000"/>
      <w:sz w:val="22"/>
      <w:szCs w:val="22"/>
      <w:u w:val="none"/>
    </w:rPr>
  </w:style>
  <w:style w:type="character" w:customStyle="1" w:styleId="55">
    <w:name w:val="font81"/>
    <w:basedOn w:val="23"/>
    <w:qFormat/>
    <w:uiPriority w:val="0"/>
    <w:rPr>
      <w:rFonts w:hint="default" w:ascii="Times New Roman" w:hAnsi="Times New Roman" w:cs="Times New Roman"/>
      <w:color w:val="000000"/>
      <w:sz w:val="22"/>
      <w:szCs w:val="22"/>
      <w:u w:val="none"/>
    </w:rPr>
  </w:style>
  <w:style w:type="character" w:customStyle="1" w:styleId="56">
    <w:name w:val="font51"/>
    <w:qFormat/>
    <w:uiPriority w:val="0"/>
    <w:rPr>
      <w:rFonts w:hint="default" w:ascii="Calibri" w:hAnsi="Calibri" w:cs="Calibri"/>
      <w:color w:val="000000"/>
      <w:sz w:val="22"/>
      <w:szCs w:val="22"/>
      <w:u w:val="none"/>
    </w:rPr>
  </w:style>
  <w:style w:type="character" w:customStyle="1" w:styleId="57">
    <w:name w:val="font181"/>
    <w:basedOn w:val="23"/>
    <w:qFormat/>
    <w:uiPriority w:val="0"/>
    <w:rPr>
      <w:rFonts w:hint="default" w:ascii="Times New Roman" w:hAnsi="Times New Roman" w:cs="Times New Roman"/>
      <w:color w:val="000000"/>
      <w:sz w:val="22"/>
      <w:szCs w:val="22"/>
      <w:u w:val="none"/>
    </w:rPr>
  </w:style>
  <w:style w:type="character" w:customStyle="1" w:styleId="58">
    <w:name w:val="font132"/>
    <w:basedOn w:val="23"/>
    <w:qFormat/>
    <w:uiPriority w:val="0"/>
    <w:rPr>
      <w:rFonts w:hint="default" w:ascii="Times New Roman" w:hAnsi="Times New Roman" w:cs="Times New Roman"/>
      <w:color w:val="000000"/>
      <w:sz w:val="22"/>
      <w:szCs w:val="22"/>
      <w:u w:val="none"/>
    </w:rPr>
  </w:style>
  <w:style w:type="character" w:customStyle="1" w:styleId="59">
    <w:name w:val="font221"/>
    <w:basedOn w:val="23"/>
    <w:qFormat/>
    <w:uiPriority w:val="0"/>
    <w:rPr>
      <w:rFonts w:hint="eastAsia" w:ascii="宋体" w:hAnsi="宋体" w:eastAsia="宋体" w:cs="宋体"/>
      <w:color w:val="000000"/>
      <w:sz w:val="22"/>
      <w:szCs w:val="22"/>
      <w:u w:val="none"/>
    </w:rPr>
  </w:style>
  <w:style w:type="character" w:customStyle="1" w:styleId="60">
    <w:name w:val="font21"/>
    <w:basedOn w:val="23"/>
    <w:qFormat/>
    <w:uiPriority w:val="0"/>
    <w:rPr>
      <w:rFonts w:hint="eastAsia" w:ascii="宋体" w:hAnsi="宋体" w:eastAsia="宋体" w:cs="宋体"/>
      <w:color w:val="000000"/>
      <w:sz w:val="22"/>
      <w:szCs w:val="22"/>
      <w:u w:val="none"/>
    </w:rPr>
  </w:style>
  <w:style w:type="character" w:customStyle="1" w:styleId="61">
    <w:name w:val="font71"/>
    <w:basedOn w:val="23"/>
    <w:qFormat/>
    <w:uiPriority w:val="0"/>
    <w:rPr>
      <w:rFonts w:hint="eastAsia" w:ascii="宋体" w:hAnsi="宋体" w:eastAsia="宋体" w:cs="宋体"/>
      <w:color w:val="000000"/>
      <w:sz w:val="22"/>
      <w:szCs w:val="22"/>
      <w:u w:val="none"/>
    </w:rPr>
  </w:style>
  <w:style w:type="character" w:customStyle="1" w:styleId="62">
    <w:name w:val="font241"/>
    <w:basedOn w:val="23"/>
    <w:qFormat/>
    <w:uiPriority w:val="0"/>
    <w:rPr>
      <w:rFonts w:hint="eastAsia" w:ascii="宋体" w:hAnsi="宋体" w:eastAsia="宋体" w:cs="宋体"/>
      <w:color w:val="000000"/>
      <w:sz w:val="22"/>
      <w:szCs w:val="22"/>
      <w:u w:val="none"/>
      <w:vertAlign w:val="superscript"/>
    </w:rPr>
  </w:style>
  <w:style w:type="character" w:customStyle="1" w:styleId="63">
    <w:name w:val="font01"/>
    <w:basedOn w:val="23"/>
    <w:qFormat/>
    <w:uiPriority w:val="0"/>
    <w:rPr>
      <w:rFonts w:hint="eastAsia" w:ascii="宋体" w:hAnsi="宋体" w:eastAsia="宋体" w:cs="宋体"/>
      <w:color w:val="000000"/>
      <w:sz w:val="24"/>
      <w:szCs w:val="24"/>
      <w:u w:val="none"/>
      <w:vertAlign w:val="superscript"/>
    </w:rPr>
  </w:style>
  <w:style w:type="character" w:customStyle="1" w:styleId="64">
    <w:name w:val="font41"/>
    <w:basedOn w:val="23"/>
    <w:qFormat/>
    <w:uiPriority w:val="0"/>
    <w:rPr>
      <w:rFonts w:hint="eastAsia" w:ascii="宋体" w:hAnsi="宋体" w:eastAsia="宋体" w:cs="宋体"/>
      <w:color w:val="000000"/>
      <w:sz w:val="22"/>
      <w:szCs w:val="22"/>
      <w:u w:val="none"/>
    </w:rPr>
  </w:style>
  <w:style w:type="character" w:customStyle="1" w:styleId="65">
    <w:name w:val="批注文字 字符"/>
    <w:basedOn w:val="23"/>
    <w:link w:val="6"/>
    <w:qFormat/>
    <w:uiPriority w:val="0"/>
    <w:rPr>
      <w:rFonts w:eastAsia="Arial"/>
      <w:snapToGrid w:val="0"/>
      <w:color w:val="000000"/>
      <w:sz w:val="21"/>
      <w:szCs w:val="21"/>
    </w:rPr>
  </w:style>
  <w:style w:type="character" w:customStyle="1" w:styleId="66">
    <w:name w:val="批注主题 字符"/>
    <w:basedOn w:val="65"/>
    <w:link w:val="20"/>
    <w:qFormat/>
    <w:uiPriority w:val="0"/>
    <w:rPr>
      <w:rFonts w:eastAsia="Arial"/>
      <w:b/>
      <w:bCs/>
      <w:snapToGrid w:val="0"/>
      <w:color w:val="000000"/>
      <w:sz w:val="21"/>
      <w:szCs w:val="21"/>
    </w:rPr>
  </w:style>
  <w:style w:type="paragraph" w:customStyle="1" w:styleId="67">
    <w:name w:val="Default"/>
    <w:qFormat/>
    <w:uiPriority w:val="0"/>
    <w:pPr>
      <w:widowControl w:val="0"/>
      <w:autoSpaceDE w:val="0"/>
      <w:autoSpaceDN w:val="0"/>
      <w:adjustRightInd w:val="0"/>
    </w:pPr>
    <w:rPr>
      <w:rFonts w:ascii="仿宋_GB2312" w:hAnsi="Arial" w:eastAsia="仿宋_GB2312" w:cs="仿宋_GB2312"/>
      <w:color w:val="000000"/>
      <w:sz w:val="24"/>
      <w:szCs w:val="24"/>
      <w:lang w:val="en-US" w:eastAsia="zh-CN" w:bidi="ar-SA"/>
    </w:rPr>
  </w:style>
  <w:style w:type="character" w:customStyle="1" w:styleId="68">
    <w:name w:val="text_vgzkf"/>
    <w:basedOn w:val="23"/>
    <w:qFormat/>
    <w:uiPriority w:val="0"/>
  </w:style>
  <w:style w:type="paragraph" w:customStyle="1" w:styleId="69">
    <w:name w:val="Char"/>
    <w:basedOn w:val="1"/>
    <w:qFormat/>
    <w:uiPriority w:val="0"/>
    <w:pPr>
      <w:kinsoku/>
      <w:autoSpaceDE/>
      <w:autoSpaceDN/>
      <w:adjustRightInd/>
      <w:snapToGrid/>
      <w:spacing w:after="160" w:line="240" w:lineRule="exact"/>
      <w:textAlignment w:val="auto"/>
    </w:pPr>
    <w:rPr>
      <w:rFonts w:ascii="Times New Roman" w:hAnsi="Times New Roman" w:eastAsia="仿宋_GB2312" w:cs="Times New Roman"/>
      <w:snapToGrid/>
      <w:color w:val="auto"/>
      <w:kern w:val="2"/>
      <w:sz w:val="32"/>
      <w:szCs w:val="20"/>
    </w:rPr>
  </w:style>
  <w:style w:type="character" w:customStyle="1" w:styleId="70">
    <w:name w:val="普通段落 Char"/>
    <w:link w:val="71"/>
    <w:qFormat/>
    <w:uiPriority w:val="0"/>
    <w:rPr>
      <w:rFonts w:ascii="Calibri" w:hAnsi="Calibri" w:cs="宋体"/>
      <w:sz w:val="28"/>
      <w:lang w:eastAsia="en-US" w:bidi="en-US"/>
    </w:rPr>
  </w:style>
  <w:style w:type="paragraph" w:customStyle="1" w:styleId="71">
    <w:name w:val="普通段落"/>
    <w:basedOn w:val="1"/>
    <w:link w:val="70"/>
    <w:qFormat/>
    <w:uiPriority w:val="0"/>
    <w:pPr>
      <w:kinsoku/>
      <w:autoSpaceDE/>
      <w:autoSpaceDN/>
      <w:adjustRightInd/>
      <w:snapToGrid/>
      <w:ind w:firstLine="560"/>
      <w:textAlignment w:val="auto"/>
    </w:pPr>
    <w:rPr>
      <w:rFonts w:ascii="Calibri" w:hAnsi="Calibri" w:cs="宋体" w:eastAsiaTheme="minorEastAsia"/>
      <w:snapToGrid/>
      <w:color w:val="auto"/>
      <w:sz w:val="28"/>
      <w:szCs w:val="20"/>
      <w:lang w:eastAsia="en-US" w:bidi="en-US"/>
    </w:rPr>
  </w:style>
  <w:style w:type="character" w:customStyle="1" w:styleId="72">
    <w:name w:val="纯文本 字符"/>
    <w:basedOn w:val="23"/>
    <w:link w:val="10"/>
    <w:qFormat/>
    <w:uiPriority w:val="0"/>
    <w:rPr>
      <w:rFonts w:ascii="宋体" w:hAnsi="Courier New" w:eastAsia="宋体" w:cs="Times New Roman"/>
      <w:kern w:val="2"/>
      <w:sz w:val="21"/>
    </w:rPr>
  </w:style>
  <w:style w:type="character" w:customStyle="1" w:styleId="73">
    <w:name w:val="列表段落 字符"/>
    <w:link w:val="33"/>
    <w:qFormat/>
    <w:uiPriority w:val="99"/>
    <w:rPr>
      <w:rFonts w:eastAsia="Arial"/>
      <w:snapToGrid w:val="0"/>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7323</Words>
  <Characters>7446</Characters>
  <Lines>106</Lines>
  <Paragraphs>29</Paragraphs>
  <TotalTime>921</TotalTime>
  <ScaleCrop>false</ScaleCrop>
  <LinksUpToDate>false</LinksUpToDate>
  <CharactersWithSpaces>7496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2020-12-03T18:48:00Z</dcterms:created>
  <dc:creator>Lenovo</dc:creator>
  <cp:lastModifiedBy>何宇齐</cp:lastModifiedBy>
  <cp:lastPrinted>2024-12-02T07:55:00Z</cp:lastPrinted>
  <dcterms:modified xsi:type="dcterms:W3CDTF">2024-12-03T03:27:18Z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2022-05-31T08:33:22Z</vt:filetime>
  </property>
  <property fmtid="{D5CDD505-2E9C-101B-9397-08002B2CF9AE}" pid="4" name="KSOProductBuildVer">
    <vt:lpwstr>2052-12.1.0.18912</vt:lpwstr>
  </property>
  <property fmtid="{D5CDD505-2E9C-101B-9397-08002B2CF9AE}" pid="5" name="ICV">
    <vt:lpwstr>473BD9DC31524A2583891AE4B24EFE33</vt:lpwstr>
  </property>
</Properties>
</file>