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numPr>
          <w:ilvl w:val="3"/>
          <w:numId w:val="0"/>
        </w:numPr>
        <w:ind w:left="1260" w:leftChars="0"/>
        <w:rPr>
          <w:rFonts w:hint="eastAsia"/>
          <w:color w:val="auto"/>
          <w:highlight w:val="none"/>
          <w:lang w:val="en-US" w:eastAsia="zh-CN"/>
        </w:rPr>
      </w:pPr>
    </w:p>
    <w:p>
      <w:pPr>
        <w:spacing w:line="560" w:lineRule="exact"/>
        <w:jc w:val="center"/>
        <w:rPr>
          <w:rFonts w:hint="eastAsia" w:ascii="方正小标宋简体" w:hAnsi="方正小标宋简体" w:eastAsia="方正小标宋简体" w:cs="方正小标宋简体"/>
          <w:color w:val="auto"/>
          <w:sz w:val="44"/>
          <w:szCs w:val="44"/>
          <w:highlight w:val="none"/>
          <w:lang w:eastAsia="zh-CN"/>
        </w:rPr>
      </w:pPr>
      <w:r>
        <w:rPr>
          <w:rFonts w:hint="eastAsia" w:ascii="方正小标宋简体" w:hAnsi="方正小标宋简体" w:eastAsia="方正小标宋简体" w:cs="方正小标宋简体"/>
          <w:color w:val="auto"/>
          <w:sz w:val="44"/>
          <w:szCs w:val="44"/>
          <w:highlight w:val="none"/>
        </w:rPr>
        <w:t>项目</w:t>
      </w:r>
      <w:r>
        <w:rPr>
          <w:rFonts w:hint="eastAsia" w:ascii="方正小标宋简体" w:hAnsi="方正小标宋简体" w:eastAsia="方正小标宋简体" w:cs="方正小标宋简体"/>
          <w:color w:val="auto"/>
          <w:sz w:val="44"/>
          <w:szCs w:val="44"/>
          <w:highlight w:val="none"/>
          <w:lang w:eastAsia="zh-CN"/>
        </w:rPr>
        <w:t>投入产出</w:t>
      </w:r>
      <w:r>
        <w:rPr>
          <w:rFonts w:hint="eastAsia" w:ascii="方正小标宋简体" w:hAnsi="方正小标宋简体" w:eastAsia="方正小标宋简体" w:cs="方正小标宋简体"/>
          <w:color w:val="auto"/>
          <w:sz w:val="44"/>
          <w:szCs w:val="44"/>
          <w:highlight w:val="none"/>
        </w:rPr>
        <w:t>监管协议</w:t>
      </w: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highlight w:val="none"/>
        </w:rPr>
      </w:pP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甲方</w:t>
      </w:r>
      <w:r>
        <w:rPr>
          <w:rFonts w:hint="eastAsia" w:ascii="仿宋_GB2312" w:hAnsi="仿宋_GB2312" w:eastAsia="仿宋_GB2312" w:cs="仿宋_GB2312"/>
          <w:color w:val="auto"/>
          <w:sz w:val="32"/>
          <w:highlight w:val="none"/>
          <w:u w:val="single"/>
        </w:rPr>
        <w:t>：</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根据《广州市人民政府办公厅关于印发广州市提高工业用地利用效率实施办法》（穗府办规〔2022〕5 号）、《广州市人民政府办公厅关于加强土地供应及供后监管的实施意见》（穗府办规〔2023〕4号）等规定，为进一步提高工业用地利用质量和效益，促进土地节约集约利用，甲乙双方订立本协议。</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b/>
          <w:bCs/>
          <w:color w:val="auto"/>
          <w:sz w:val="32"/>
          <w:highlight w:val="none"/>
        </w:rPr>
      </w:pPr>
      <w:r>
        <w:rPr>
          <w:rFonts w:hint="eastAsia" w:ascii="仿宋_GB2312" w:hAnsi="仿宋_GB2312" w:eastAsia="仿宋_GB2312" w:cs="仿宋_GB2312"/>
          <w:b/>
          <w:bCs/>
          <w:color w:val="auto"/>
          <w:sz w:val="32"/>
          <w:highlight w:val="none"/>
        </w:rPr>
        <w:t>一、</w:t>
      </w:r>
      <w:r>
        <w:rPr>
          <w:rFonts w:hint="eastAsia" w:ascii="仿宋_GB2312" w:hAnsi="仿宋_GB2312" w:eastAsia="仿宋_GB2312" w:cs="仿宋_GB2312"/>
          <w:b/>
          <w:bCs/>
          <w:color w:val="auto"/>
          <w:sz w:val="32"/>
          <w:highlight w:val="none"/>
          <w:lang w:eastAsia="zh-CN"/>
        </w:rPr>
        <w:t>用地</w:t>
      </w:r>
      <w:r>
        <w:rPr>
          <w:rFonts w:hint="eastAsia" w:ascii="仿宋_GB2312" w:hAnsi="仿宋_GB2312" w:eastAsia="仿宋_GB2312" w:cs="仿宋_GB2312"/>
          <w:b/>
          <w:bCs/>
          <w:color w:val="auto"/>
          <w:sz w:val="32"/>
          <w:highlight w:val="none"/>
        </w:rPr>
        <w:t>基本情况</w:t>
      </w:r>
    </w:p>
    <w:p>
      <w:pPr>
        <w:keepNext w:val="0"/>
        <w:keepLines w:val="0"/>
        <w:pageBreakBefore w:val="0"/>
        <w:widowControl w:val="0"/>
        <w:kinsoku/>
        <w:wordWrap/>
        <w:overflowPunct/>
        <w:topLinePunct w:val="0"/>
        <w:autoSpaceDE/>
        <w:autoSpaceDN/>
        <w:bidi w:val="0"/>
        <w:spacing w:line="560" w:lineRule="exact"/>
        <w:ind w:left="2398" w:leftChars="304" w:hanging="1760" w:hangingChars="550"/>
        <w:textAlignment w:val="auto"/>
        <w:rPr>
          <w:rFonts w:hint="eastAsia" w:ascii="仿宋_GB2312" w:hAnsi="仿宋_GB2312" w:eastAsia="仿宋_GB2312" w:cs="仿宋_GB2312"/>
          <w:color w:val="auto"/>
          <w:sz w:val="32"/>
          <w:highlight w:val="none"/>
          <w:u w:val="single"/>
        </w:rPr>
      </w:pPr>
      <w:r>
        <w:rPr>
          <w:rFonts w:hint="eastAsia" w:ascii="仿宋_GB2312" w:hAnsi="仿宋_GB2312" w:eastAsia="仿宋_GB2312" w:cs="仿宋_GB2312"/>
          <w:color w:val="auto"/>
          <w:sz w:val="32"/>
          <w:highlight w:val="none"/>
        </w:rPr>
        <w:t>宗地编号：</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2024NGY-12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ind w:left="2240" w:hanging="2240" w:hangingChars="700"/>
        <w:textAlignment w:val="auto"/>
        <w:rPr>
          <w:rFonts w:hint="default" w:ascii="仿宋_GB2312" w:hAnsi="仿宋_GB2312" w:eastAsia="仿宋_GB2312" w:cs="仿宋_GB2312"/>
          <w:color w:val="auto"/>
          <w:sz w:val="32"/>
          <w:highlight w:val="none"/>
          <w:u w:val="single"/>
          <w:lang w:val="en-US"/>
        </w:rPr>
      </w:pPr>
      <w:r>
        <w:rPr>
          <w:rFonts w:hint="eastAsia" w:ascii="仿宋_GB2312" w:hAnsi="仿宋_GB2312" w:eastAsia="仿宋_GB2312" w:cs="仿宋_GB2312"/>
          <w:color w:val="auto"/>
          <w:sz w:val="32"/>
          <w:highlight w:val="none"/>
        </w:rPr>
        <w:t xml:space="preserve">    土地位置：</w:t>
      </w:r>
      <w:r>
        <w:rPr>
          <w:rFonts w:hint="eastAsia" w:ascii="仿宋_GB2312" w:hAnsi="仿宋_GB2312" w:eastAsia="仿宋_GB2312" w:cs="仿宋_GB2312"/>
          <w:color w:val="auto"/>
          <w:sz w:val="32"/>
          <w:szCs w:val="24"/>
          <w:highlight w:val="none"/>
          <w:u w:val="single"/>
          <w:lang w:val="en-US" w:eastAsia="zh-CN"/>
        </w:rPr>
        <w:t>南沙枢纽区块大湾区数字经济和生命科学产业园西南侧，四涌西北侧</w:t>
      </w: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highlight w:val="none"/>
          <w:u w:val="single"/>
        </w:rPr>
      </w:pPr>
      <w:r>
        <w:rPr>
          <w:rFonts w:hint="eastAsia" w:ascii="仿宋_GB2312" w:hAnsi="仿宋_GB2312" w:eastAsia="仿宋_GB2312" w:cs="仿宋_GB2312"/>
          <w:color w:val="auto"/>
          <w:sz w:val="32"/>
          <w:highlight w:val="none"/>
        </w:rPr>
        <w:t xml:space="preserve">    土地</w:t>
      </w:r>
      <w:r>
        <w:rPr>
          <w:rFonts w:hint="eastAsia" w:ascii="仿宋_GB2312" w:hAnsi="仿宋_GB2312" w:eastAsia="仿宋_GB2312" w:cs="仿宋_GB2312"/>
          <w:color w:val="auto"/>
          <w:sz w:val="32"/>
          <w:highlight w:val="none"/>
          <w:lang w:val="en-US" w:eastAsia="zh-CN"/>
        </w:rPr>
        <w:t>性质</w:t>
      </w:r>
      <w:r>
        <w:rPr>
          <w:rFonts w:hint="eastAsia" w:ascii="仿宋_GB2312" w:hAnsi="仿宋_GB2312" w:eastAsia="仿宋_GB2312" w:cs="仿宋_GB2312"/>
          <w:color w:val="auto"/>
          <w:sz w:val="32"/>
          <w:highlight w:val="none"/>
        </w:rPr>
        <w:t>：</w:t>
      </w:r>
      <w:r>
        <w:rPr>
          <w:rFonts w:hint="eastAsia" w:ascii="仿宋_GB2312" w:hAnsi="仿宋_GB2312" w:eastAsia="仿宋_GB2312" w:cs="仿宋_GB2312"/>
          <w:color w:val="auto"/>
          <w:sz w:val="32"/>
          <w:highlight w:val="none"/>
          <w:u w:val="single"/>
        </w:rPr>
        <w:t xml:space="preserve">         新兴产业园用地（M9）         </w:t>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_GB2312" w:hAnsi="仿宋_GB2312" w:eastAsia="仿宋_GB2312" w:cs="仿宋_GB2312"/>
          <w:color w:val="auto"/>
          <w:sz w:val="32"/>
          <w:highlight w:val="none"/>
          <w:u w:val="single"/>
        </w:rPr>
      </w:pPr>
      <w:r>
        <w:rPr>
          <w:rFonts w:hint="eastAsia" w:ascii="仿宋_GB2312" w:hAnsi="仿宋_GB2312" w:eastAsia="仿宋_GB2312" w:cs="仿宋_GB2312"/>
          <w:color w:val="auto"/>
          <w:sz w:val="32"/>
          <w:highlight w:val="none"/>
        </w:rPr>
        <w:t>总用地面积（平方米）：</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szCs w:val="24"/>
          <w:highlight w:val="none"/>
          <w:u w:val="single"/>
          <w:lang w:val="en-US" w:eastAsia="zh-CN"/>
        </w:rPr>
        <w:t>18886</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_GB2312" w:hAnsi="仿宋_GB2312" w:eastAsia="仿宋_GB2312" w:cs="仿宋_GB2312"/>
          <w:color w:val="auto"/>
          <w:sz w:val="32"/>
          <w:highlight w:val="none"/>
          <w:u w:val="single"/>
        </w:rPr>
      </w:pPr>
      <w:r>
        <w:rPr>
          <w:rFonts w:hint="eastAsia" w:ascii="仿宋_GB2312" w:hAnsi="仿宋_GB2312" w:eastAsia="仿宋_GB2312" w:cs="仿宋_GB2312"/>
          <w:color w:val="auto"/>
          <w:sz w:val="32"/>
          <w:highlight w:val="none"/>
        </w:rPr>
        <w:t>净用地面积（平方米）：</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18886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_GB2312" w:hAnsi="仿宋_GB2312" w:eastAsia="仿宋_GB2312" w:cs="仿宋_GB2312"/>
          <w:color w:val="auto"/>
          <w:sz w:val="32"/>
          <w:highlight w:val="none"/>
          <w:u w:val="single"/>
        </w:rPr>
      </w:pPr>
      <w:r>
        <w:rPr>
          <w:rFonts w:hint="eastAsia" w:ascii="仿宋_GB2312" w:hAnsi="仿宋_GB2312" w:eastAsia="仿宋_GB2312" w:cs="仿宋_GB2312"/>
          <w:color w:val="auto"/>
          <w:sz w:val="32"/>
          <w:highlight w:val="none"/>
        </w:rPr>
        <w:t>建筑面积（平方米</w:t>
      </w:r>
      <w:r>
        <w:rPr>
          <w:rFonts w:ascii="仿宋_GB2312" w:hAnsi="仿宋_GB2312" w:eastAsia="仿宋_GB2312" w:cs="仿宋_GB2312"/>
          <w:color w:val="auto"/>
          <w:sz w:val="32"/>
          <w:highlight w:val="none"/>
        </w:rPr>
        <w:t>）</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sz w:val="32"/>
          <w:highlight w:val="none"/>
          <w:u w:val="single"/>
        </w:rPr>
        <w:t>≥</w:t>
      </w:r>
      <w:r>
        <w:rPr>
          <w:rFonts w:hint="eastAsia" w:ascii="仿宋_GB2312" w:hAnsi="仿宋_GB2312" w:eastAsia="仿宋_GB2312" w:cs="仿宋_GB2312"/>
          <w:sz w:val="32"/>
          <w:highlight w:val="none"/>
          <w:u w:val="single"/>
          <w:lang w:val="en-US" w:eastAsia="zh-CN"/>
        </w:rPr>
        <w:t>56658</w:t>
      </w:r>
      <w:r>
        <w:rPr>
          <w:rFonts w:hint="eastAsia" w:ascii="仿宋_GB2312" w:hAnsi="仿宋_GB2312" w:eastAsia="仿宋_GB2312" w:cs="仿宋_GB2312"/>
          <w:sz w:val="32"/>
          <w:highlight w:val="none"/>
          <w:u w:val="single"/>
        </w:rPr>
        <w:t>且</w:t>
      </w:r>
      <w:r>
        <w:rPr>
          <w:rFonts w:hint="eastAsia" w:ascii="仿宋_GB2312" w:hAnsi="仿宋_GB2312" w:eastAsia="仿宋_GB2312" w:cs="仿宋_GB2312"/>
          <w:color w:val="auto"/>
          <w:sz w:val="32"/>
          <w:highlight w:val="none"/>
          <w:u w:val="single"/>
        </w:rPr>
        <w:t>≤</w:t>
      </w:r>
      <w:r>
        <w:rPr>
          <w:rFonts w:hint="eastAsia" w:ascii="仿宋_GB2312" w:hAnsi="仿宋_GB2312" w:eastAsia="仿宋_GB2312" w:cs="仿宋_GB2312"/>
          <w:color w:val="auto"/>
          <w:sz w:val="32"/>
          <w:szCs w:val="24"/>
          <w:highlight w:val="none"/>
          <w:u w:val="single"/>
          <w:lang w:val="en-US" w:eastAsia="zh-CN"/>
        </w:rPr>
        <w:t>58546</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_GB2312" w:hAnsi="仿宋_GB2312" w:eastAsia="仿宋_GB2312" w:cs="仿宋_GB2312"/>
          <w:color w:val="auto"/>
          <w:sz w:val="32"/>
          <w:highlight w:val="none"/>
          <w:u w:val="single"/>
          <w:lang w:val="en-US" w:eastAsia="zh-CN"/>
        </w:rPr>
      </w:pPr>
      <w:r>
        <w:rPr>
          <w:rFonts w:hint="eastAsia" w:ascii="仿宋_GB2312" w:hAnsi="仿宋_GB2312" w:eastAsia="仿宋_GB2312" w:cs="仿宋_GB2312"/>
          <w:color w:val="auto"/>
          <w:sz w:val="32"/>
          <w:highlight w:val="none"/>
          <w:u w:val="none"/>
          <w:lang w:val="en-US" w:eastAsia="zh-CN"/>
        </w:rPr>
        <w:t>容积率：</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sz w:val="32"/>
          <w:highlight w:val="none"/>
          <w:u w:val="single"/>
        </w:rPr>
        <w:t>≥</w:t>
      </w:r>
      <w:r>
        <w:rPr>
          <w:rFonts w:hint="eastAsia" w:ascii="仿宋_GB2312" w:hAnsi="仿宋_GB2312" w:eastAsia="仿宋_GB2312" w:cs="仿宋_GB2312"/>
          <w:sz w:val="32"/>
          <w:highlight w:val="none"/>
          <w:u w:val="single"/>
          <w:lang w:val="en-US" w:eastAsia="zh-CN"/>
        </w:rPr>
        <w:t>3.0</w:t>
      </w:r>
      <w:r>
        <w:rPr>
          <w:rFonts w:hint="eastAsia" w:ascii="仿宋_GB2312" w:hAnsi="仿宋_GB2312" w:eastAsia="仿宋_GB2312" w:cs="仿宋_GB2312"/>
          <w:sz w:val="32"/>
          <w:highlight w:val="none"/>
          <w:u w:val="single"/>
        </w:rPr>
        <w:t>且</w:t>
      </w:r>
      <w:r>
        <w:rPr>
          <w:rFonts w:hint="eastAsia" w:ascii="仿宋_GB2312" w:hAnsi="仿宋_GB2312" w:eastAsia="仿宋_GB2312" w:cs="仿宋_GB2312"/>
          <w:color w:val="auto"/>
          <w:sz w:val="32"/>
          <w:highlight w:val="none"/>
          <w:u w:val="single"/>
        </w:rPr>
        <w:t>≤</w:t>
      </w:r>
      <w:r>
        <w:rPr>
          <w:rFonts w:hint="eastAsia" w:ascii="仿宋_GB2312" w:hAnsi="仿宋_GB2312" w:eastAsia="仿宋_GB2312" w:cs="仿宋_GB2312"/>
          <w:color w:val="auto"/>
          <w:sz w:val="32"/>
          <w:szCs w:val="24"/>
          <w:highlight w:val="none"/>
          <w:u w:val="single"/>
          <w:lang w:val="en-US" w:eastAsia="zh-CN"/>
        </w:rPr>
        <w:t>3.1</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bookmarkStart w:id="0" w:name="_GoBack"/>
      <w:bookmarkEnd w:id="0"/>
    </w:p>
    <w:p>
      <w:pPr>
        <w:keepNext w:val="0"/>
        <w:keepLines w:val="0"/>
        <w:pageBreakBefore w:val="0"/>
        <w:widowControl w:val="0"/>
        <w:kinsoku/>
        <w:wordWrap/>
        <w:overflowPunct/>
        <w:topLinePunct w:val="0"/>
        <w:autoSpaceDE/>
        <w:autoSpaceDN/>
        <w:bidi w:val="0"/>
        <w:spacing w:line="560" w:lineRule="exact"/>
        <w:ind w:left="2720" w:hanging="2720" w:hangingChars="850"/>
        <w:textAlignment w:val="auto"/>
        <w:rPr>
          <w:rFonts w:hint="eastAsia" w:ascii="仿宋_GB2312" w:hAnsi="仿宋_GB2312" w:eastAsia="仿宋_GB2312" w:cs="仿宋_GB2312"/>
          <w:color w:val="auto"/>
          <w:sz w:val="32"/>
          <w:highlight w:val="none"/>
          <w:u w:val="single"/>
          <w:lang w:val="en-US" w:eastAsia="zh-CN"/>
        </w:rPr>
      </w:pPr>
      <w:r>
        <w:rPr>
          <w:rFonts w:hint="eastAsia" w:ascii="仿宋_GB2312" w:hAnsi="仿宋_GB2312" w:eastAsia="仿宋_GB2312" w:cs="仿宋_GB2312"/>
          <w:color w:val="auto"/>
          <w:sz w:val="32"/>
          <w:highlight w:val="none"/>
        </w:rPr>
        <w:t xml:space="preserve">    准入产业类型</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color w:val="auto"/>
          <w:sz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供地方式：</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公开出让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供地时间：以土地出让合同为准</w:t>
      </w:r>
    </w:p>
    <w:p>
      <w:pPr>
        <w:pStyle w:val="8"/>
        <w:spacing w:line="560" w:lineRule="exact"/>
        <w:ind w:left="0" w:leftChars="0" w:firstLine="640" w:firstLineChars="200"/>
        <w:outlineLvl w:val="9"/>
        <w:rPr>
          <w:rFonts w:hint="eastAsia" w:ascii="仿宋_GB2312" w:hAnsi="仿宋_GB2312" w:eastAsia="仿宋_GB2312" w:cs="仿宋_GB2312"/>
          <w:color w:val="auto"/>
          <w:sz w:val="32"/>
          <w:highlight w:val="none"/>
          <w:u w:val="single"/>
          <w:lang w:val="en-US" w:eastAsia="zh-CN"/>
        </w:rPr>
      </w:pPr>
      <w:r>
        <w:rPr>
          <w:rFonts w:hint="eastAsia" w:ascii="仿宋_GB2312" w:hAnsi="仿宋_GB2312" w:eastAsia="仿宋_GB2312" w:cs="仿宋_GB2312"/>
          <w:color w:val="auto"/>
          <w:sz w:val="32"/>
          <w:highlight w:val="none"/>
          <w:lang w:val="en-US" w:eastAsia="zh-CN"/>
        </w:rPr>
        <w:t>供地年限：</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40年</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p>
    <w:p>
      <w:pPr>
        <w:pStyle w:val="8"/>
        <w:spacing w:line="560" w:lineRule="exact"/>
        <w:ind w:left="0" w:leftChars="0" w:firstLine="640" w:firstLineChars="200"/>
        <w:outlineLvl w:val="9"/>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本条所述用地基本情况，以乙方与</w:t>
      </w:r>
      <w:r>
        <w:rPr>
          <w:rFonts w:hint="eastAsia" w:ascii="仿宋_GB2312" w:hAnsi="仿宋_GB2312" w:eastAsia="仿宋_GB2312" w:cs="仿宋_GB2312"/>
          <w:color w:val="auto"/>
          <w:sz w:val="32"/>
          <w:highlight w:val="none"/>
          <w:lang w:eastAsia="zh-CN"/>
        </w:rPr>
        <w:t>规划和自然资源行政主管部门（土地出让方）</w:t>
      </w:r>
      <w:r>
        <w:rPr>
          <w:rFonts w:hint="eastAsia" w:ascii="仿宋_GB2312" w:hAnsi="仿宋_GB2312" w:eastAsia="仿宋_GB2312" w:cs="仿宋_GB2312"/>
          <w:color w:val="auto"/>
          <w:sz w:val="32"/>
          <w:highlight w:val="none"/>
        </w:rPr>
        <w:t>签订的《国有建设用地使用权出让合同》为准。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_GB2312" w:eastAsia="仿宋_GB2312"/>
          <w:b/>
          <w:color w:val="auto"/>
          <w:sz w:val="32"/>
          <w:szCs w:val="32"/>
          <w:highlight w:val="none"/>
          <w:lang w:eastAsia="zh-CN"/>
        </w:rPr>
      </w:pPr>
      <w:r>
        <w:rPr>
          <w:rFonts w:hint="eastAsia" w:ascii="仿宋_GB2312" w:eastAsia="仿宋_GB2312"/>
          <w:b/>
          <w:color w:val="auto"/>
          <w:sz w:val="32"/>
          <w:szCs w:val="32"/>
          <w:highlight w:val="none"/>
          <w:lang w:eastAsia="zh-CN"/>
        </w:rPr>
        <w:t>二、用地对应投资</w:t>
      </w:r>
      <w:r>
        <w:rPr>
          <w:rFonts w:hint="eastAsia" w:ascii="仿宋_GB2312" w:eastAsia="仿宋_GB2312"/>
          <w:b/>
          <w:color w:val="auto"/>
          <w:sz w:val="32"/>
          <w:szCs w:val="32"/>
          <w:highlight w:val="none"/>
        </w:rPr>
        <w:t>项目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项目名称：</w:t>
      </w:r>
      <w:r>
        <w:rPr>
          <w:rFonts w:hint="eastAsia" w:ascii="仿宋_GB2312" w:eastAsia="仿宋_GB2312"/>
          <w:color w:val="auto"/>
          <w:sz w:val="32"/>
          <w:szCs w:val="32"/>
          <w:highlight w:val="none"/>
          <w:u w:val="single"/>
          <w:lang w:val="en-US" w:eastAsia="zh-CN"/>
        </w:rPr>
        <w:t xml:space="preserve">      </w:t>
      </w:r>
      <w:r>
        <w:rPr>
          <w:rFonts w:hint="eastAsia" w:ascii="仿宋_GB2312" w:eastAsia="仿宋_GB2312"/>
          <w:color w:val="auto"/>
          <w:sz w:val="32"/>
          <w:szCs w:val="32"/>
          <w:highlight w:val="none"/>
        </w:rPr>
        <w:t>项目（以下简称“本项目”）</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项目主要内容：</w:t>
      </w:r>
      <w:r>
        <w:rPr>
          <w:rFonts w:hint="eastAsia" w:ascii="仿宋_GB2312" w:eastAsia="仿宋_GB2312"/>
          <w:b w:val="0"/>
          <w:bCs/>
          <w:color w:val="auto"/>
          <w:sz w:val="32"/>
          <w:szCs w:val="32"/>
          <w:highlight w:val="none"/>
          <w:u w:val="single"/>
          <w:lang w:val="en-US" w:eastAsia="zh-CN"/>
        </w:rPr>
        <w:t xml:space="preserve">               </w:t>
      </w:r>
      <w:r>
        <w:rPr>
          <w:rFonts w:hint="eastAsia" w:ascii="仿宋_GB2312" w:eastAsia="仿宋_GB2312"/>
          <w:color w:val="auto"/>
          <w:sz w:val="32"/>
          <w:szCs w:val="32"/>
          <w:highlight w:val="none"/>
        </w:rPr>
        <w:t>等</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投资规模：</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总投资</w:t>
      </w:r>
      <w:r>
        <w:rPr>
          <w:rFonts w:hint="eastAsia" w:ascii="仿宋_GB2312" w:eastAsia="仿宋_GB2312"/>
          <w:color w:val="auto"/>
          <w:sz w:val="32"/>
          <w:szCs w:val="32"/>
          <w:highlight w:val="none"/>
          <w:lang w:eastAsia="zh-CN"/>
        </w:rPr>
        <w:t>额不低于</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 xml:space="preserve">2.85 </w:t>
      </w:r>
      <w:r>
        <w:rPr>
          <w:rFonts w:hint="eastAsia" w:ascii="仿宋_GB2312" w:eastAsia="仿宋_GB2312"/>
          <w:color w:val="auto"/>
          <w:sz w:val="32"/>
          <w:szCs w:val="32"/>
          <w:highlight w:val="none"/>
        </w:rPr>
        <w:t>亿元（人民币，</w:t>
      </w:r>
      <w:r>
        <w:rPr>
          <w:rFonts w:ascii="仿宋_GB2312" w:eastAsia="仿宋_GB2312"/>
          <w:color w:val="auto"/>
          <w:sz w:val="32"/>
          <w:szCs w:val="32"/>
          <w:highlight w:val="none"/>
        </w:rPr>
        <w:t>下同</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，固定资产投资</w:t>
      </w:r>
      <w:r>
        <w:rPr>
          <w:rFonts w:hint="eastAsia" w:ascii="仿宋_GB2312" w:eastAsia="仿宋_GB2312"/>
          <w:color w:val="auto"/>
          <w:sz w:val="32"/>
          <w:szCs w:val="32"/>
          <w:highlight w:val="none"/>
          <w:lang w:val="en-US" w:eastAsia="zh-CN"/>
        </w:rPr>
        <w:t>总额</w:t>
      </w:r>
      <w:r>
        <w:rPr>
          <w:rFonts w:hint="eastAsia" w:ascii="仿宋_GB2312" w:eastAsia="仿宋_GB2312"/>
          <w:color w:val="auto"/>
          <w:sz w:val="32"/>
          <w:szCs w:val="32"/>
          <w:highlight w:val="none"/>
          <w:lang w:eastAsia="zh-CN"/>
        </w:rPr>
        <w:t>不低于</w:t>
      </w:r>
      <w:r>
        <w:rPr>
          <w:rFonts w:hint="eastAsia" w:ascii="仿宋_GB2312" w:eastAsia="仿宋_GB2312"/>
          <w:color w:val="auto"/>
          <w:sz w:val="32"/>
          <w:szCs w:val="32"/>
          <w:highlight w:val="none"/>
          <w:u w:val="single"/>
          <w:lang w:val="en-US" w:eastAsia="zh-CN"/>
        </w:rPr>
        <w:t xml:space="preserve"> 2 </w:t>
      </w:r>
      <w:r>
        <w:rPr>
          <w:rFonts w:hint="eastAsia" w:ascii="仿宋_GB2312" w:eastAsia="仿宋_GB2312"/>
          <w:color w:val="auto"/>
          <w:sz w:val="32"/>
          <w:szCs w:val="32"/>
          <w:highlight w:val="none"/>
          <w:lang w:eastAsia="zh-CN"/>
        </w:rPr>
        <w:t>亿元（</w:t>
      </w:r>
      <w:r>
        <w:rPr>
          <w:rFonts w:hint="eastAsia" w:ascii="仿宋_GB2312" w:eastAsia="仿宋_GB2312"/>
          <w:color w:val="auto"/>
          <w:sz w:val="32"/>
          <w:szCs w:val="32"/>
          <w:highlight w:val="none"/>
          <w:lang w:val="en-US" w:eastAsia="zh-CN"/>
        </w:rPr>
        <w:t>含入园企业</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预计</w:t>
      </w:r>
      <w:r>
        <w:rPr>
          <w:rFonts w:hint="eastAsia" w:ascii="仿宋_GB2312" w:eastAsia="仿宋_GB2312"/>
          <w:color w:val="auto"/>
          <w:sz w:val="32"/>
          <w:szCs w:val="32"/>
          <w:highlight w:val="none"/>
          <w:lang w:val="en-US" w:eastAsia="zh-CN"/>
        </w:rPr>
        <w:t>达产</w:t>
      </w:r>
      <w:r>
        <w:rPr>
          <w:rFonts w:hint="eastAsia" w:ascii="仿宋_GB2312" w:eastAsia="仿宋_GB2312"/>
          <w:color w:val="auto"/>
          <w:sz w:val="32"/>
          <w:szCs w:val="32"/>
          <w:highlight w:val="none"/>
          <w:lang w:eastAsia="zh-CN"/>
        </w:rPr>
        <w:t>年</w:t>
      </w:r>
      <w:r>
        <w:rPr>
          <w:rFonts w:hint="eastAsia" w:ascii="仿宋_GB2312" w:eastAsia="仿宋_GB2312"/>
          <w:color w:val="auto"/>
          <w:sz w:val="32"/>
          <w:szCs w:val="32"/>
          <w:highlight w:val="none"/>
        </w:rPr>
        <w:t>产值：</w:t>
      </w:r>
      <w:r>
        <w:rPr>
          <w:rFonts w:hint="eastAsia" w:ascii="仿宋_GB2312" w:eastAsia="仿宋_GB2312"/>
          <w:color w:val="auto"/>
          <w:sz w:val="32"/>
          <w:szCs w:val="32"/>
          <w:highlight w:val="none"/>
          <w:lang w:eastAsia="zh-CN"/>
        </w:rPr>
        <w:t>不低于</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 xml:space="preserve">13.5 </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rPr>
        <w:t>亿元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含入园企业</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预计</w:t>
      </w:r>
      <w:r>
        <w:rPr>
          <w:rFonts w:hint="eastAsia" w:ascii="仿宋_GB2312" w:eastAsia="仿宋_GB2312"/>
          <w:color w:val="auto"/>
          <w:sz w:val="32"/>
          <w:szCs w:val="32"/>
          <w:highlight w:val="none"/>
          <w:lang w:val="en-US" w:eastAsia="zh-CN"/>
        </w:rPr>
        <w:t>达产</w:t>
      </w:r>
      <w:r>
        <w:rPr>
          <w:rFonts w:hint="eastAsia" w:ascii="仿宋_GB2312" w:eastAsia="仿宋_GB2312"/>
          <w:color w:val="auto"/>
          <w:sz w:val="32"/>
          <w:szCs w:val="32"/>
          <w:highlight w:val="none"/>
          <w:lang w:eastAsia="zh-CN"/>
        </w:rPr>
        <w:t>年</w:t>
      </w:r>
      <w:r>
        <w:rPr>
          <w:rFonts w:hint="eastAsia" w:ascii="仿宋_GB2312" w:hAnsi="仿宋_GB2312" w:eastAsia="仿宋_GB2312" w:cs="仿宋_GB2312"/>
          <w:b w:val="0"/>
          <w:bCs w:val="0"/>
          <w:color w:val="auto"/>
          <w:kern w:val="44"/>
          <w:sz w:val="32"/>
          <w:szCs w:val="32"/>
          <w:highlight w:val="none"/>
          <w:lang w:eastAsia="zh-CN"/>
        </w:rPr>
        <w:t>税收</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不低于</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 xml:space="preserve"> 1500</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含入园企业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right="0" w:rightChars="0" w:firstLine="643" w:firstLineChars="200"/>
        <w:textAlignment w:val="auto"/>
        <w:rPr>
          <w:rFonts w:ascii="仿宋_GB2312" w:eastAsia="仿宋_GB2312"/>
          <w:b/>
          <w:bCs/>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、乙方承诺：</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rPr>
          <w:rFonts w:hint="eastAsia"/>
          <w:color w:val="auto"/>
          <w:highlight w:val="none"/>
        </w:rPr>
      </w:pPr>
      <w:r>
        <w:rPr>
          <w:rFonts w:hint="eastAsia" w:ascii="仿宋_GB2312" w:eastAsia="仿宋_GB2312"/>
          <w:color w:val="auto"/>
          <w:sz w:val="32"/>
          <w:szCs w:val="32"/>
          <w:highlight w:val="none"/>
        </w:rPr>
        <w:t>（一）</w:t>
      </w:r>
      <w:r>
        <w:rPr>
          <w:rFonts w:hint="eastAsia" w:ascii="仿宋_GB2312" w:eastAsia="仿宋_GB2312"/>
          <w:color w:val="auto"/>
          <w:sz w:val="32"/>
          <w:szCs w:val="32"/>
          <w:highlight w:val="none"/>
          <w:lang w:val="en-US" w:eastAsia="zh-CN"/>
        </w:rPr>
        <w:t>乙方负责本项目的建设、运营和管理，在土地出让年限内，乙方承诺在南沙区范围内从事经营活动，在南沙区依法依规缴纳相关税费，并在南沙区开立基本存款账户。</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（二）乙方</w:t>
      </w:r>
      <w:r>
        <w:rPr>
          <w:rFonts w:hint="eastAsia" w:ascii="仿宋_GB2312" w:hAnsi="仿宋_GB2312" w:eastAsia="仿宋_GB2312" w:cs="仿宋_GB2312"/>
          <w:bCs/>
          <w:color w:val="auto"/>
          <w:sz w:val="32"/>
          <w:szCs w:val="32"/>
          <w:highlight w:val="none"/>
        </w:rPr>
        <w:t>按照本协议第</w:t>
      </w:r>
      <w:r>
        <w:rPr>
          <w:rFonts w:hint="eastAsia" w:ascii="仿宋_GB2312" w:hAnsi="仿宋_GB2312" w:eastAsia="仿宋_GB2312" w:cs="仿宋_GB2312"/>
          <w:bCs/>
          <w:color w:val="auto"/>
          <w:sz w:val="32"/>
          <w:szCs w:val="32"/>
          <w:highlight w:val="none"/>
          <w:lang w:val="en-US" w:eastAsia="zh-CN"/>
        </w:rPr>
        <w:t>二</w:t>
      </w:r>
      <w:r>
        <w:rPr>
          <w:rFonts w:hint="eastAsia" w:ascii="仿宋_GB2312" w:hAnsi="仿宋_GB2312" w:eastAsia="仿宋_GB2312" w:cs="仿宋_GB2312"/>
          <w:bCs/>
          <w:color w:val="auto"/>
          <w:sz w:val="32"/>
          <w:szCs w:val="32"/>
          <w:highlight w:val="none"/>
        </w:rPr>
        <w:t>条</w:t>
      </w:r>
      <w:r>
        <w:rPr>
          <w:rFonts w:hint="eastAsia" w:ascii="仿宋_GB2312" w:hAnsi="仿宋_GB2312" w:eastAsia="仿宋_GB2312" w:cs="仿宋_GB2312"/>
          <w:bCs/>
          <w:color w:val="auto"/>
          <w:sz w:val="32"/>
          <w:szCs w:val="32"/>
          <w:highlight w:val="none"/>
          <w:lang w:eastAsia="zh-CN"/>
        </w:rPr>
        <w:t>“用地对应投资项目”、第三条（</w:t>
      </w:r>
      <w:r>
        <w:rPr>
          <w:rFonts w:hint="eastAsia" w:ascii="仿宋_GB2312" w:hAnsi="仿宋_GB2312" w:eastAsia="仿宋_GB2312" w:cs="仿宋_GB2312"/>
          <w:bCs/>
          <w:color w:val="auto"/>
          <w:sz w:val="32"/>
          <w:szCs w:val="32"/>
          <w:highlight w:val="none"/>
          <w:lang w:val="en-US" w:eastAsia="zh-CN"/>
        </w:rPr>
        <w:t>三</w:t>
      </w:r>
      <w:r>
        <w:rPr>
          <w:rFonts w:hint="eastAsia" w:ascii="仿宋_GB2312" w:hAnsi="仿宋_GB2312" w:eastAsia="仿宋_GB2312" w:cs="仿宋_GB2312"/>
          <w:bCs/>
          <w:color w:val="auto"/>
          <w:sz w:val="32"/>
          <w:szCs w:val="32"/>
          <w:highlight w:val="none"/>
          <w:lang w:eastAsia="zh-CN"/>
        </w:rPr>
        <w:t>）“</w:t>
      </w:r>
      <w:r>
        <w:rPr>
          <w:rFonts w:hint="eastAsia" w:ascii="仿宋_GB2312" w:eastAsia="仿宋_GB2312"/>
          <w:color w:val="auto"/>
          <w:sz w:val="32"/>
          <w:szCs w:val="32"/>
          <w:highlight w:val="none"/>
        </w:rPr>
        <w:t>建设时序</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，在南沙区投资、建设、经营本项目，并确保本项目符合环保、安全生产等各方面法律、法规、规章、行政规范性文件、政策和有关约定要求</w:t>
      </w:r>
      <w:r>
        <w:rPr>
          <w:rFonts w:hint="eastAsia" w:ascii="仿宋_GB2312" w:hAnsi="仿宋_GB2312" w:eastAsia="仿宋_GB2312" w:cs="仿宋_GB2312"/>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rPr>
          <w:rFonts w:hint="eastAsia" w:ascii="仿宋_GB2312" w:eastAsia="仿宋_GB2312"/>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（三）</w:t>
      </w:r>
      <w:r>
        <w:rPr>
          <w:rFonts w:hint="eastAsia" w:ascii="仿宋_GB2312" w:eastAsia="仿宋_GB2312"/>
          <w:color w:val="auto"/>
          <w:sz w:val="32"/>
          <w:szCs w:val="32"/>
          <w:highlight w:val="none"/>
        </w:rPr>
        <w:t>乙方应立即办理项目施工相关手续</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并</w:t>
      </w:r>
      <w:r>
        <w:rPr>
          <w:rFonts w:hint="eastAsia" w:ascii="仿宋_GB2312" w:eastAsia="仿宋_GB2312"/>
          <w:color w:val="auto"/>
          <w:sz w:val="32"/>
          <w:szCs w:val="32"/>
          <w:highlight w:val="none"/>
        </w:rPr>
        <w:t>按以下建设时序开发，达到</w:t>
      </w:r>
      <w:r>
        <w:rPr>
          <w:rFonts w:hint="eastAsia" w:ascii="仿宋_GB2312" w:eastAsia="仿宋_GB2312"/>
          <w:color w:val="auto"/>
          <w:sz w:val="32"/>
          <w:szCs w:val="32"/>
          <w:highlight w:val="none"/>
          <w:lang w:eastAsia="zh-CN"/>
        </w:rPr>
        <w:t>南沙</w:t>
      </w:r>
      <w:r>
        <w:rPr>
          <w:rFonts w:hint="eastAsia" w:ascii="仿宋_GB2312" w:eastAsia="仿宋_GB2312"/>
          <w:color w:val="auto"/>
          <w:sz w:val="32"/>
          <w:szCs w:val="32"/>
          <w:highlight w:val="none"/>
        </w:rPr>
        <w:t>产业规划和建设要求：</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1.自</w:t>
      </w:r>
      <w:r>
        <w:rPr>
          <w:rFonts w:hint="eastAsia" w:ascii="仿宋_GB2312" w:hAnsi="仿宋_GB2312" w:eastAsia="仿宋_GB2312" w:cs="仿宋_GB2312"/>
          <w:b w:val="0"/>
          <w:bCs w:val="0"/>
          <w:color w:val="auto"/>
          <w:sz w:val="32"/>
          <w:szCs w:val="32"/>
          <w:highlight w:val="none"/>
          <w:lang w:val="en-US" w:eastAsia="zh-CN"/>
        </w:rPr>
        <w:t>签署《土地移交确认书》</w:t>
      </w:r>
      <w:r>
        <w:rPr>
          <w:rFonts w:hint="eastAsia" w:ascii="仿宋_GB2312" w:hAnsi="仿宋_GB2312" w:eastAsia="仿宋_GB2312" w:cs="仿宋_GB2312"/>
          <w:bCs/>
          <w:color w:val="auto"/>
          <w:sz w:val="32"/>
          <w:szCs w:val="32"/>
          <w:highlight w:val="none"/>
        </w:rPr>
        <w:t>起</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u w:val="single"/>
          <w:lang w:val="en-US" w:eastAsia="zh-CN"/>
        </w:rPr>
        <w:t>6</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rPr>
        <w:t>个月内开工建设；</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rPr>
        <w:t>.开工之日起</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u w:val="single"/>
          <w:lang w:val="en-US" w:eastAsia="zh-CN"/>
        </w:rPr>
        <w:t xml:space="preserve"> 36</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rPr>
        <w:t>个月内</w:t>
      </w:r>
      <w:r>
        <w:rPr>
          <w:rFonts w:hint="eastAsia" w:ascii="仿宋_GB2312" w:hAnsi="仿宋_GB2312" w:eastAsia="仿宋_GB2312" w:cs="仿宋_GB2312"/>
          <w:b w:val="0"/>
          <w:color w:val="auto"/>
          <w:sz w:val="32"/>
          <w:szCs w:val="32"/>
          <w:highlight w:val="none"/>
          <w:lang w:val="en-US" w:eastAsia="zh-CN"/>
        </w:rPr>
        <w:t>项目</w:t>
      </w:r>
      <w:r>
        <w:rPr>
          <w:rFonts w:hint="eastAsia" w:ascii="仿宋_GB2312" w:hAnsi="仿宋_GB2312" w:eastAsia="仿宋_GB2312" w:cs="仿宋_GB2312"/>
          <w:b w:val="0"/>
          <w:color w:val="auto"/>
          <w:sz w:val="32"/>
          <w:szCs w:val="32"/>
          <w:highlight w:val="none"/>
        </w:rPr>
        <w:t>建成并投产</w:t>
      </w:r>
      <w:r>
        <w:rPr>
          <w:rFonts w:hint="eastAsia" w:ascii="仿宋_GB2312" w:hAnsi="仿宋_GB2312" w:eastAsia="仿宋_GB2312" w:cs="仿宋_GB2312"/>
          <w:bCs/>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480" w:firstLineChars="150"/>
        <w:textAlignment w:val="auto"/>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bCs/>
          <w:color w:val="auto"/>
          <w:sz w:val="32"/>
          <w:szCs w:val="32"/>
          <w:highlight w:val="none"/>
          <w:lang w:val="en-US" w:eastAsia="zh-CN"/>
        </w:rPr>
        <w:t>四</w:t>
      </w: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bCs/>
          <w:color w:val="auto"/>
          <w:sz w:val="32"/>
          <w:szCs w:val="32"/>
          <w:highlight w:val="none"/>
          <w:lang w:val="en-US" w:eastAsia="zh-CN"/>
        </w:rPr>
        <w:t>甲方对乙方的监管经济数据：</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rPr>
          <w:rFonts w:hint="eastAsia" w:ascii="仿宋_GB2312" w:hAnsi="仿宋_GB2312" w:eastAsia="仿宋_GB2312" w:cs="仿宋_GB2312"/>
          <w:bCs/>
          <w:color w:val="auto"/>
          <w:sz w:val="32"/>
          <w:szCs w:val="32"/>
          <w:highlight w:val="none"/>
          <w:lang w:eastAsia="zh-CN"/>
        </w:rPr>
      </w:pPr>
      <w:r>
        <w:rPr>
          <w:rFonts w:hint="eastAsia" w:ascii="仿宋_GB2312" w:hAnsi="仿宋_GB2312" w:eastAsia="仿宋_GB2312" w:cs="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lang w:eastAsia="zh-CN"/>
        </w:rPr>
        <w:t>乙方在</w:t>
      </w:r>
      <w:r>
        <w:rPr>
          <w:rFonts w:hint="eastAsia" w:ascii="仿宋_GB2312" w:hAnsi="仿宋_GB2312" w:eastAsia="仿宋_GB2312" w:cs="仿宋_GB2312"/>
          <w:bCs/>
          <w:color w:val="auto"/>
          <w:sz w:val="32"/>
          <w:szCs w:val="32"/>
          <w:highlight w:val="none"/>
        </w:rPr>
        <w:t>本项目</w:t>
      </w:r>
      <w:r>
        <w:rPr>
          <w:rFonts w:hint="eastAsia" w:ascii="仿宋_GB2312" w:hAnsi="仿宋_GB2312" w:eastAsia="仿宋_GB2312" w:cs="仿宋_GB2312"/>
          <w:bCs/>
          <w:color w:val="auto"/>
          <w:sz w:val="32"/>
          <w:szCs w:val="32"/>
          <w:highlight w:val="none"/>
          <w:lang w:val="en-US" w:eastAsia="zh-CN"/>
        </w:rPr>
        <w:t>达产后</w:t>
      </w:r>
      <w:r>
        <w:rPr>
          <w:rFonts w:hint="eastAsia" w:ascii="仿宋_GB2312" w:hAnsi="仿宋_GB2312" w:eastAsia="仿宋_GB2312" w:cs="仿宋_GB2312"/>
          <w:bCs/>
          <w:color w:val="auto"/>
          <w:sz w:val="32"/>
          <w:szCs w:val="32"/>
          <w:highlight w:val="none"/>
        </w:rPr>
        <w:t>的投资强度不低于</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u w:val="single"/>
          <w:lang w:val="en-US" w:eastAsia="zh-CN"/>
        </w:rPr>
        <w:t>10500</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rPr>
        <w:t>元/</w:t>
      </w:r>
      <w:r>
        <w:rPr>
          <w:rFonts w:hint="eastAsia" w:ascii="仿宋_GB2312" w:hAnsi="仿宋_GB2312" w:eastAsia="仿宋_GB2312" w:cs="仿宋_GB2312"/>
          <w:bCs/>
          <w:color w:val="auto"/>
          <w:sz w:val="32"/>
          <w:szCs w:val="32"/>
          <w:highlight w:val="none"/>
          <w:lang w:val="en-US" w:eastAsia="zh-CN"/>
        </w:rPr>
        <w:t>平方米</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含入园企业</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outlineLvl w:val="9"/>
        <w:rPr>
          <w:rFonts w:hint="default" w:ascii="仿宋_GB2312" w:hAnsi="仿宋_GB2312" w:eastAsia="仿宋_GB2312" w:cs="仿宋_GB2312"/>
          <w:bCs/>
          <w:color w:val="FF0000"/>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2.202</w:t>
      </w:r>
      <w:r>
        <w:rPr>
          <w:rFonts w:hint="eastAsia" w:ascii="仿宋_GB2312" w:hAnsi="仿宋_GB2312" w:eastAsia="仿宋_GB2312" w:cs="仿宋_GB2312"/>
          <w:bCs/>
          <w:color w:val="auto"/>
          <w:sz w:val="32"/>
          <w:szCs w:val="32"/>
          <w:highlight w:val="none"/>
          <w:u w:val="single"/>
          <w:lang w:val="en-US" w:eastAsia="zh-CN"/>
        </w:rPr>
        <w:t xml:space="preserve"> 5 </w:t>
      </w:r>
      <w:r>
        <w:rPr>
          <w:rFonts w:hint="eastAsia" w:ascii="仿宋_GB2312" w:hAnsi="仿宋_GB2312" w:eastAsia="仿宋_GB2312" w:cs="仿宋_GB2312"/>
          <w:bCs/>
          <w:color w:val="auto"/>
          <w:sz w:val="32"/>
          <w:szCs w:val="32"/>
          <w:highlight w:val="none"/>
          <w:lang w:val="en-US" w:eastAsia="zh-CN"/>
        </w:rPr>
        <w:t>年开工建设，项目开工建设之日起</w:t>
      </w:r>
      <w:r>
        <w:rPr>
          <w:rFonts w:hint="eastAsia" w:ascii="仿宋_GB2312" w:hAnsi="仿宋_GB2312" w:eastAsia="仿宋_GB2312" w:cs="仿宋_GB2312"/>
          <w:bCs/>
          <w:color w:val="auto"/>
          <w:sz w:val="32"/>
          <w:szCs w:val="32"/>
          <w:highlight w:val="none"/>
          <w:u w:val="single"/>
          <w:lang w:val="en-US" w:eastAsia="zh-CN"/>
        </w:rPr>
        <w:t xml:space="preserve"> 60 </w:t>
      </w:r>
      <w:r>
        <w:rPr>
          <w:rFonts w:hint="eastAsia" w:ascii="仿宋_GB2312" w:hAnsi="仿宋_GB2312" w:eastAsia="仿宋_GB2312" w:cs="仿宋_GB2312"/>
          <w:bCs/>
          <w:color w:val="auto"/>
          <w:sz w:val="32"/>
          <w:szCs w:val="32"/>
          <w:highlight w:val="none"/>
          <w:lang w:val="en-US" w:eastAsia="zh-CN"/>
        </w:rPr>
        <w:t>个工作日内在南沙区入统固定资产投资，2030年12月前累计入统南沙区固定资产投资不低于</w:t>
      </w:r>
      <w:r>
        <w:rPr>
          <w:rFonts w:hint="eastAsia" w:ascii="仿宋_GB2312" w:hAnsi="仿宋_GB2312" w:eastAsia="仿宋_GB2312" w:cs="仿宋_GB2312"/>
          <w:bCs/>
          <w:color w:val="auto"/>
          <w:sz w:val="32"/>
          <w:szCs w:val="32"/>
          <w:highlight w:val="none"/>
          <w:u w:val="single"/>
          <w:lang w:val="en-US" w:eastAsia="zh-CN"/>
        </w:rPr>
        <w:t>2</w:t>
      </w:r>
      <w:r>
        <w:rPr>
          <w:rFonts w:hint="eastAsia" w:ascii="仿宋_GB2312" w:hAnsi="仿宋_GB2312" w:eastAsia="仿宋_GB2312" w:cs="仿宋_GB2312"/>
          <w:bCs/>
          <w:color w:val="auto"/>
          <w:sz w:val="32"/>
          <w:szCs w:val="32"/>
          <w:highlight w:val="none"/>
          <w:lang w:val="en-US" w:eastAsia="zh-CN"/>
        </w:rPr>
        <w:t>亿元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含入园企业</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w:t>
      </w:r>
    </w:p>
    <w:p>
      <w:pPr>
        <w:adjustRightInd w:val="0"/>
        <w:snapToGrid w:val="0"/>
        <w:spacing w:beforeLines="0" w:afterLines="0" w:line="560" w:lineRule="exact"/>
        <w:ind w:left="0" w:leftChars="0" w:right="0" w:rightChars="0" w:firstLine="640" w:firstLineChars="200"/>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3.预计投产后（2028年）项目首个完整会计年度入统南沙区产值不低于</w:t>
      </w:r>
      <w:r>
        <w:rPr>
          <w:rFonts w:hint="eastAsia" w:ascii="仿宋_GB2312" w:hAnsi="仿宋_GB2312" w:eastAsia="仿宋_GB2312" w:cs="仿宋_GB2312"/>
          <w:bCs/>
          <w:color w:val="auto"/>
          <w:sz w:val="32"/>
          <w:szCs w:val="32"/>
          <w:highlight w:val="none"/>
          <w:u w:val="single"/>
          <w:lang w:val="en-US" w:eastAsia="zh-CN"/>
        </w:rPr>
        <w:t>11.7</w:t>
      </w:r>
      <w:r>
        <w:rPr>
          <w:rFonts w:hint="eastAsia" w:ascii="仿宋_GB2312" w:hAnsi="仿宋_GB2312" w:eastAsia="仿宋_GB2312" w:cs="仿宋_GB2312"/>
          <w:bCs/>
          <w:color w:val="auto"/>
          <w:sz w:val="32"/>
          <w:szCs w:val="32"/>
          <w:highlight w:val="none"/>
          <w:lang w:val="en-US" w:eastAsia="zh-CN"/>
        </w:rPr>
        <w:t>亿元，在南沙区缴纳税收不低于</w:t>
      </w:r>
      <w:r>
        <w:rPr>
          <w:rFonts w:hint="eastAsia" w:ascii="仿宋_GB2312" w:hAnsi="仿宋_GB2312" w:eastAsia="仿宋_GB2312" w:cs="仿宋_GB2312"/>
          <w:bCs/>
          <w:color w:val="auto"/>
          <w:sz w:val="32"/>
          <w:szCs w:val="32"/>
          <w:highlight w:val="none"/>
          <w:u w:val="single"/>
          <w:lang w:val="en-US" w:eastAsia="zh-CN"/>
        </w:rPr>
        <w:t>1150</w:t>
      </w:r>
      <w:r>
        <w:rPr>
          <w:rFonts w:hint="eastAsia" w:ascii="仿宋_GB2312" w:hAnsi="仿宋_GB2312" w:eastAsia="仿宋_GB2312" w:cs="仿宋_GB2312"/>
          <w:bCs/>
          <w:color w:val="auto"/>
          <w:sz w:val="32"/>
          <w:szCs w:val="32"/>
          <w:highlight w:val="none"/>
          <w:lang w:val="en-US" w:eastAsia="zh-CN"/>
        </w:rPr>
        <w:t>万元</w:t>
      </w:r>
      <w:r>
        <w:rPr>
          <w:rFonts w:hint="eastAsia" w:ascii="仿宋_GB2312" w:hAnsi="仿宋_GB2312" w:eastAsia="仿宋_GB2312" w:cs="仿宋_GB2312"/>
          <w:sz w:val="32"/>
          <w:szCs w:val="32"/>
        </w:rPr>
        <w:t>（含入园企业）</w:t>
      </w:r>
      <w:r>
        <w:rPr>
          <w:rFonts w:hint="eastAsia" w:ascii="仿宋_GB2312" w:hAnsi="仿宋_GB2312" w:eastAsia="仿宋_GB2312" w:cs="仿宋_GB2312"/>
          <w:bCs/>
          <w:color w:val="auto"/>
          <w:sz w:val="32"/>
          <w:szCs w:val="32"/>
          <w:highlight w:val="none"/>
          <w:lang w:val="en-US" w:eastAsia="zh-CN"/>
        </w:rPr>
        <w:t>；</w:t>
      </w:r>
    </w:p>
    <w:p>
      <w:pPr>
        <w:adjustRightInd w:val="0"/>
        <w:snapToGrid w:val="0"/>
        <w:spacing w:beforeLines="0" w:afterLines="0" w:line="560" w:lineRule="exact"/>
        <w:ind w:left="0" w:leftChars="0" w:right="0" w:rightChars="0" w:firstLine="640" w:firstLineChars="200"/>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4.预计达产后（2031年）项目任一完整会计年度入统南沙区年工业产值不低于</w:t>
      </w:r>
      <w:r>
        <w:rPr>
          <w:rFonts w:hint="eastAsia" w:ascii="仿宋_GB2312" w:hAnsi="仿宋_GB2312" w:eastAsia="仿宋_GB2312" w:cs="仿宋_GB2312"/>
          <w:bCs/>
          <w:color w:val="auto"/>
          <w:sz w:val="32"/>
          <w:szCs w:val="32"/>
          <w:highlight w:val="none"/>
          <w:u w:val="single"/>
          <w:lang w:val="en-US" w:eastAsia="zh-CN"/>
        </w:rPr>
        <w:t>13.5</w:t>
      </w:r>
      <w:r>
        <w:rPr>
          <w:rFonts w:hint="eastAsia" w:ascii="仿宋_GB2312" w:hAnsi="仿宋_GB2312" w:eastAsia="仿宋_GB2312" w:cs="仿宋_GB2312"/>
          <w:bCs/>
          <w:color w:val="auto"/>
          <w:sz w:val="32"/>
          <w:szCs w:val="32"/>
          <w:highlight w:val="none"/>
          <w:lang w:val="en-US" w:eastAsia="zh-CN"/>
        </w:rPr>
        <w:t>亿元，在南沙区缴纳缴纳税收不低于</w:t>
      </w:r>
      <w:r>
        <w:rPr>
          <w:rFonts w:hint="eastAsia" w:ascii="仿宋_GB2312" w:hAnsi="仿宋_GB2312" w:eastAsia="仿宋_GB2312" w:cs="仿宋_GB2312"/>
          <w:bCs/>
          <w:color w:val="auto"/>
          <w:sz w:val="32"/>
          <w:szCs w:val="32"/>
          <w:highlight w:val="none"/>
          <w:u w:val="single"/>
          <w:lang w:val="en-US" w:eastAsia="zh-CN"/>
        </w:rPr>
        <w:t>1500</w:t>
      </w:r>
      <w:r>
        <w:rPr>
          <w:rFonts w:hint="eastAsia" w:ascii="仿宋_GB2312" w:hAnsi="仿宋_GB2312" w:eastAsia="仿宋_GB2312" w:cs="仿宋_GB2312"/>
          <w:bCs/>
          <w:color w:val="auto"/>
          <w:sz w:val="32"/>
          <w:szCs w:val="32"/>
          <w:highlight w:val="none"/>
          <w:lang w:val="en-US" w:eastAsia="zh-CN"/>
        </w:rPr>
        <w:t>万元</w:t>
      </w:r>
      <w:r>
        <w:rPr>
          <w:rFonts w:hint="eastAsia" w:ascii="仿宋_GB2312" w:hAnsi="仿宋_GB2312" w:eastAsia="仿宋_GB2312" w:cs="仿宋_GB2312"/>
          <w:sz w:val="32"/>
          <w:szCs w:val="32"/>
        </w:rPr>
        <w:t>（含入园企业）</w:t>
      </w:r>
      <w:r>
        <w:rPr>
          <w:rFonts w:hint="eastAsia" w:ascii="仿宋_GB2312" w:hAnsi="仿宋_GB2312" w:eastAsia="仿宋_GB2312" w:cs="仿宋_GB2312"/>
          <w:bCs/>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598" w:firstLineChars="187"/>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五</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乙方须在每年</w:t>
      </w:r>
      <w:r>
        <w:rPr>
          <w:rFonts w:hint="eastAsia" w:ascii="仿宋_GB2312" w:hAnsi="仿宋_GB2312" w:eastAsia="仿宋_GB2312" w:cs="仿宋_GB2312"/>
          <w:bCs/>
          <w:color w:val="auto"/>
          <w:sz w:val="32"/>
          <w:szCs w:val="32"/>
          <w:highlight w:val="none"/>
          <w:lang w:val="en-US" w:eastAsia="zh-CN"/>
        </w:rPr>
        <w:t>7月底前</w:t>
      </w:r>
      <w:r>
        <w:rPr>
          <w:rFonts w:hint="eastAsia" w:ascii="仿宋_GB2312" w:hAnsi="仿宋_GB2312" w:eastAsia="仿宋_GB2312" w:cs="仿宋_GB2312"/>
          <w:bCs/>
          <w:color w:val="auto"/>
          <w:sz w:val="32"/>
          <w:szCs w:val="32"/>
          <w:highlight w:val="none"/>
        </w:rPr>
        <w:t>，向甲方提交上一年度项目财务报表、审计报告等经营数据相关佐证材料，</w:t>
      </w:r>
      <w:r>
        <w:rPr>
          <w:rFonts w:hint="eastAsia" w:ascii="仿宋_GB2312" w:hAnsi="仿宋_GB2312" w:eastAsia="仿宋_GB2312" w:cs="仿宋_GB2312"/>
          <w:bCs/>
          <w:color w:val="auto"/>
          <w:sz w:val="32"/>
          <w:szCs w:val="32"/>
          <w:highlight w:val="none"/>
          <w:lang w:val="en-US" w:eastAsia="zh-CN"/>
        </w:rPr>
        <w:t>汇总后报送甲方，作为甲方监管查验的佐证材料，</w:t>
      </w:r>
      <w:r>
        <w:rPr>
          <w:rFonts w:hint="eastAsia" w:ascii="仿宋_GB2312" w:hAnsi="仿宋_GB2312" w:eastAsia="仿宋_GB2312" w:cs="仿宋_GB2312"/>
          <w:bCs/>
          <w:color w:val="auto"/>
          <w:sz w:val="32"/>
          <w:szCs w:val="32"/>
          <w:highlight w:val="none"/>
        </w:rPr>
        <w:t>并确保所提供的材料真实、准确、完整。甲方会同相关部门在相关考核期对乙方承诺的相应年固定资产投资、工业产值/营业收入、</w:t>
      </w:r>
      <w:r>
        <w:rPr>
          <w:rFonts w:hint="eastAsia" w:ascii="仿宋_GB2312" w:hAnsi="仿宋_GB2312" w:eastAsia="仿宋_GB2312" w:cs="仿宋_GB2312"/>
          <w:bCs/>
          <w:color w:val="auto"/>
          <w:sz w:val="32"/>
          <w:szCs w:val="32"/>
          <w:highlight w:val="none"/>
          <w:lang w:eastAsia="zh-CN"/>
        </w:rPr>
        <w:t>税收</w:t>
      </w:r>
      <w:r>
        <w:rPr>
          <w:rFonts w:hint="eastAsia" w:ascii="仿宋_GB2312" w:hAnsi="仿宋_GB2312" w:eastAsia="仿宋_GB2312" w:cs="仿宋_GB2312"/>
          <w:bCs/>
          <w:color w:val="auto"/>
          <w:sz w:val="32"/>
          <w:szCs w:val="32"/>
          <w:highlight w:val="none"/>
        </w:rPr>
        <w:t>、项目建设情况等方面进行监管评估。</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01" w:firstLineChars="187"/>
        <w:textAlignment w:val="auto"/>
        <w:outlineLvl w:val="9"/>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四、违约责任</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01" w:firstLineChars="187"/>
        <w:textAlignment w:val="auto"/>
        <w:outlineLvl w:val="9"/>
        <w:rPr>
          <w:rFonts w:hint="eastAsia" w:ascii="仿宋_GB2312" w:hAnsi="仿宋_GB2312" w:eastAsia="仿宋_GB2312" w:cs="仿宋_GB2312"/>
          <w:bCs/>
          <w:color w:val="auto"/>
          <w:kern w:val="2"/>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一、</w:t>
      </w:r>
      <w:r>
        <w:rPr>
          <w:rFonts w:hint="eastAsia" w:ascii="仿宋_GB2312" w:hAnsi="仿宋_GB2312" w:eastAsia="仿宋_GB2312" w:cs="仿宋_GB2312"/>
          <w:bCs/>
          <w:color w:val="auto"/>
          <w:kern w:val="2"/>
          <w:sz w:val="32"/>
          <w:szCs w:val="32"/>
          <w:highlight w:val="none"/>
        </w:rPr>
        <w:t>以下任一情形下，</w:t>
      </w:r>
      <w:r>
        <w:rPr>
          <w:rFonts w:hint="eastAsia" w:ascii="仿宋_GB2312" w:hAnsi="仿宋_GB2312" w:eastAsia="仿宋_GB2312" w:cs="仿宋_GB2312"/>
          <w:bCs/>
          <w:color w:val="auto"/>
          <w:kern w:val="2"/>
          <w:sz w:val="32"/>
          <w:szCs w:val="32"/>
          <w:highlight w:val="none"/>
          <w:lang w:val="en-US" w:eastAsia="zh-CN"/>
        </w:rPr>
        <w:t>乙方</w:t>
      </w:r>
      <w:r>
        <w:rPr>
          <w:rFonts w:hint="eastAsia" w:ascii="仿宋_GB2312" w:hAnsi="仿宋_GB2312" w:eastAsia="仿宋_GB2312" w:cs="仿宋_GB2312"/>
          <w:bCs/>
          <w:color w:val="auto"/>
          <w:kern w:val="2"/>
          <w:sz w:val="32"/>
          <w:szCs w:val="32"/>
          <w:highlight w:val="none"/>
        </w:rPr>
        <w:t>未能按照本合同约定日期实现相应</w:t>
      </w:r>
      <w:r>
        <w:rPr>
          <w:rFonts w:hint="eastAsia" w:ascii="仿宋_GB2312" w:hAnsi="仿宋_GB2312" w:eastAsia="仿宋_GB2312" w:cs="仿宋_GB2312"/>
          <w:bCs/>
          <w:color w:val="auto"/>
          <w:kern w:val="2"/>
          <w:sz w:val="32"/>
          <w:szCs w:val="32"/>
          <w:highlight w:val="none"/>
          <w:lang w:val="en-US" w:eastAsia="zh-CN"/>
        </w:rPr>
        <w:t>建设</w:t>
      </w:r>
      <w:r>
        <w:rPr>
          <w:rFonts w:hint="eastAsia" w:ascii="仿宋_GB2312" w:hAnsi="仿宋_GB2312" w:eastAsia="仿宋_GB2312" w:cs="仿宋_GB2312"/>
          <w:bCs/>
          <w:color w:val="auto"/>
          <w:kern w:val="2"/>
          <w:sz w:val="32"/>
          <w:szCs w:val="32"/>
          <w:highlight w:val="none"/>
        </w:rPr>
        <w:t>承诺</w:t>
      </w:r>
      <w:r>
        <w:rPr>
          <w:rFonts w:hint="eastAsia" w:ascii="仿宋_GB2312" w:hAnsi="仿宋_GB2312" w:eastAsia="仿宋_GB2312" w:cs="仿宋_GB2312"/>
          <w:bCs/>
          <w:color w:val="auto"/>
          <w:kern w:val="2"/>
          <w:sz w:val="32"/>
          <w:szCs w:val="32"/>
          <w:highlight w:val="none"/>
          <w:lang w:val="en-US" w:eastAsia="zh-CN"/>
        </w:rPr>
        <w:t>并未获得</w:t>
      </w:r>
      <w:r>
        <w:rPr>
          <w:rFonts w:hint="eastAsia" w:ascii="仿宋_GB2312" w:hAnsi="仿宋_GB2312" w:eastAsia="仿宋_GB2312" w:cs="仿宋_GB2312"/>
          <w:bCs/>
          <w:color w:val="auto"/>
          <w:sz w:val="32"/>
          <w:szCs w:val="32"/>
          <w:highlight w:val="none"/>
          <w:lang w:eastAsia="zh-CN"/>
        </w:rPr>
        <w:t>规划和自然资源行政主管部门（土地出让方）</w:t>
      </w:r>
      <w:r>
        <w:rPr>
          <w:rFonts w:hint="eastAsia" w:ascii="仿宋_GB2312" w:hAnsi="仿宋_GB2312" w:eastAsia="仿宋_GB2312" w:cs="仿宋_GB2312"/>
          <w:bCs/>
          <w:color w:val="auto"/>
          <w:sz w:val="32"/>
          <w:szCs w:val="32"/>
          <w:highlight w:val="none"/>
          <w:lang w:val="en-US" w:eastAsia="zh-CN"/>
        </w:rPr>
        <w:t>书面同意</w:t>
      </w:r>
      <w:r>
        <w:rPr>
          <w:rFonts w:hint="eastAsia" w:ascii="仿宋_GB2312" w:hAnsi="仿宋_GB2312" w:eastAsia="仿宋_GB2312" w:cs="仿宋_GB2312"/>
          <w:bCs/>
          <w:color w:val="auto"/>
          <w:kern w:val="2"/>
          <w:sz w:val="32"/>
          <w:szCs w:val="32"/>
          <w:highlight w:val="none"/>
        </w:rPr>
        <w:t>而需要延期的，每延期一日，</w:t>
      </w:r>
      <w:r>
        <w:rPr>
          <w:rFonts w:hint="eastAsia" w:ascii="仿宋_GB2312" w:hAnsi="仿宋_GB2312" w:eastAsia="仿宋_GB2312" w:cs="仿宋_GB2312"/>
          <w:bCs/>
          <w:color w:val="auto"/>
          <w:kern w:val="2"/>
          <w:sz w:val="32"/>
          <w:szCs w:val="32"/>
          <w:highlight w:val="none"/>
          <w:lang w:val="en-US" w:eastAsia="zh-CN"/>
        </w:rPr>
        <w:t>乙方</w:t>
      </w:r>
      <w:r>
        <w:rPr>
          <w:rFonts w:hint="eastAsia" w:ascii="仿宋_GB2312" w:hAnsi="仿宋_GB2312" w:eastAsia="仿宋_GB2312" w:cs="仿宋_GB2312"/>
          <w:bCs/>
          <w:color w:val="auto"/>
          <w:kern w:val="2"/>
          <w:sz w:val="32"/>
          <w:szCs w:val="32"/>
          <w:highlight w:val="none"/>
        </w:rPr>
        <w:t>应向甲方支付</w:t>
      </w:r>
      <w:r>
        <w:rPr>
          <w:rFonts w:hint="eastAsia" w:ascii="仿宋_GB2312" w:hAnsi="仿宋_GB2312" w:eastAsia="仿宋_GB2312" w:cs="仿宋_GB2312"/>
          <w:bCs/>
          <w:color w:val="auto"/>
          <w:sz w:val="32"/>
          <w:szCs w:val="32"/>
          <w:highlight w:val="none"/>
        </w:rPr>
        <w:t>国有建设用地使用权出让价款总额的</w:t>
      </w:r>
      <w:r>
        <w:rPr>
          <w:rFonts w:hint="eastAsia" w:ascii="仿宋_GB2312" w:hAnsi="仿宋_GB2312" w:eastAsia="仿宋_GB2312" w:cs="仿宋_GB2312"/>
          <w:bCs/>
          <w:color w:val="auto"/>
          <w:sz w:val="32"/>
          <w:szCs w:val="32"/>
          <w:highlight w:val="none"/>
          <w:lang w:val="en-US" w:eastAsia="zh-CN"/>
        </w:rPr>
        <w:t>0.5</w:t>
      </w:r>
      <w:r>
        <w:rPr>
          <w:rFonts w:hint="eastAsia" w:ascii="仿宋_GB2312" w:hAnsi="仿宋_GB2312" w:eastAsia="仿宋_GB2312" w:cs="仿宋_GB2312"/>
          <w:bCs/>
          <w:color w:val="auto"/>
          <w:sz w:val="32"/>
          <w:szCs w:val="32"/>
          <w:highlight w:val="none"/>
        </w:rPr>
        <w:t>‰作为违约金。如</w:t>
      </w:r>
      <w:r>
        <w:rPr>
          <w:rFonts w:hint="eastAsia" w:ascii="仿宋_GB2312" w:hAnsi="仿宋_GB2312" w:eastAsia="仿宋_GB2312" w:cs="仿宋_GB2312"/>
          <w:bCs/>
          <w:color w:val="auto"/>
          <w:sz w:val="32"/>
          <w:szCs w:val="32"/>
          <w:highlight w:val="none"/>
          <w:lang w:val="en-US" w:eastAsia="zh-CN"/>
        </w:rPr>
        <w:t>乙方</w:t>
      </w:r>
      <w:r>
        <w:rPr>
          <w:rFonts w:hint="eastAsia" w:ascii="仿宋_GB2312" w:hAnsi="仿宋_GB2312" w:eastAsia="仿宋_GB2312" w:cs="仿宋_GB2312"/>
          <w:bCs/>
          <w:color w:val="auto"/>
          <w:sz w:val="32"/>
          <w:szCs w:val="32"/>
          <w:highlight w:val="none"/>
        </w:rPr>
        <w:t>已因延期开工或竣工被《国有建设用地使用权出让合同》的出让人收缴相关违约金，则甲方不重复</w:t>
      </w:r>
      <w:r>
        <w:rPr>
          <w:rFonts w:hint="eastAsia" w:ascii="仿宋_GB2312" w:hAnsi="仿宋_GB2312" w:eastAsia="仿宋_GB2312" w:cs="仿宋_GB2312"/>
          <w:bCs/>
          <w:color w:val="auto"/>
          <w:sz w:val="32"/>
          <w:szCs w:val="32"/>
          <w:highlight w:val="none"/>
          <w:lang w:val="en-US" w:eastAsia="zh-CN"/>
        </w:rPr>
        <w:t>惩罚</w:t>
      </w: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bCs/>
          <w:color w:val="auto"/>
          <w:kern w:val="2"/>
          <w:sz w:val="32"/>
          <w:szCs w:val="32"/>
          <w:highlight w:val="none"/>
        </w:rPr>
        <w:t xml:space="preserve"> </w:t>
      </w:r>
      <w:r>
        <w:rPr>
          <w:rFonts w:hint="eastAsia" w:ascii="仿宋_GB2312" w:hAnsi="仿宋_GB2312" w:eastAsia="仿宋_GB2312" w:cs="仿宋_GB2312"/>
          <w:bCs/>
          <w:color w:val="auto"/>
          <w:kern w:val="2"/>
          <w:sz w:val="32"/>
          <w:szCs w:val="32"/>
          <w:highlight w:val="none"/>
          <w:lang w:val="en-US" w:eastAsia="zh-CN"/>
        </w:rPr>
        <w:t xml:space="preserve">       </w:t>
      </w:r>
    </w:p>
    <w:p>
      <w:pPr>
        <w:widowControl w:val="0"/>
        <w:wordWrap/>
        <w:overflowPunct/>
        <w:autoSpaceDE/>
        <w:autoSpaceDN/>
        <w:adjustRightInd w:val="0"/>
        <w:snapToGrid w:val="0"/>
        <w:spacing w:beforeLines="0" w:afterLines="0" w:line="560" w:lineRule="exact"/>
        <w:ind w:left="0" w:leftChars="0" w:right="0" w:rightChars="0" w:firstLine="598" w:firstLineChars="187"/>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乙方</w:t>
      </w:r>
      <w:r>
        <w:rPr>
          <w:rFonts w:hint="eastAsia" w:ascii="仿宋_GB2312" w:hAnsi="仿宋_GB2312" w:eastAsia="仿宋_GB2312" w:cs="仿宋_GB2312"/>
          <w:bCs/>
          <w:color w:val="auto"/>
          <w:sz w:val="32"/>
          <w:szCs w:val="32"/>
          <w:highlight w:val="none"/>
        </w:rPr>
        <w:t>自收到南沙区政府相关职能部门出具《土地移交确认书》，并在双方签章之日起</w:t>
      </w:r>
      <w:r>
        <w:rPr>
          <w:rFonts w:hint="eastAsia" w:ascii="仿宋_GB2312" w:hAnsi="仿宋_GB2312" w:eastAsia="仿宋_GB2312" w:cs="仿宋_GB2312"/>
          <w:bCs/>
          <w:color w:val="auto"/>
          <w:sz w:val="32"/>
          <w:szCs w:val="32"/>
          <w:highlight w:val="none"/>
          <w:lang w:val="en-US" w:eastAsia="zh-CN"/>
        </w:rPr>
        <w:t>6</w:t>
      </w:r>
      <w:r>
        <w:rPr>
          <w:rFonts w:hint="eastAsia" w:ascii="仿宋_GB2312" w:hAnsi="仿宋_GB2312" w:eastAsia="仿宋_GB2312" w:cs="仿宋_GB2312"/>
          <w:bCs/>
          <w:color w:val="auto"/>
          <w:sz w:val="32"/>
          <w:szCs w:val="32"/>
          <w:highlight w:val="none"/>
        </w:rPr>
        <w:t>个月内未启动项目开发建设</w:t>
      </w:r>
      <w:r>
        <w:rPr>
          <w:rFonts w:hint="eastAsia" w:ascii="仿宋_GB2312" w:hAnsi="仿宋_GB2312" w:eastAsia="仿宋_GB2312" w:cs="仿宋_GB2312"/>
          <w:bCs/>
          <w:color w:val="auto"/>
          <w:sz w:val="32"/>
          <w:szCs w:val="32"/>
          <w:highlight w:val="none"/>
          <w:lang w:val="en-US" w:eastAsia="zh-CN"/>
        </w:rPr>
        <w:t>的，甲方从约定项目开发建设启动时限届满次日起计收违约金</w:t>
      </w:r>
      <w:r>
        <w:rPr>
          <w:rFonts w:hint="eastAsia" w:ascii="仿宋_GB2312" w:hAnsi="仿宋_GB2312" w:eastAsia="仿宋_GB2312" w:cs="仿宋_GB2312"/>
          <w:bCs/>
          <w:color w:val="auto"/>
          <w:sz w:val="32"/>
          <w:szCs w:val="32"/>
          <w:highlight w:val="none"/>
        </w:rPr>
        <w:t>。</w:t>
      </w:r>
    </w:p>
    <w:p>
      <w:pPr>
        <w:widowControl w:val="0"/>
        <w:wordWrap/>
        <w:overflowPunct/>
        <w:autoSpaceDE/>
        <w:autoSpaceDN/>
        <w:adjustRightInd w:val="0"/>
        <w:snapToGrid w:val="0"/>
        <w:spacing w:beforeLines="0" w:afterLines="0" w:line="560" w:lineRule="exact"/>
        <w:ind w:left="0" w:leftChars="0" w:right="0" w:rightChars="0" w:firstLine="598" w:firstLineChars="187"/>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乙方自</w:t>
      </w:r>
      <w:r>
        <w:rPr>
          <w:rFonts w:hint="eastAsia" w:ascii="仿宋_GB2312" w:hAnsi="仿宋_GB2312" w:eastAsia="仿宋_GB2312" w:cs="仿宋_GB2312"/>
          <w:bCs/>
          <w:color w:val="auto"/>
          <w:sz w:val="32"/>
          <w:szCs w:val="32"/>
          <w:highlight w:val="none"/>
        </w:rPr>
        <w:t>开工之日起</w:t>
      </w:r>
      <w:r>
        <w:rPr>
          <w:rFonts w:hint="eastAsia" w:ascii="仿宋_GB2312" w:hAnsi="仿宋_GB2312" w:eastAsia="仿宋_GB2312" w:cs="仿宋_GB2312"/>
          <w:bCs/>
          <w:color w:val="auto"/>
          <w:sz w:val="32"/>
          <w:szCs w:val="32"/>
          <w:highlight w:val="none"/>
          <w:lang w:val="en-US" w:eastAsia="zh-CN"/>
        </w:rPr>
        <w:t>36</w:t>
      </w:r>
      <w:r>
        <w:rPr>
          <w:rFonts w:hint="eastAsia" w:ascii="仿宋_GB2312" w:hAnsi="仿宋_GB2312" w:eastAsia="仿宋_GB2312" w:cs="仿宋_GB2312"/>
          <w:bCs/>
          <w:color w:val="auto"/>
          <w:sz w:val="32"/>
          <w:szCs w:val="32"/>
          <w:highlight w:val="none"/>
        </w:rPr>
        <w:t>个月内</w:t>
      </w:r>
      <w:r>
        <w:rPr>
          <w:rFonts w:hint="eastAsia" w:ascii="仿宋_GB2312" w:hAnsi="仿宋_GB2312" w:eastAsia="仿宋_GB2312" w:cs="仿宋_GB2312"/>
          <w:bCs/>
          <w:color w:val="auto"/>
          <w:sz w:val="32"/>
          <w:szCs w:val="32"/>
          <w:highlight w:val="none"/>
          <w:lang w:val="en-US" w:eastAsia="zh-CN"/>
        </w:rPr>
        <w:t>项目未建成并投产的，甲方从约定项目竣</w:t>
      </w:r>
      <w:r>
        <w:rPr>
          <w:rFonts w:hint="eastAsia" w:ascii="仿宋_GB2312" w:hAnsi="仿宋_GB2312" w:eastAsia="仿宋_GB2312" w:cs="仿宋_GB2312"/>
          <w:color w:val="auto"/>
          <w:sz w:val="32"/>
          <w:szCs w:val="32"/>
          <w:highlight w:val="none"/>
          <w:lang w:val="en-US" w:eastAsia="zh-CN"/>
        </w:rPr>
        <w:t>工验收并投产时限届满次日起计收违约金</w:t>
      </w:r>
      <w:r>
        <w:rPr>
          <w:rFonts w:hint="eastAsia" w:ascii="仿宋_GB2312" w:hAnsi="仿宋_GB2312" w:eastAsia="仿宋_GB2312" w:cs="仿宋_GB2312"/>
          <w:color w:val="auto"/>
          <w:sz w:val="32"/>
          <w:szCs w:val="32"/>
          <w:highlight w:val="none"/>
        </w:rPr>
        <w:t>。</w:t>
      </w:r>
      <w:r>
        <w:rPr>
          <w:rFonts w:hint="default" w:ascii="仿宋_GB2312" w:hAnsi="仿宋_GB2312" w:eastAsia="仿宋_GB2312" w:cs="仿宋_GB2312"/>
          <w:color w:val="auto"/>
          <w:sz w:val="32"/>
          <w:szCs w:val="32"/>
          <w:highlight w:val="none"/>
        </w:rPr>
        <w:t xml:space="preserve">  </w:t>
      </w:r>
    </w:p>
    <w:p>
      <w:pPr>
        <w:spacing w:beforeLines="0" w:afterLines="0" w:line="560" w:lineRule="exact"/>
        <w:ind w:firstLine="640" w:firstLineChars="200"/>
        <w:rPr>
          <w:rFonts w:hint="eastAsia"/>
          <w:color w:val="auto"/>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color w:val="auto"/>
          <w:sz w:val="32"/>
          <w:szCs w:val="32"/>
          <w:highlight w:val="none"/>
          <w:u w:val="none"/>
          <w:lang w:val="en-US" w:eastAsia="zh-CN"/>
        </w:rPr>
        <w:t>未按照土地出让合同约定的土地用途、容积率利用土地，擅自改变土地管理及规划等部门设定的土地开发指标开发项目土地，</w:t>
      </w:r>
      <w:r>
        <w:rPr>
          <w:rFonts w:hint="eastAsia" w:ascii="仿宋_GB2312" w:hAnsi="仿宋_GB2312" w:eastAsia="仿宋_GB2312" w:cs="仿宋_GB2312"/>
          <w:color w:val="auto"/>
          <w:kern w:val="21"/>
          <w:sz w:val="32"/>
          <w:szCs w:val="32"/>
          <w:highlight w:val="none"/>
          <w:u w:val="none"/>
          <w:lang w:val="en-US" w:eastAsia="zh-CN"/>
        </w:rPr>
        <w:t>整改期限为6个月</w:t>
      </w:r>
      <w:r>
        <w:rPr>
          <w:rFonts w:hint="eastAsia" w:ascii="仿宋_GB2312" w:hAnsi="仿宋_GB2312" w:eastAsia="仿宋_GB2312" w:cs="仿宋_GB2312"/>
          <w:b w:val="0"/>
          <w:color w:val="auto"/>
          <w:sz w:val="32"/>
          <w:szCs w:val="32"/>
          <w:highlight w:val="none"/>
          <w:u w:val="none"/>
          <w:lang w:val="en-US" w:eastAsia="zh-CN"/>
        </w:rPr>
        <w:t>且在整改期内未完成整改的，甲方从整改期限届满次日起计收违约金。</w:t>
      </w:r>
    </w:p>
    <w:p>
      <w:pPr>
        <w:pStyle w:val="16"/>
        <w:keepNext w:val="0"/>
        <w:keepLines w:val="0"/>
        <w:pageBreakBefore w:val="0"/>
        <w:numPr>
          <w:ilvl w:val="3"/>
          <w:numId w:val="0"/>
        </w:numPr>
        <w:kinsoku/>
        <w:topLinePunct w:val="0"/>
        <w:autoSpaceDE/>
        <w:autoSpaceDN/>
        <w:bidi w:val="0"/>
        <w:adjustRightInd/>
        <w:snapToGrid/>
        <w:spacing w:line="56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sz w:val="32"/>
          <w:szCs w:val="32"/>
          <w:highlight w:val="none"/>
        </w:rPr>
        <w:t>自项目动工建设后当年起至第6个会计年度内，并约定在第3年一季度、第5年一季度、第7年一季度考核。任一考核中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在南沙入统年度固定资产投资累计低于承诺值的</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0%的，甲方有权要求乙方进行整改，整改期限为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个月；如乙方整改期满仍未达标的，乙方应自甲方出具整改不合格通知书之日起</w:t>
      </w:r>
      <w:r>
        <w:rPr>
          <w:rFonts w:hint="eastAsia" w:ascii="仿宋_GB2312" w:hAnsi="仿宋_GB2312" w:eastAsia="仿宋_GB2312" w:cs="仿宋_GB2312"/>
          <w:sz w:val="32"/>
          <w:szCs w:val="32"/>
          <w:lang w:val="en-US" w:eastAsia="zh-CN"/>
        </w:rPr>
        <w:t>3个月</w:t>
      </w:r>
      <w:r>
        <w:rPr>
          <w:rFonts w:hint="eastAsia" w:ascii="仿宋_GB2312" w:hAnsi="仿宋_GB2312" w:eastAsia="仿宋_GB2312" w:cs="仿宋_GB2312"/>
          <w:sz w:val="32"/>
          <w:szCs w:val="32"/>
        </w:rPr>
        <w:t>内缴纳违约金，违约金的计算方式为项目固定资产投资承诺值与在南沙区入统固定投资实际值的差额。如</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rPr>
        <w:t>提前完成项目固定资产投资承诺总值的，后续年份不再进行此项指标考核。</w:t>
      </w:r>
    </w:p>
    <w:p>
      <w:pPr>
        <w:pStyle w:val="16"/>
        <w:keepNext w:val="0"/>
        <w:keepLines w:val="0"/>
        <w:pageBreakBefore w:val="0"/>
        <w:numPr>
          <w:ilvl w:val="3"/>
          <w:numId w:val="0"/>
        </w:numPr>
        <w:kinsoku/>
        <w:topLinePunct w:val="0"/>
        <w:autoSpaceDE/>
        <w:autoSpaceDN/>
        <w:bidi w:val="0"/>
        <w:adjustRightInd/>
        <w:snapToGrid/>
        <w:spacing w:line="560" w:lineRule="exact"/>
        <w:ind w:firstLine="640"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Cs/>
          <w:sz w:val="32"/>
          <w:szCs w:val="32"/>
          <w:lang w:val="en-US" w:eastAsia="zh-CN"/>
        </w:rPr>
        <w:t>三、</w:t>
      </w:r>
      <w:r>
        <w:rPr>
          <w:rFonts w:hint="eastAsia" w:ascii="仿宋_GB2312" w:hAnsi="仿宋_GB2312" w:eastAsia="仿宋_GB2312" w:cs="仿宋_GB2312"/>
          <w:bCs/>
          <w:sz w:val="32"/>
          <w:szCs w:val="32"/>
        </w:rPr>
        <w:t>自投产后</w:t>
      </w:r>
      <w:r>
        <w:rPr>
          <w:rFonts w:hint="eastAsia" w:ascii="仿宋_GB2312" w:hAnsi="仿宋_GB2312" w:eastAsia="仿宋_GB2312" w:cs="仿宋_GB2312"/>
          <w:sz w:val="32"/>
          <w:szCs w:val="32"/>
        </w:rPr>
        <w:t>第1个完整会计年度</w:t>
      </w:r>
      <w:r>
        <w:rPr>
          <w:rFonts w:hint="eastAsia" w:ascii="仿宋_GB2312" w:hAnsi="仿宋_GB2312" w:eastAsia="仿宋_GB2312" w:cs="仿宋_GB2312"/>
          <w:bCs/>
          <w:sz w:val="32"/>
          <w:szCs w:val="32"/>
        </w:rPr>
        <w:t>起至投产后</w:t>
      </w:r>
      <w:r>
        <w:rPr>
          <w:rFonts w:hint="eastAsia" w:ascii="仿宋_GB2312" w:hAnsi="仿宋_GB2312" w:eastAsia="仿宋_GB2312" w:cs="仿宋_GB2312"/>
          <w:sz w:val="32"/>
          <w:szCs w:val="32"/>
        </w:rPr>
        <w:t>第10个</w:t>
      </w:r>
      <w:r>
        <w:rPr>
          <w:rFonts w:hint="eastAsia" w:ascii="仿宋_GB2312" w:hAnsi="仿宋_GB2312" w:eastAsia="仿宋_GB2312" w:cs="仿宋_GB2312"/>
          <w:sz w:val="32"/>
          <w:szCs w:val="32"/>
          <w:lang w:val="en-US" w:eastAsia="zh-CN"/>
        </w:rPr>
        <w:t>完整</w:t>
      </w:r>
      <w:r>
        <w:rPr>
          <w:rFonts w:hint="eastAsia" w:ascii="仿宋_GB2312" w:hAnsi="仿宋_GB2312" w:eastAsia="仿宋_GB2312" w:cs="仿宋_GB2312"/>
          <w:sz w:val="32"/>
          <w:szCs w:val="32"/>
        </w:rPr>
        <w:t>会计年度</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项目</w:t>
      </w:r>
      <w:r>
        <w:rPr>
          <w:rFonts w:ascii="Times New Roman" w:eastAsia="仿宋_GB2312"/>
          <w:sz w:val="32"/>
          <w:szCs w:val="32"/>
        </w:rPr>
        <w:t>任一</w:t>
      </w:r>
      <w:r>
        <w:rPr>
          <w:rFonts w:hint="eastAsia" w:ascii="仿宋_GB2312" w:hAnsi="仿宋_GB2312" w:eastAsia="仿宋_GB2312" w:cs="仿宋_GB2312"/>
          <w:sz w:val="32"/>
          <w:szCs w:val="32"/>
        </w:rPr>
        <w:t>完整</w:t>
      </w:r>
      <w:r>
        <w:rPr>
          <w:rFonts w:ascii="Times New Roman" w:eastAsia="仿宋_GB2312"/>
          <w:sz w:val="32"/>
          <w:szCs w:val="32"/>
        </w:rPr>
        <w:t>会计年度</w:t>
      </w:r>
      <w:r>
        <w:rPr>
          <w:rFonts w:hint="eastAsia" w:ascii="Times New Roman" w:eastAsia="仿宋_GB2312"/>
          <w:sz w:val="32"/>
          <w:szCs w:val="32"/>
        </w:rPr>
        <w:t>在南沙区的</w:t>
      </w:r>
      <w:r>
        <w:rPr>
          <w:rFonts w:hint="eastAsia" w:ascii="仿宋_GB2312" w:hAnsi="仿宋_GB2312" w:eastAsia="仿宋_GB2312" w:cs="仿宋_GB2312"/>
          <w:kern w:val="44"/>
          <w:sz w:val="32"/>
          <w:szCs w:val="32"/>
          <w:lang w:eastAsia="zh-CN"/>
        </w:rPr>
        <w:t>税收</w:t>
      </w:r>
      <w:r>
        <w:rPr>
          <w:rFonts w:hint="eastAsia" w:ascii="仿宋_GB2312" w:hAnsi="仿宋_GB2312" w:eastAsia="仿宋_GB2312" w:cs="仿宋_GB2312"/>
          <w:sz w:val="32"/>
          <w:szCs w:val="32"/>
        </w:rPr>
        <w:t>低于承诺值的80%但不低于</w:t>
      </w:r>
      <w:r>
        <w:rPr>
          <w:rFonts w:hint="eastAsia" w:ascii="仿宋_GB2312" w:hAnsi="仿宋_GB2312" w:eastAsia="仿宋_GB2312" w:cs="仿宋_GB2312"/>
          <w:sz w:val="32"/>
          <w:szCs w:val="32"/>
          <w:lang w:val="en-US" w:eastAsia="zh-CN"/>
        </w:rPr>
        <w:t>20万元/亩</w:t>
      </w:r>
      <w:r>
        <w:rPr>
          <w:rFonts w:hint="eastAsia" w:ascii="仿宋_GB2312" w:hAnsi="仿宋_GB2312" w:eastAsia="仿宋_GB2312" w:cs="仿宋_GB2312"/>
          <w:sz w:val="32"/>
          <w:szCs w:val="32"/>
        </w:rPr>
        <w:t>的，</w:t>
      </w:r>
      <w:r>
        <w:rPr>
          <w:rFonts w:hint="eastAsia" w:ascii="仿宋_GB2312" w:hAnsi="仿宋_GB2312" w:eastAsia="仿宋_GB2312" w:cs="仿宋_GB2312"/>
          <w:bCs/>
          <w:sz w:val="32"/>
          <w:szCs w:val="32"/>
        </w:rPr>
        <w:t>甲方有权</w:t>
      </w:r>
      <w:r>
        <w:rPr>
          <w:rFonts w:hint="eastAsia" w:ascii="仿宋_GB2312" w:hAnsi="仿宋_GB2312" w:eastAsia="仿宋_GB2312" w:cs="仿宋_GB2312"/>
          <w:sz w:val="32"/>
          <w:szCs w:val="32"/>
        </w:rPr>
        <w:t>要求</w:t>
      </w:r>
      <w:r>
        <w:rPr>
          <w:rFonts w:hint="eastAsia" w:ascii="仿宋_GB2312" w:hAnsi="仿宋_GB2312" w:eastAsia="仿宋_GB2312" w:cs="仿宋_GB2312"/>
          <w:bCs/>
          <w:sz w:val="32"/>
          <w:szCs w:val="32"/>
        </w:rPr>
        <w:t>乙方</w:t>
      </w:r>
      <w:r>
        <w:rPr>
          <w:rFonts w:hint="eastAsia" w:ascii="仿宋_GB2312" w:hAnsi="仿宋_GB2312" w:eastAsia="仿宋_GB2312" w:cs="仿宋_GB2312"/>
          <w:sz w:val="32"/>
          <w:szCs w:val="32"/>
        </w:rPr>
        <w:t>支付违约金；自</w:t>
      </w:r>
      <w:r>
        <w:rPr>
          <w:rFonts w:hint="eastAsia" w:ascii="仿宋_GB2312" w:hAnsi="仿宋_GB2312" w:eastAsia="仿宋_GB2312" w:cs="仿宋_GB2312"/>
          <w:bCs/>
          <w:sz w:val="32"/>
          <w:szCs w:val="32"/>
        </w:rPr>
        <w:t>投产后</w:t>
      </w:r>
      <w:r>
        <w:rPr>
          <w:rFonts w:hint="eastAsia" w:ascii="仿宋_GB2312" w:hAnsi="仿宋_GB2312" w:eastAsia="仿宋_GB2312" w:cs="仿宋_GB2312"/>
          <w:sz w:val="32"/>
          <w:szCs w:val="32"/>
        </w:rPr>
        <w:t>第11个完整会计年度起至</w:t>
      </w:r>
      <w:r>
        <w:rPr>
          <w:rFonts w:hint="eastAsia" w:ascii="仿宋_GB2312" w:hAnsi="仿宋_GB2312" w:eastAsia="仿宋_GB2312" w:cs="仿宋_GB2312"/>
          <w:bCs/>
          <w:sz w:val="32"/>
          <w:szCs w:val="32"/>
        </w:rPr>
        <w:t>投产后</w:t>
      </w:r>
      <w:r>
        <w:rPr>
          <w:rFonts w:hint="eastAsia" w:ascii="仿宋_GB2312" w:hAnsi="仿宋_GB2312" w:eastAsia="仿宋_GB2312" w:cs="仿宋_GB2312"/>
          <w:sz w:val="32"/>
          <w:szCs w:val="32"/>
        </w:rPr>
        <w:t>第20个完整会计年度，以2年为一个考核周期，</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年度</w:t>
      </w:r>
      <w:r>
        <w:rPr>
          <w:rFonts w:hint="eastAsia" w:ascii="仿宋_GB2312" w:hAnsi="仿宋_GB2312" w:eastAsia="仿宋_GB2312" w:cs="仿宋_GB2312"/>
          <w:kern w:val="44"/>
          <w:sz w:val="32"/>
          <w:szCs w:val="32"/>
          <w:lang w:eastAsia="zh-CN"/>
        </w:rPr>
        <w:t>税收</w:t>
      </w:r>
      <w:r>
        <w:rPr>
          <w:rFonts w:hint="eastAsia" w:ascii="仿宋_GB2312" w:hAnsi="仿宋_GB2312" w:eastAsia="仿宋_GB2312" w:cs="仿宋_GB2312"/>
          <w:kern w:val="44"/>
          <w:sz w:val="32"/>
          <w:szCs w:val="32"/>
        </w:rPr>
        <w:t>考核周期内年平均值低于</w:t>
      </w:r>
      <w:r>
        <w:rPr>
          <w:rFonts w:hint="eastAsia" w:ascii="仿宋_GB2312" w:hAnsi="仿宋_GB2312" w:eastAsia="仿宋_GB2312" w:cs="仿宋_GB2312"/>
          <w:sz w:val="32"/>
          <w:szCs w:val="32"/>
        </w:rPr>
        <w:t>承诺值的80%但不低于</w:t>
      </w:r>
      <w:r>
        <w:rPr>
          <w:rFonts w:hint="eastAsia" w:ascii="仿宋_GB2312" w:hAnsi="仿宋_GB2312" w:eastAsia="仿宋_GB2312" w:cs="仿宋_GB2312"/>
          <w:sz w:val="32"/>
          <w:szCs w:val="32"/>
          <w:lang w:val="en-US" w:eastAsia="zh-CN"/>
        </w:rPr>
        <w:t>20万元/亩</w:t>
      </w:r>
      <w:r>
        <w:rPr>
          <w:rFonts w:hint="eastAsia" w:ascii="仿宋_GB2312" w:hAnsi="仿宋_GB2312" w:eastAsia="仿宋_GB2312" w:cs="仿宋_GB2312"/>
          <w:sz w:val="32"/>
          <w:szCs w:val="32"/>
        </w:rPr>
        <w:t>的，</w:t>
      </w:r>
      <w:r>
        <w:rPr>
          <w:rFonts w:hint="eastAsia" w:ascii="仿宋_GB2312" w:hAnsi="仿宋_GB2312" w:eastAsia="仿宋_GB2312" w:cs="仿宋_GB2312"/>
          <w:bCs/>
          <w:sz w:val="32"/>
          <w:szCs w:val="32"/>
        </w:rPr>
        <w:t>甲方有权</w:t>
      </w:r>
      <w:r>
        <w:rPr>
          <w:rFonts w:hint="eastAsia" w:ascii="仿宋_GB2312" w:hAnsi="仿宋_GB2312" w:eastAsia="仿宋_GB2312" w:cs="仿宋_GB2312"/>
          <w:sz w:val="32"/>
          <w:szCs w:val="32"/>
        </w:rPr>
        <w:t>要求</w:t>
      </w:r>
      <w:r>
        <w:rPr>
          <w:rFonts w:hint="eastAsia" w:ascii="仿宋_GB2312" w:hAnsi="仿宋_GB2312" w:eastAsia="仿宋_GB2312" w:cs="仿宋_GB2312"/>
          <w:bCs/>
          <w:sz w:val="32"/>
          <w:szCs w:val="32"/>
        </w:rPr>
        <w:t>乙方</w:t>
      </w:r>
      <w:r>
        <w:rPr>
          <w:rFonts w:hint="eastAsia" w:ascii="仿宋_GB2312" w:hAnsi="仿宋_GB2312" w:eastAsia="仿宋_GB2312" w:cs="仿宋_GB2312"/>
          <w:sz w:val="32"/>
          <w:szCs w:val="32"/>
        </w:rPr>
        <w:t>支付违约金；自</w:t>
      </w:r>
      <w:r>
        <w:rPr>
          <w:rFonts w:hint="eastAsia" w:ascii="仿宋_GB2312" w:hAnsi="仿宋_GB2312" w:eastAsia="仿宋_GB2312" w:cs="仿宋_GB2312"/>
          <w:bCs/>
          <w:sz w:val="32"/>
          <w:szCs w:val="32"/>
        </w:rPr>
        <w:t>投产后</w:t>
      </w:r>
      <w:r>
        <w:rPr>
          <w:rFonts w:hint="eastAsia" w:ascii="仿宋_GB2312" w:hAnsi="仿宋_GB2312" w:eastAsia="仿宋_GB2312" w:cs="仿宋_GB2312"/>
          <w:sz w:val="32"/>
          <w:szCs w:val="32"/>
        </w:rPr>
        <w:t>第21个完整会计年度起至土地出让期届满前1年，以3年为一个考核周期，</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年度</w:t>
      </w:r>
      <w:r>
        <w:rPr>
          <w:rFonts w:hint="eastAsia" w:ascii="仿宋_GB2312" w:hAnsi="仿宋_GB2312" w:eastAsia="仿宋_GB2312" w:cs="仿宋_GB2312"/>
          <w:kern w:val="44"/>
          <w:sz w:val="32"/>
          <w:szCs w:val="32"/>
          <w:lang w:eastAsia="zh-CN"/>
        </w:rPr>
        <w:t>税收</w:t>
      </w:r>
      <w:r>
        <w:rPr>
          <w:rFonts w:hint="eastAsia" w:ascii="仿宋_GB2312" w:hAnsi="仿宋_GB2312" w:eastAsia="仿宋_GB2312" w:cs="仿宋_GB2312"/>
          <w:kern w:val="44"/>
          <w:sz w:val="32"/>
          <w:szCs w:val="32"/>
        </w:rPr>
        <w:t>考核周期内年平均值低于</w:t>
      </w:r>
      <w:r>
        <w:rPr>
          <w:rFonts w:hint="eastAsia" w:ascii="仿宋_GB2312" w:hAnsi="仿宋_GB2312" w:eastAsia="仿宋_GB2312" w:cs="仿宋_GB2312"/>
          <w:sz w:val="32"/>
          <w:szCs w:val="32"/>
        </w:rPr>
        <w:t>承诺值的80%但不低于</w:t>
      </w:r>
      <w:r>
        <w:rPr>
          <w:rFonts w:hint="eastAsia" w:ascii="仿宋_GB2312" w:hAnsi="仿宋_GB2312" w:eastAsia="仿宋_GB2312" w:cs="仿宋_GB2312"/>
          <w:sz w:val="32"/>
          <w:szCs w:val="32"/>
          <w:lang w:val="en-US" w:eastAsia="zh-CN"/>
        </w:rPr>
        <w:t>20万元/亩</w:t>
      </w:r>
      <w:r>
        <w:rPr>
          <w:rFonts w:hint="eastAsia" w:ascii="仿宋_GB2312" w:hAnsi="仿宋_GB2312" w:eastAsia="仿宋_GB2312" w:cs="仿宋_GB2312"/>
          <w:sz w:val="32"/>
          <w:szCs w:val="32"/>
        </w:rPr>
        <w:t>的，</w:t>
      </w:r>
      <w:r>
        <w:rPr>
          <w:rFonts w:hint="eastAsia" w:ascii="仿宋_GB2312" w:hAnsi="仿宋_GB2312" w:eastAsia="仿宋_GB2312" w:cs="仿宋_GB2312"/>
          <w:bCs/>
          <w:sz w:val="32"/>
          <w:szCs w:val="32"/>
        </w:rPr>
        <w:t>甲方有权</w:t>
      </w:r>
      <w:r>
        <w:rPr>
          <w:rFonts w:hint="eastAsia" w:ascii="仿宋_GB2312" w:hAnsi="仿宋_GB2312" w:eastAsia="仿宋_GB2312" w:cs="仿宋_GB2312"/>
          <w:sz w:val="32"/>
          <w:szCs w:val="32"/>
        </w:rPr>
        <w:t>要求</w:t>
      </w:r>
      <w:r>
        <w:rPr>
          <w:rFonts w:hint="eastAsia" w:ascii="仿宋_GB2312" w:hAnsi="仿宋_GB2312" w:eastAsia="仿宋_GB2312" w:cs="仿宋_GB2312"/>
          <w:bCs/>
          <w:sz w:val="32"/>
          <w:szCs w:val="32"/>
        </w:rPr>
        <w:t>乙方</w:t>
      </w:r>
      <w:r>
        <w:rPr>
          <w:rFonts w:hint="eastAsia" w:ascii="仿宋_GB2312" w:hAnsi="仿宋_GB2312" w:eastAsia="仿宋_GB2312" w:cs="仿宋_GB2312"/>
          <w:sz w:val="32"/>
          <w:szCs w:val="32"/>
        </w:rPr>
        <w:t>支付违约金。违约金计算方式为项目年度</w:t>
      </w:r>
      <w:r>
        <w:rPr>
          <w:rFonts w:hint="eastAsia" w:ascii="仿宋_GB2312" w:hAnsi="仿宋_GB2312" w:eastAsia="仿宋_GB2312" w:cs="仿宋_GB2312"/>
          <w:kern w:val="44"/>
          <w:sz w:val="32"/>
          <w:szCs w:val="32"/>
          <w:lang w:eastAsia="zh-CN"/>
        </w:rPr>
        <w:t>税收</w:t>
      </w:r>
      <w:r>
        <w:rPr>
          <w:rFonts w:hint="eastAsia" w:ascii="仿宋_GB2312" w:hAnsi="仿宋_GB2312" w:eastAsia="仿宋_GB2312" w:cs="仿宋_GB2312"/>
          <w:sz w:val="32"/>
          <w:szCs w:val="32"/>
        </w:rPr>
        <w:t>承诺值与项目在南沙实现年度</w:t>
      </w:r>
      <w:r>
        <w:rPr>
          <w:rFonts w:hint="eastAsia" w:ascii="仿宋_GB2312" w:hAnsi="仿宋_GB2312" w:eastAsia="仿宋_GB2312" w:cs="仿宋_GB2312"/>
          <w:sz w:val="32"/>
          <w:szCs w:val="32"/>
          <w:lang w:eastAsia="zh-CN"/>
        </w:rPr>
        <w:t>税收</w:t>
      </w:r>
      <w:r>
        <w:rPr>
          <w:rFonts w:hint="eastAsia" w:ascii="仿宋_GB2312" w:hAnsi="仿宋_GB2312" w:eastAsia="仿宋_GB2312" w:cs="仿宋_GB2312"/>
          <w:sz w:val="32"/>
          <w:szCs w:val="32"/>
        </w:rPr>
        <w:t>实际值的差额，整改期限为</w:t>
      </w:r>
      <w:r>
        <w:rPr>
          <w:rFonts w:hint="eastAsia" w:ascii="仿宋_GB2312" w:hAnsi="仿宋_GB2312" w:eastAsia="仿宋_GB2312" w:cs="仿宋_GB2312"/>
          <w:sz w:val="32"/>
          <w:szCs w:val="32"/>
          <w:lang w:val="en-US" w:eastAsia="zh-CN"/>
        </w:rPr>
        <w:t>1年</w:t>
      </w:r>
      <w:r>
        <w:rPr>
          <w:rFonts w:hint="eastAsia" w:ascii="仿宋_GB2312" w:hAnsi="仿宋_GB2312" w:eastAsia="仿宋_GB2312" w:cs="仿宋_GB2312"/>
          <w:sz w:val="32"/>
          <w:szCs w:val="32"/>
        </w:rPr>
        <w:t>，乙方应自甲方出具整改不合格通知书之日起</w:t>
      </w:r>
      <w:r>
        <w:rPr>
          <w:rFonts w:hint="eastAsia" w:ascii="仿宋_GB2312" w:hAnsi="仿宋_GB2312" w:eastAsia="仿宋_GB2312" w:cs="仿宋_GB2312"/>
          <w:sz w:val="32"/>
          <w:szCs w:val="32"/>
          <w:lang w:val="en-US" w:eastAsia="zh-CN"/>
        </w:rPr>
        <w:t>3个月</w:t>
      </w:r>
      <w:r>
        <w:rPr>
          <w:rFonts w:hint="eastAsia" w:ascii="仿宋_GB2312" w:hAnsi="仿宋_GB2312" w:eastAsia="仿宋_GB2312" w:cs="仿宋_GB2312"/>
          <w:sz w:val="32"/>
          <w:szCs w:val="32"/>
        </w:rPr>
        <w:t>内缴纳违约金</w:t>
      </w:r>
      <w:r>
        <w:rPr>
          <w:rFonts w:hint="eastAsia" w:ascii="仿宋_GB2312" w:hAnsi="仿宋_GB2312" w:eastAsia="仿宋_GB2312" w:cs="仿宋_GB2312"/>
          <w:bCs/>
          <w:sz w:val="32"/>
          <w:szCs w:val="32"/>
        </w:rPr>
        <w:t>。</w:t>
      </w:r>
    </w:p>
    <w:p>
      <w:pPr>
        <w:pStyle w:val="16"/>
        <w:keepNext w:val="0"/>
        <w:keepLines w:val="0"/>
        <w:pageBreakBefore w:val="0"/>
        <w:numPr>
          <w:ilvl w:val="3"/>
          <w:numId w:val="0"/>
        </w:numPr>
        <w:kinsoku/>
        <w:topLinePunct w:val="0"/>
        <w:autoSpaceDE/>
        <w:autoSpaceDN/>
        <w:bidi w:val="0"/>
        <w:adjustRightInd/>
        <w:snapToGrid/>
        <w:spacing w:line="560" w:lineRule="exact"/>
        <w:ind w:firstLine="640" w:firstLineChars="200"/>
        <w:rPr>
          <w:rFonts w:hint="eastAsia"/>
          <w:color w:val="auto"/>
          <w:highlight w:val="none"/>
          <w:u w:val="none"/>
          <w:lang w:eastAsia="zh-CN"/>
        </w:rPr>
      </w:pPr>
      <w:r>
        <w:rPr>
          <w:rFonts w:hint="eastAsia" w:ascii="仿宋_GB2312" w:hAnsi="仿宋_GB2312" w:eastAsia="仿宋_GB2312" w:cs="仿宋_GB2312"/>
          <w:b w:val="0"/>
          <w:bCs w:val="0"/>
          <w:sz w:val="32"/>
          <w:szCs w:val="32"/>
          <w:lang w:val="en-US" w:eastAsia="zh-CN"/>
        </w:rPr>
        <w:t>四、</w:t>
      </w:r>
      <w:r>
        <w:rPr>
          <w:rFonts w:hint="eastAsia" w:ascii="仿宋_GB2312" w:hAnsi="仿宋_GB2312" w:eastAsia="仿宋_GB2312" w:cs="仿宋_GB2312"/>
          <w:bCs/>
          <w:sz w:val="32"/>
          <w:szCs w:val="32"/>
          <w:highlight w:val="none"/>
          <w:u w:val="none"/>
        </w:rPr>
        <w:t>自达产年起，</w:t>
      </w:r>
      <w:r>
        <w:rPr>
          <w:rFonts w:hint="eastAsia" w:ascii="仿宋_GB2312" w:hAnsi="仿宋_GB2312" w:eastAsia="仿宋_GB2312" w:cs="仿宋_GB2312"/>
          <w:bCs/>
          <w:sz w:val="32"/>
          <w:szCs w:val="32"/>
          <w:highlight w:val="none"/>
          <w:u w:val="none"/>
          <w:lang w:val="en-US" w:eastAsia="zh-CN"/>
        </w:rPr>
        <w:t>项目</w:t>
      </w:r>
      <w:r>
        <w:rPr>
          <w:rFonts w:ascii="Times New Roman" w:eastAsia="仿宋_GB2312"/>
          <w:sz w:val="32"/>
          <w:szCs w:val="32"/>
          <w:highlight w:val="none"/>
          <w:u w:val="none"/>
        </w:rPr>
        <w:t>任一</w:t>
      </w:r>
      <w:r>
        <w:rPr>
          <w:rFonts w:hint="eastAsia" w:ascii="仿宋_GB2312" w:hAnsi="仿宋_GB2312" w:eastAsia="仿宋_GB2312" w:cs="仿宋_GB2312"/>
          <w:sz w:val="32"/>
          <w:szCs w:val="32"/>
          <w:highlight w:val="none"/>
        </w:rPr>
        <w:t>完整</w:t>
      </w:r>
      <w:r>
        <w:rPr>
          <w:rFonts w:ascii="Times New Roman" w:eastAsia="仿宋_GB2312"/>
          <w:sz w:val="32"/>
          <w:szCs w:val="32"/>
          <w:highlight w:val="none"/>
          <w:u w:val="none"/>
        </w:rPr>
        <w:t>会计年度在南沙区的工业产值</w:t>
      </w:r>
      <w:r>
        <w:rPr>
          <w:rFonts w:hint="eastAsia" w:ascii="仿宋_GB2312" w:hAnsi="仿宋_GB2312" w:eastAsia="仿宋_GB2312" w:cs="仿宋_GB2312"/>
          <w:sz w:val="32"/>
          <w:szCs w:val="32"/>
          <w:highlight w:val="none"/>
          <w:u w:val="none"/>
        </w:rPr>
        <w:t>低于800万元/亩或</w:t>
      </w:r>
      <w:r>
        <w:rPr>
          <w:rFonts w:hint="eastAsia" w:ascii="仿宋_GB2312" w:hAnsi="仿宋_GB2312" w:eastAsia="仿宋_GB2312" w:cs="仿宋_GB2312"/>
          <w:sz w:val="32"/>
          <w:szCs w:val="32"/>
          <w:highlight w:val="none"/>
          <w:u w:val="none"/>
          <w:lang w:val="en-US" w:eastAsia="zh-CN"/>
        </w:rPr>
        <w:t>税收</w:t>
      </w:r>
      <w:r>
        <w:rPr>
          <w:rFonts w:hint="eastAsia" w:ascii="仿宋_GB2312" w:hAnsi="仿宋_GB2312" w:eastAsia="仿宋_GB2312" w:cs="仿宋_GB2312"/>
          <w:sz w:val="32"/>
          <w:szCs w:val="32"/>
          <w:highlight w:val="none"/>
          <w:u w:val="none"/>
        </w:rPr>
        <w:t>低于20万元/亩的，</w:t>
      </w:r>
      <w:r>
        <w:rPr>
          <w:rFonts w:hint="eastAsia" w:ascii="Times New Roman" w:eastAsia="仿宋_GB2312"/>
          <w:sz w:val="32"/>
          <w:szCs w:val="32"/>
          <w:highlight w:val="none"/>
          <w:u w:val="none"/>
        </w:rPr>
        <w:t>乙方无条件同意甲方随时自行提请规划和自然资源行政主管部门（土地出让方）单方解除土地出让合同，收回土地使用权。</w:t>
      </w:r>
    </w:p>
    <w:p>
      <w:pPr>
        <w:keepNext w:val="0"/>
        <w:keepLines w:val="0"/>
        <w:pageBreakBefore w:val="0"/>
        <w:widowControl w:val="0"/>
        <w:kinsoku/>
        <w:wordWrap/>
        <w:overflowPunct/>
        <w:topLinePunct w:val="0"/>
        <w:autoSpaceDE/>
        <w:autoSpaceDN/>
        <w:bidi w:val="0"/>
        <w:adjustRightInd/>
        <w:snapToGrid/>
        <w:spacing w:beforeLines="0" w:afterLines="0" w:line="560" w:lineRule="exact"/>
        <w:ind w:left="0" w:leftChars="0" w:right="0" w:rightChars="0" w:firstLine="640" w:firstLineChars="200"/>
        <w:textAlignment w:val="auto"/>
        <w:outlineLvl w:val="9"/>
        <w:rPr>
          <w:rFonts w:hint="eastAsia" w:eastAsia="仿宋_GB2312" w:cs="Times New Roman"/>
          <w:b w:val="0"/>
          <w:color w:val="auto"/>
          <w:sz w:val="32"/>
          <w:szCs w:val="32"/>
          <w:highlight w:val="none"/>
          <w:u w:val="none"/>
          <w:lang w:val="en-US" w:eastAsia="zh-CN"/>
        </w:rPr>
      </w:pPr>
      <w:r>
        <w:rPr>
          <w:rFonts w:hint="eastAsia" w:ascii="仿宋_GB2312" w:hAnsi="仿宋_GB2312" w:eastAsia="仿宋_GB2312" w:cs="仿宋_GB2312"/>
          <w:b w:val="0"/>
          <w:color w:val="auto"/>
          <w:sz w:val="32"/>
          <w:szCs w:val="32"/>
          <w:highlight w:val="none"/>
          <w:u w:val="none"/>
          <w:lang w:val="en-US" w:eastAsia="zh-CN"/>
        </w:rPr>
        <w:t>按本协议约定解除土地使用权出让合同的，收回土地使用权，按以下方式处理：按乙方原已支付的土地出让金扣除土地出让违约金（土地出让金的20%，参考宗地定金计算标准）、扣除已使用土地年限，退回部分土地出让金（退回土地出让金=总出让金-违约金-总出让金÷总使用年限×已使用年限），契税、印花税等费用不予退回。</w:t>
      </w:r>
      <w:r>
        <w:rPr>
          <w:rFonts w:hint="default" w:ascii="Times New Roman" w:hAnsi="Times New Roman" w:eastAsia="仿宋_GB2312" w:cs="Times New Roman"/>
          <w:b w:val="0"/>
          <w:color w:val="auto"/>
          <w:sz w:val="32"/>
          <w:szCs w:val="32"/>
          <w:highlight w:val="none"/>
          <w:u w:val="none"/>
        </w:rPr>
        <w:t>对已建设的地上建筑物</w:t>
      </w:r>
      <w:r>
        <w:rPr>
          <w:rFonts w:hint="eastAsia" w:eastAsia="仿宋_GB2312" w:cs="Times New Roman"/>
          <w:b w:val="0"/>
          <w:color w:val="auto"/>
          <w:sz w:val="32"/>
          <w:szCs w:val="32"/>
          <w:highlight w:val="none"/>
          <w:u w:val="none"/>
          <w:lang w:eastAsia="zh-CN"/>
        </w:rPr>
        <w:t>、</w:t>
      </w:r>
      <w:r>
        <w:rPr>
          <w:rFonts w:hint="eastAsia" w:eastAsia="仿宋_GB2312" w:cs="Times New Roman"/>
          <w:b w:val="0"/>
          <w:color w:val="auto"/>
          <w:sz w:val="32"/>
          <w:szCs w:val="32"/>
          <w:highlight w:val="none"/>
          <w:u w:val="none"/>
          <w:lang w:val="en-US" w:eastAsia="zh-CN"/>
        </w:rPr>
        <w:t>附着物</w:t>
      </w:r>
      <w:r>
        <w:rPr>
          <w:rFonts w:hint="default" w:ascii="Times New Roman" w:hAnsi="Times New Roman" w:eastAsia="仿宋_GB2312" w:cs="Times New Roman"/>
          <w:b w:val="0"/>
          <w:color w:val="auto"/>
          <w:sz w:val="32"/>
          <w:szCs w:val="32"/>
          <w:highlight w:val="none"/>
          <w:u w:val="none"/>
        </w:rPr>
        <w:t>根据财政评审核定的投入成本按使用年限折现进行货币补偿</w:t>
      </w:r>
      <w:r>
        <w:rPr>
          <w:rFonts w:hint="eastAsia" w:eastAsia="仿宋_GB2312" w:cs="Times New Roman"/>
          <w:b w:val="0"/>
          <w:color w:val="auto"/>
          <w:sz w:val="32"/>
          <w:szCs w:val="32"/>
          <w:highlight w:val="none"/>
          <w:u w:val="none"/>
          <w:lang w:eastAsia="zh-CN"/>
        </w:rPr>
        <w:t>，</w:t>
      </w:r>
      <w:r>
        <w:rPr>
          <w:rFonts w:hint="default" w:ascii="Times New Roman" w:hAnsi="Times New Roman" w:eastAsia="仿宋_GB2312" w:cs="Times New Roman"/>
          <w:b w:val="0"/>
          <w:color w:val="auto"/>
          <w:sz w:val="32"/>
          <w:szCs w:val="32"/>
          <w:highlight w:val="none"/>
          <w:u w:val="none"/>
        </w:rPr>
        <w:t>已建设的地上建筑物</w:t>
      </w:r>
      <w:r>
        <w:rPr>
          <w:rFonts w:hint="eastAsia" w:eastAsia="仿宋_GB2312" w:cs="Times New Roman"/>
          <w:b w:val="0"/>
          <w:color w:val="auto"/>
          <w:sz w:val="32"/>
          <w:szCs w:val="32"/>
          <w:highlight w:val="none"/>
          <w:u w:val="none"/>
          <w:lang w:eastAsia="zh-CN"/>
        </w:rPr>
        <w:t>、</w:t>
      </w:r>
      <w:r>
        <w:rPr>
          <w:rFonts w:hint="eastAsia" w:eastAsia="仿宋_GB2312" w:cs="Times New Roman"/>
          <w:b w:val="0"/>
          <w:color w:val="auto"/>
          <w:sz w:val="32"/>
          <w:szCs w:val="32"/>
          <w:highlight w:val="none"/>
          <w:u w:val="none"/>
          <w:lang w:val="en-US" w:eastAsia="zh-CN"/>
        </w:rPr>
        <w:t>附着物归甲方（或其他政府部门）所有。</w:t>
      </w:r>
    </w:p>
    <w:p>
      <w:pPr>
        <w:keepNext w:val="0"/>
        <w:keepLines w:val="0"/>
        <w:pageBreakBefore w:val="0"/>
        <w:widowControl/>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outlineLvl w:val="9"/>
        <w:rPr>
          <w:rFonts w:hint="eastAsia" w:ascii="仿宋_GB2312" w:hAnsi="仿宋_GB2312" w:eastAsia="仿宋_GB2312" w:cs="仿宋_GB2312"/>
          <w:bCs/>
          <w:color w:val="auto"/>
          <w:sz w:val="32"/>
          <w:szCs w:val="32"/>
          <w:highlight w:val="none"/>
          <w:lang w:eastAsia="zh-CN"/>
        </w:rPr>
      </w:pPr>
      <w:r>
        <w:rPr>
          <w:rFonts w:hint="eastAsia" w:ascii="仿宋_GB2312" w:hAnsi="仿宋_GB2312" w:eastAsia="仿宋_GB2312" w:cs="仿宋_GB2312"/>
          <w:b w:val="0"/>
          <w:color w:val="auto"/>
          <w:sz w:val="32"/>
          <w:szCs w:val="32"/>
          <w:highlight w:val="none"/>
          <w:lang w:val="en-US" w:eastAsia="zh-CN"/>
        </w:rPr>
        <w:t>按</w:t>
      </w:r>
      <w:r>
        <w:rPr>
          <w:rFonts w:hint="eastAsia" w:ascii="仿宋_GB2312" w:hAnsi="仿宋_GB2312" w:eastAsia="仿宋_GB2312" w:cs="仿宋_GB2312"/>
          <w:color w:val="auto"/>
          <w:sz w:val="32"/>
          <w:szCs w:val="32"/>
          <w:highlight w:val="none"/>
          <w:lang w:val="en-US" w:eastAsia="zh-CN"/>
        </w:rPr>
        <w:t>本协议约定</w:t>
      </w:r>
      <w:r>
        <w:rPr>
          <w:rFonts w:hint="eastAsia" w:ascii="仿宋_GB2312" w:hAnsi="仿宋_GB2312" w:eastAsia="仿宋_GB2312" w:cs="仿宋_GB2312"/>
          <w:b w:val="0"/>
          <w:color w:val="auto"/>
          <w:sz w:val="32"/>
          <w:szCs w:val="32"/>
          <w:highlight w:val="none"/>
          <w:lang w:val="en-US" w:eastAsia="zh-CN"/>
        </w:rPr>
        <w:t>解除土地出让合同</w:t>
      </w:r>
      <w:r>
        <w:rPr>
          <w:rFonts w:hint="eastAsia" w:ascii="仿宋_GB2312" w:hAnsi="仿宋_GB2312" w:eastAsia="仿宋_GB2312" w:cs="仿宋_GB2312"/>
          <w:bCs/>
          <w:color w:val="auto"/>
          <w:sz w:val="32"/>
          <w:szCs w:val="32"/>
          <w:highlight w:val="none"/>
          <w:lang w:eastAsia="zh-CN"/>
        </w:rPr>
        <w:t>，甲方（或其他政府部门）无</w:t>
      </w:r>
      <w:r>
        <w:rPr>
          <w:rFonts w:hint="eastAsia" w:ascii="仿宋_GB2312" w:hAnsi="仿宋_GB2312" w:eastAsia="仿宋_GB2312" w:cs="仿宋_GB2312"/>
          <w:bCs/>
          <w:color w:val="auto"/>
          <w:sz w:val="32"/>
          <w:szCs w:val="32"/>
          <w:highlight w:val="none"/>
        </w:rPr>
        <w:t>需对乙方进行</w:t>
      </w:r>
      <w:r>
        <w:rPr>
          <w:rFonts w:hint="eastAsia" w:ascii="仿宋_GB2312" w:hAnsi="仿宋_GB2312" w:eastAsia="仿宋_GB2312" w:cs="仿宋_GB2312"/>
          <w:bCs/>
          <w:color w:val="auto"/>
          <w:sz w:val="32"/>
          <w:szCs w:val="32"/>
          <w:highlight w:val="none"/>
          <w:lang w:eastAsia="zh-CN"/>
        </w:rPr>
        <w:t>上述约定外的</w:t>
      </w:r>
      <w:r>
        <w:rPr>
          <w:rFonts w:hint="eastAsia" w:ascii="仿宋_GB2312" w:hAnsi="仿宋_GB2312" w:eastAsia="仿宋_GB2312" w:cs="仿宋_GB2312"/>
          <w:bCs/>
          <w:color w:val="auto"/>
          <w:sz w:val="32"/>
          <w:szCs w:val="32"/>
          <w:highlight w:val="none"/>
        </w:rPr>
        <w:t>其他赔偿、补偿等</w:t>
      </w:r>
      <w:r>
        <w:rPr>
          <w:rFonts w:hint="eastAsia" w:ascii="仿宋_GB2312" w:hAnsi="仿宋_GB2312" w:eastAsia="仿宋_GB2312" w:cs="仿宋_GB2312"/>
          <w:bCs/>
          <w:color w:val="auto"/>
          <w:sz w:val="32"/>
          <w:szCs w:val="32"/>
          <w:highlight w:val="none"/>
          <w:lang w:eastAsia="zh-CN"/>
        </w:rPr>
        <w:t>。</w:t>
      </w:r>
    </w:p>
    <w:p>
      <w:pPr>
        <w:pStyle w:val="8"/>
        <w:keepNext w:val="0"/>
        <w:keepLines w:val="0"/>
        <w:pageBreakBefore w:val="0"/>
        <w:kinsoku/>
        <w:wordWrap/>
        <w:overflowPunct/>
        <w:topLinePunct w:val="0"/>
        <w:autoSpaceDE/>
        <w:autoSpaceDN/>
        <w:bidi w:val="0"/>
        <w:spacing w:beforeLines="0" w:afterLines="0" w:line="56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如</w:t>
      </w:r>
      <w:r>
        <w:rPr>
          <w:rFonts w:hint="default" w:ascii="仿宋_GB2312" w:hAnsi="仿宋_GB2312" w:eastAsia="仿宋_GB2312" w:cs="仿宋_GB2312"/>
          <w:bCs/>
          <w:color w:val="auto"/>
          <w:sz w:val="32"/>
          <w:szCs w:val="32"/>
          <w:highlight w:val="none"/>
        </w:rPr>
        <w:t>项目</w:t>
      </w:r>
      <w:r>
        <w:rPr>
          <w:rFonts w:hint="eastAsia" w:ascii="仿宋_GB2312" w:hAnsi="仿宋_GB2312" w:eastAsia="仿宋_GB2312" w:cs="仿宋_GB2312"/>
          <w:bCs/>
          <w:color w:val="auto"/>
          <w:sz w:val="32"/>
          <w:szCs w:val="32"/>
          <w:highlight w:val="none"/>
        </w:rPr>
        <w:t>土地发生土地污染，乙方应承担土地污染修复的责任并承担由此产生的相关费用。</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01" w:firstLineChars="187"/>
        <w:textAlignment w:val="auto"/>
        <w:rPr>
          <w:rFonts w:hint="default"/>
          <w:b/>
          <w:bCs/>
          <w:color w:val="auto"/>
          <w:highlight w:val="none"/>
          <w:lang w:val="en-US" w:eastAsia="zh-CN"/>
        </w:rPr>
      </w:pPr>
      <w:r>
        <w:rPr>
          <w:rFonts w:hint="eastAsia" w:ascii="仿宋_GB2312" w:eastAsia="仿宋_GB2312"/>
          <w:b/>
          <w:bCs/>
          <w:color w:val="auto"/>
          <w:sz w:val="32"/>
          <w:szCs w:val="32"/>
          <w:highlight w:val="none"/>
          <w:lang w:val="en-US" w:eastAsia="zh-CN"/>
        </w:rPr>
        <w:t>五、其他条款</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rPr>
          <w:rFonts w:hint="eastAsia" w:ascii="仿宋_GB2312" w:hAnsi="仿宋" w:eastAsia="仿宋_GB2312"/>
          <w:color w:val="auto"/>
          <w:sz w:val="32"/>
          <w:szCs w:val="32"/>
          <w:highlight w:val="none"/>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一</w:t>
      </w:r>
      <w:r>
        <w:rPr>
          <w:rFonts w:hint="eastAsia" w:ascii="仿宋_GB2312" w:eastAsia="仿宋_GB2312"/>
          <w:color w:val="auto"/>
          <w:sz w:val="32"/>
          <w:szCs w:val="32"/>
          <w:highlight w:val="none"/>
          <w:lang w:eastAsia="zh-CN"/>
        </w:rPr>
        <w:t>）</w:t>
      </w:r>
      <w:r>
        <w:rPr>
          <w:rFonts w:hint="eastAsia" w:ascii="仿宋_GB2312" w:hAnsi="仿宋" w:eastAsia="仿宋_GB2312"/>
          <w:color w:val="auto"/>
          <w:sz w:val="32"/>
          <w:szCs w:val="32"/>
          <w:highlight w:val="none"/>
        </w:rPr>
        <w:t>本协议的订立、效力、解释、履行及其争议的解决等，均适用中华人民共和国法律。</w:t>
      </w:r>
      <w:r>
        <w:rPr>
          <w:rFonts w:hint="eastAsia" w:ascii="仿宋_GB2312" w:eastAsia="仿宋_GB2312"/>
          <w:color w:val="auto"/>
          <w:sz w:val="32"/>
          <w:szCs w:val="32"/>
          <w:highlight w:val="none"/>
        </w:rPr>
        <w:t>因履行本协议或</w:t>
      </w:r>
      <w:r>
        <w:rPr>
          <w:rFonts w:hint="eastAsia" w:ascii="仿宋_GB2312" w:eastAsia="仿宋_GB2312"/>
          <w:color w:val="auto"/>
          <w:sz w:val="32"/>
          <w:szCs w:val="32"/>
          <w:highlight w:val="none"/>
          <w:lang w:eastAsia="zh-CN"/>
        </w:rPr>
        <w:t>与</w:t>
      </w:r>
      <w:r>
        <w:rPr>
          <w:rFonts w:hint="eastAsia" w:ascii="仿宋_GB2312" w:eastAsia="仿宋_GB2312"/>
          <w:color w:val="auto"/>
          <w:sz w:val="32"/>
          <w:szCs w:val="32"/>
          <w:highlight w:val="none"/>
        </w:rPr>
        <w:t>本协议有关的争议，双方应协商解决</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协商不成的，</w:t>
      </w:r>
      <w:r>
        <w:rPr>
          <w:rFonts w:hint="eastAsia" w:ascii="仿宋_GB2312" w:eastAsia="仿宋_GB2312"/>
          <w:color w:val="auto"/>
          <w:sz w:val="32"/>
          <w:szCs w:val="32"/>
          <w:highlight w:val="none"/>
          <w:lang w:val="en-US" w:eastAsia="zh-CN"/>
        </w:rPr>
        <w:t>应依法</w:t>
      </w:r>
      <w:r>
        <w:rPr>
          <w:rFonts w:hint="eastAsia" w:ascii="仿宋_GB2312" w:eastAsia="仿宋_GB2312"/>
          <w:color w:val="auto"/>
          <w:sz w:val="32"/>
          <w:szCs w:val="32"/>
          <w:highlight w:val="none"/>
        </w:rPr>
        <w:t>向</w:t>
      </w:r>
      <w:r>
        <w:rPr>
          <w:rFonts w:hint="eastAsia" w:ascii="仿宋_GB2312" w:eastAsia="仿宋_GB2312"/>
          <w:color w:val="auto"/>
          <w:sz w:val="32"/>
          <w:szCs w:val="32"/>
          <w:highlight w:val="none"/>
          <w:lang w:val="en-US" w:eastAsia="zh-CN"/>
        </w:rPr>
        <w:t>甲方所在地</w:t>
      </w:r>
      <w:r>
        <w:rPr>
          <w:rFonts w:hint="eastAsia" w:ascii="仿宋_GB2312" w:eastAsia="仿宋_GB2312"/>
          <w:color w:val="auto"/>
          <w:sz w:val="32"/>
          <w:szCs w:val="32"/>
          <w:highlight w:val="none"/>
        </w:rPr>
        <w:t>有管辖权的人民法院提起诉讼</w:t>
      </w:r>
      <w:r>
        <w:rPr>
          <w:rFonts w:hint="eastAsia" w:ascii="仿宋_GB2312" w:hAnsi="仿宋"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二）</w:t>
      </w:r>
      <w:r>
        <w:rPr>
          <w:rFonts w:hint="eastAsia" w:ascii="仿宋_GB2312" w:eastAsia="仿宋_GB2312"/>
          <w:color w:val="auto"/>
          <w:sz w:val="32"/>
          <w:szCs w:val="32"/>
          <w:highlight w:val="none"/>
        </w:rPr>
        <w:t>本协议未尽事宜，由双方另行协商，签订补充协议，补充协议与本协议具有同等法律效力。</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（三）</w:t>
      </w:r>
      <w:r>
        <w:rPr>
          <w:rFonts w:hint="eastAsia" w:ascii="仿宋_GB2312" w:eastAsia="仿宋_GB2312"/>
          <w:color w:val="auto"/>
          <w:sz w:val="32"/>
          <w:szCs w:val="32"/>
          <w:highlight w:val="none"/>
        </w:rPr>
        <w:t>本协议</w:t>
      </w:r>
      <w:r>
        <w:rPr>
          <w:rFonts w:hint="eastAsia" w:ascii="仿宋_GB2312" w:eastAsia="仿宋_GB2312"/>
          <w:color w:val="auto"/>
          <w:sz w:val="32"/>
          <w:szCs w:val="32"/>
          <w:highlight w:val="none"/>
          <w:lang w:eastAsia="zh-CN"/>
        </w:rPr>
        <w:t>自</w:t>
      </w:r>
      <w:r>
        <w:rPr>
          <w:rFonts w:hint="eastAsia" w:ascii="仿宋_GB2312" w:eastAsia="仿宋_GB2312"/>
          <w:color w:val="auto"/>
          <w:sz w:val="32"/>
          <w:szCs w:val="32"/>
          <w:highlight w:val="none"/>
        </w:rPr>
        <w:t>双方法定代表人或授权代表签字</w:t>
      </w:r>
      <w:r>
        <w:rPr>
          <w:rFonts w:hint="eastAsia" w:ascii="仿宋_GB2312" w:eastAsia="仿宋_GB2312"/>
          <w:color w:val="auto"/>
          <w:sz w:val="32"/>
          <w:szCs w:val="32"/>
          <w:highlight w:val="none"/>
          <w:lang w:val="en-US" w:eastAsia="zh-CN"/>
        </w:rPr>
        <w:t>并加盖公章之日起</w:t>
      </w:r>
      <w:r>
        <w:rPr>
          <w:rFonts w:hint="eastAsia" w:ascii="仿宋_GB2312" w:eastAsia="仿宋_GB2312"/>
          <w:color w:val="auto"/>
          <w:sz w:val="32"/>
          <w:szCs w:val="32"/>
          <w:highlight w:val="none"/>
        </w:rPr>
        <w:t>生效。</w:t>
      </w:r>
      <w:r>
        <w:rPr>
          <w:rFonts w:hint="eastAsia" w:ascii="仿宋_GB2312" w:eastAsia="仿宋_GB2312"/>
          <w:color w:val="auto"/>
          <w:sz w:val="32"/>
          <w:szCs w:val="32"/>
          <w:highlight w:val="none"/>
          <w:lang w:eastAsia="zh-CN"/>
        </w:rPr>
        <w:t>本协议</w:t>
      </w:r>
      <w:r>
        <w:rPr>
          <w:rFonts w:hint="eastAsia" w:ascii="仿宋_GB2312" w:eastAsia="仿宋_GB2312"/>
          <w:color w:val="auto"/>
          <w:sz w:val="32"/>
          <w:szCs w:val="32"/>
          <w:highlight w:val="none"/>
        </w:rPr>
        <w:t>一式</w:t>
      </w:r>
      <w:r>
        <w:rPr>
          <w:rFonts w:hint="eastAsia" w:ascii="仿宋_GB2312" w:eastAsia="仿宋_GB2312"/>
          <w:color w:val="auto"/>
          <w:sz w:val="32"/>
          <w:szCs w:val="32"/>
          <w:highlight w:val="none"/>
          <w:lang w:val="en-US" w:eastAsia="zh-CN"/>
        </w:rPr>
        <w:t>捌</w:t>
      </w:r>
      <w:r>
        <w:rPr>
          <w:rFonts w:hint="eastAsia" w:ascii="仿宋_GB2312" w:eastAsia="仿宋_GB2312"/>
          <w:color w:val="auto"/>
          <w:sz w:val="32"/>
          <w:szCs w:val="32"/>
          <w:highlight w:val="none"/>
        </w:rPr>
        <w:t>份，具有同等法律效力</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right="0" w:rightChars="0" w:firstLine="640" w:firstLineChars="200"/>
        <w:textAlignment w:val="auto"/>
        <w:rPr>
          <w:rFonts w:ascii="仿宋_GB2312" w:hAnsi="仿宋" w:eastAsia="仿宋_GB2312" w:cs="仿宋_GB2312"/>
          <w:bCs/>
          <w:color w:val="auto"/>
          <w:sz w:val="32"/>
          <w:szCs w:val="32"/>
          <w:highlight w:val="none"/>
        </w:rPr>
      </w:pPr>
      <w:r>
        <w:rPr>
          <w:rFonts w:hint="eastAsia" w:ascii="仿宋_GB2312" w:eastAsia="仿宋_GB2312"/>
          <w:color w:val="auto"/>
          <w:sz w:val="32"/>
          <w:szCs w:val="32"/>
          <w:highlight w:val="none"/>
        </w:rPr>
        <w:t>（</w:t>
      </w:r>
      <w:r>
        <w:rPr>
          <w:rFonts w:ascii="仿宋_GB2312" w:eastAsia="仿宋_GB2312"/>
          <w:color w:val="auto"/>
          <w:sz w:val="32"/>
          <w:szCs w:val="32"/>
          <w:highlight w:val="none"/>
        </w:rPr>
        <w:t>以下</w:t>
      </w:r>
      <w:r>
        <w:rPr>
          <w:rFonts w:hint="eastAsia" w:ascii="仿宋_GB2312" w:eastAsia="仿宋_GB2312"/>
          <w:color w:val="auto"/>
          <w:sz w:val="32"/>
          <w:szCs w:val="32"/>
          <w:highlight w:val="none"/>
        </w:rPr>
        <w:t>无正文）</w:t>
      </w:r>
    </w:p>
    <w:p>
      <w:pPr>
        <w:keepNext w:val="0"/>
        <w:keepLines w:val="0"/>
        <w:pageBreakBefore w:val="0"/>
        <w:widowControl w:val="0"/>
        <w:kinsoku/>
        <w:wordWrap/>
        <w:overflowPunct/>
        <w:topLinePunct w:val="0"/>
        <w:autoSpaceDE/>
        <w:autoSpaceDN/>
        <w:bidi w:val="0"/>
        <w:snapToGrid w:val="0"/>
        <w:spacing w:beforeLines="0" w:afterLines="0" w:line="560" w:lineRule="exact"/>
        <w:ind w:firstLine="320" w:firstLineChars="100"/>
        <w:textAlignment w:val="auto"/>
        <w:rPr>
          <w:rFonts w:ascii="仿宋_GB2312" w:eastAsia="仿宋_GB2312"/>
          <w:color w:val="auto"/>
          <w:sz w:val="32"/>
          <w:szCs w:val="32"/>
          <w:highlight w:val="none"/>
        </w:rPr>
        <w:sectPr>
          <w:headerReference r:id="rId3" w:type="first"/>
          <w:footerReference r:id="rId5" w:type="first"/>
          <w:footerReference r:id="rId4" w:type="default"/>
          <w:pgSz w:w="11906" w:h="16838"/>
          <w:pgMar w:top="1440" w:right="1800" w:bottom="1440" w:left="1800" w:header="851" w:footer="992" w:gutter="0"/>
          <w:pgNumType w:fmt="decimal" w:start="1"/>
          <w:cols w:space="720" w:num="1"/>
          <w:titlePg/>
          <w:docGrid w:type="lines" w:linePitch="312" w:charSpace="0"/>
        </w:sectPr>
      </w:pPr>
    </w:p>
    <w:p>
      <w:pPr>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（此页无正文，为签署页）</w:t>
      </w:r>
    </w:p>
    <w:tbl>
      <w:tblPr>
        <w:tblStyle w:val="10"/>
        <w:tblW w:w="9358" w:type="dxa"/>
        <w:tblInd w:w="-176" w:type="dxa"/>
        <w:tblLayout w:type="fixed"/>
        <w:tblCellMar>
          <w:top w:w="0" w:type="dxa"/>
          <w:left w:w="108" w:type="dxa"/>
          <w:bottom w:w="0" w:type="dxa"/>
          <w:right w:w="108" w:type="dxa"/>
        </w:tblCellMar>
      </w:tblPr>
      <w:tblGrid>
        <w:gridCol w:w="4679"/>
        <w:gridCol w:w="4679"/>
      </w:tblGrid>
      <w:tr>
        <w:tblPrEx>
          <w:tblCellMar>
            <w:top w:w="0" w:type="dxa"/>
            <w:left w:w="108" w:type="dxa"/>
            <w:bottom w:w="0" w:type="dxa"/>
            <w:right w:w="108" w:type="dxa"/>
          </w:tblCellMar>
        </w:tblPrEx>
        <w:trPr>
          <w:trHeight w:val="1923" w:hRule="atLeast"/>
        </w:trPr>
        <w:tc>
          <w:tcPr>
            <w:tcW w:w="4679" w:type="dxa"/>
          </w:tcPr>
          <w:p>
            <w:pPr>
              <w:spacing w:line="360" w:lineRule="auto"/>
              <w:rPr>
                <w:rFonts w:hint="eastAsia" w:ascii="仿宋_GB2312" w:hAnsi="仿宋_GB2312" w:eastAsia="仿宋_GB2312" w:cs="仿宋_GB2312"/>
                <w:color w:val="auto"/>
                <w:sz w:val="32"/>
                <w:szCs w:val="32"/>
                <w:highlight w:val="none"/>
              </w:rPr>
            </w:pPr>
          </w:p>
          <w:p>
            <w:pPr>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甲方：</w:t>
            </w:r>
          </w:p>
          <w:p>
            <w:pPr>
              <w:spacing w:line="360" w:lineRule="auto"/>
              <w:rPr>
                <w:rFonts w:hint="eastAsia" w:ascii="仿宋_GB2312" w:hAnsi="仿宋_GB2312" w:eastAsia="仿宋_GB2312" w:cs="仿宋_GB2312"/>
                <w:color w:val="auto"/>
                <w:sz w:val="32"/>
                <w:szCs w:val="32"/>
                <w:highlight w:val="none"/>
              </w:rPr>
            </w:pPr>
          </w:p>
          <w:p>
            <w:pPr>
              <w:spacing w:line="360" w:lineRule="auto"/>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（签章）</w:t>
            </w:r>
          </w:p>
        </w:tc>
        <w:tc>
          <w:tcPr>
            <w:tcW w:w="4679" w:type="dxa"/>
          </w:tcPr>
          <w:p>
            <w:pPr>
              <w:spacing w:line="360" w:lineRule="auto"/>
              <w:rPr>
                <w:rFonts w:hint="eastAsia" w:ascii="仿宋_GB2312" w:hAnsi="仿宋_GB2312" w:eastAsia="仿宋_GB2312" w:cs="仿宋_GB2312"/>
                <w:color w:val="auto"/>
                <w:sz w:val="32"/>
                <w:szCs w:val="32"/>
                <w:highlight w:val="none"/>
              </w:rPr>
            </w:pPr>
          </w:p>
          <w:p>
            <w:pPr>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乙方：</w:t>
            </w:r>
          </w:p>
          <w:p>
            <w:pPr>
              <w:spacing w:line="360" w:lineRule="auto"/>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（签章）</w:t>
            </w:r>
          </w:p>
        </w:tc>
      </w:tr>
      <w:tr>
        <w:tblPrEx>
          <w:tblCellMar>
            <w:top w:w="0" w:type="dxa"/>
            <w:left w:w="108" w:type="dxa"/>
            <w:bottom w:w="0" w:type="dxa"/>
            <w:right w:w="108" w:type="dxa"/>
          </w:tblCellMar>
        </w:tblPrEx>
        <w:trPr>
          <w:trHeight w:val="1566" w:hRule="atLeast"/>
        </w:trPr>
        <w:tc>
          <w:tcPr>
            <w:tcW w:w="4679" w:type="dxa"/>
            <w:vAlign w:val="center"/>
          </w:tcPr>
          <w:p>
            <w:pPr>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甲方授权代表：</w:t>
            </w:r>
          </w:p>
        </w:tc>
        <w:tc>
          <w:tcPr>
            <w:tcW w:w="4679" w:type="dxa"/>
            <w:vAlign w:val="center"/>
          </w:tcPr>
          <w:p>
            <w:pPr>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乙方授权代表：</w:t>
            </w:r>
          </w:p>
        </w:tc>
      </w:tr>
      <w:tr>
        <w:tblPrEx>
          <w:tblCellMar>
            <w:top w:w="0" w:type="dxa"/>
            <w:left w:w="108" w:type="dxa"/>
            <w:bottom w:w="0" w:type="dxa"/>
            <w:right w:w="108" w:type="dxa"/>
          </w:tblCellMar>
        </w:tblPrEx>
        <w:trPr>
          <w:trHeight w:val="961" w:hRule="atLeast"/>
        </w:trPr>
        <w:tc>
          <w:tcPr>
            <w:tcW w:w="4679" w:type="dxa"/>
            <w:vAlign w:val="center"/>
          </w:tcPr>
          <w:p>
            <w:pPr>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　年　　　月　　日</w:t>
            </w:r>
          </w:p>
        </w:tc>
        <w:tc>
          <w:tcPr>
            <w:tcW w:w="4679" w:type="dxa"/>
            <w:vAlign w:val="center"/>
          </w:tcPr>
          <w:p>
            <w:pPr>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　年　　　月　　日</w:t>
            </w:r>
          </w:p>
        </w:tc>
      </w:tr>
    </w:tbl>
    <w:p>
      <w:pPr>
        <w:rPr>
          <w:rFonts w:ascii="仿宋_GB2312" w:hAnsi="仿宋_GB2312" w:eastAsia="仿宋_GB2312" w:cs="仿宋_GB2312"/>
          <w:color w:val="auto"/>
          <w:sz w:val="32"/>
          <w:szCs w:val="32"/>
          <w:highlight w:val="none"/>
        </w:rPr>
      </w:pPr>
    </w:p>
    <w:p>
      <w:pPr>
        <w:pStyle w:val="8"/>
        <w:rPr>
          <w:rFonts w:ascii="仿宋_GB2312" w:hAnsi="仿宋_GB2312" w:eastAsia="仿宋_GB2312" w:cs="仿宋_GB2312"/>
          <w:color w:val="auto"/>
          <w:sz w:val="32"/>
          <w:szCs w:val="32"/>
          <w:highlight w:val="none"/>
        </w:rPr>
      </w:pPr>
    </w:p>
    <w:p/>
    <w:p>
      <w:pPr>
        <w:rPr>
          <w:color w:val="auto"/>
          <w:highlight w:val="none"/>
        </w:rPr>
      </w:pPr>
    </w:p>
    <w:sectPr>
      <w:pgSz w:w="11906" w:h="16838"/>
      <w:pgMar w:top="1440" w:right="1800" w:bottom="1440" w:left="1800"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eastAsia="宋体"/>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pBdr>
      <w:jc w:val="right"/>
      <w:rPr>
        <w:rFonts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A6254"/>
    <w:multiLevelType w:val="multilevel"/>
    <w:tmpl w:val="0C1A6254"/>
    <w:lvl w:ilvl="0" w:tentative="0">
      <w:start w:val="1"/>
      <w:numFmt w:val="chineseCountingThousand"/>
      <w:suff w:val="space"/>
      <w:lvlText w:val="第%1章"/>
      <w:lvlJc w:val="left"/>
      <w:pPr>
        <w:ind w:left="1530" w:hanging="1530"/>
      </w:pPr>
      <w:rPr>
        <w:rFonts w:hint="default"/>
        <w:lang w:val="en-US"/>
      </w:rPr>
    </w:lvl>
    <w:lvl w:ilvl="1" w:tentative="0">
      <w:start w:val="1"/>
      <w:numFmt w:val="chineseCountingThousand"/>
      <w:pStyle w:val="18"/>
      <w:suff w:val="space"/>
      <w:lvlText w:val="第%2节"/>
      <w:lvlJc w:val="left"/>
      <w:pPr>
        <w:ind w:left="1500" w:hanging="1080"/>
      </w:pPr>
      <w:rPr>
        <w:rFonts w:hint="default"/>
      </w:rPr>
    </w:lvl>
    <w:lvl w:ilvl="2" w:tentative="0">
      <w:start w:val="1"/>
      <w:numFmt w:val="decimal"/>
      <w:pStyle w:val="17"/>
      <w:suff w:val="space"/>
      <w:lvlText w:val="%3"/>
      <w:lvlJc w:val="left"/>
      <w:pPr>
        <w:ind w:left="1560" w:hanging="720"/>
      </w:pPr>
      <w:rPr>
        <w:rFonts w:hint="default"/>
      </w:rPr>
    </w:lvl>
    <w:lvl w:ilvl="3" w:tentative="0">
      <w:start w:val="1"/>
      <w:numFmt w:val="decimal"/>
      <w:pStyle w:val="16"/>
      <w:suff w:val="space"/>
      <w:lvlText w:val="%3.%4"/>
      <w:lvlJc w:val="left"/>
      <w:pPr>
        <w:ind w:left="1680" w:hanging="420"/>
      </w:pPr>
      <w:rPr>
        <w:rFonts w:hint="eastAsia"/>
      </w:rPr>
    </w:lvl>
    <w:lvl w:ilvl="4" w:tentative="0">
      <w:start w:val="1"/>
      <w:numFmt w:val="decimal"/>
      <w:suff w:val="space"/>
      <w:lvlText w:val="%3.%4.%5"/>
      <w:lvlJc w:val="left"/>
      <w:pPr>
        <w:ind w:left="2400" w:hanging="720"/>
      </w:pPr>
      <w:rPr>
        <w:rFonts w:hint="default"/>
      </w:rPr>
    </w:lvl>
    <w:lvl w:ilvl="5" w:tentative="0">
      <w:start w:val="1"/>
      <w:numFmt w:val="decimal"/>
      <w:suff w:val="space"/>
      <w:lvlText w:val="%3.%4.%5.%6"/>
      <w:lvlJc w:val="left"/>
      <w:pPr>
        <w:ind w:left="2460" w:hanging="360"/>
      </w:pPr>
      <w:rPr>
        <w:rFonts w:hint="default"/>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
    <w:nsid w:val="591D1224"/>
    <w:multiLevelType w:val="multilevel"/>
    <w:tmpl w:val="591D1224"/>
    <w:lvl w:ilvl="0" w:tentative="0">
      <w:start w:val="1"/>
      <w:numFmt w:val="chineseCounting"/>
      <w:pStyle w:val="3"/>
      <w:suff w:val="nothing"/>
      <w:lvlText w:val="第%1条 "/>
      <w:lvlJc w:val="left"/>
      <w:pPr>
        <w:tabs>
          <w:tab w:val="left" w:pos="0"/>
        </w:tabs>
        <w:ind w:left="0" w:firstLine="0"/>
      </w:pPr>
      <w:rPr>
        <w:rFonts w:hint="eastAsia" w:ascii="宋体" w:hAnsi="宋体" w:eastAsia="宋体" w:cs="宋体"/>
      </w:rPr>
    </w:lvl>
    <w:lvl w:ilvl="1" w:tentative="0">
      <w:start w:val="1"/>
      <w:numFmt w:val="decimal"/>
      <w:pStyle w:val="2"/>
      <w:suff w:val="nothing"/>
      <w:lvlText w:val="%2.1"/>
      <w:lvlJc w:val="left"/>
      <w:pPr>
        <w:ind w:left="0" w:firstLine="0"/>
      </w:pPr>
      <w:rPr>
        <w:rFonts w:hint="eastAsia" w:ascii="宋体" w:hAnsi="宋体" w:eastAsia="宋体" w:cs="宋体"/>
      </w:rPr>
    </w:lvl>
    <w:lvl w:ilvl="2" w:tentative="0">
      <w:start w:val="1"/>
      <w:numFmt w:val="decimal"/>
      <w:suff w:val="nothing"/>
      <w:lvlText w:val="%3．"/>
      <w:lvlJc w:val="left"/>
      <w:pPr>
        <w:ind w:left="0" w:firstLine="400"/>
      </w:pPr>
      <w:rPr>
        <w:rFonts w:hint="eastAsia" w:ascii="宋体" w:hAnsi="宋体" w:eastAsia="宋体" w:cs="宋体"/>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3N2NlYjBmZWYwNjVhZjA5NDg3MDZlNGFlMTU1MjYifQ=="/>
  </w:docVars>
  <w:rsids>
    <w:rsidRoot w:val="6B4E251B"/>
    <w:rsid w:val="00C248EA"/>
    <w:rsid w:val="01326BDA"/>
    <w:rsid w:val="01A731C3"/>
    <w:rsid w:val="01D96B8C"/>
    <w:rsid w:val="0260323A"/>
    <w:rsid w:val="02D019F8"/>
    <w:rsid w:val="03D72A11"/>
    <w:rsid w:val="04097781"/>
    <w:rsid w:val="046F3869"/>
    <w:rsid w:val="049D365A"/>
    <w:rsid w:val="04DC00BF"/>
    <w:rsid w:val="05E80119"/>
    <w:rsid w:val="060E51B4"/>
    <w:rsid w:val="06185C88"/>
    <w:rsid w:val="06996077"/>
    <w:rsid w:val="07141A7F"/>
    <w:rsid w:val="07815D59"/>
    <w:rsid w:val="078608E3"/>
    <w:rsid w:val="07900DAA"/>
    <w:rsid w:val="08314303"/>
    <w:rsid w:val="08396D89"/>
    <w:rsid w:val="085B379F"/>
    <w:rsid w:val="0900047A"/>
    <w:rsid w:val="09804372"/>
    <w:rsid w:val="09CB6AD5"/>
    <w:rsid w:val="0A14724A"/>
    <w:rsid w:val="0A3221EC"/>
    <w:rsid w:val="0A701F7E"/>
    <w:rsid w:val="0AA51729"/>
    <w:rsid w:val="0B5F6F91"/>
    <w:rsid w:val="0BBF5BDB"/>
    <w:rsid w:val="0C931DFE"/>
    <w:rsid w:val="0D4D76DD"/>
    <w:rsid w:val="0DD16AC3"/>
    <w:rsid w:val="0E193D61"/>
    <w:rsid w:val="0E927D54"/>
    <w:rsid w:val="0EAC4449"/>
    <w:rsid w:val="0EBD27F6"/>
    <w:rsid w:val="0EC816B9"/>
    <w:rsid w:val="0F033C95"/>
    <w:rsid w:val="0F073E4C"/>
    <w:rsid w:val="0F164C1F"/>
    <w:rsid w:val="0F1D467B"/>
    <w:rsid w:val="0F792450"/>
    <w:rsid w:val="0F902FDC"/>
    <w:rsid w:val="0FE631B9"/>
    <w:rsid w:val="103A7504"/>
    <w:rsid w:val="103E4252"/>
    <w:rsid w:val="10422EE0"/>
    <w:rsid w:val="10FB558F"/>
    <w:rsid w:val="114A726B"/>
    <w:rsid w:val="115110C8"/>
    <w:rsid w:val="11692E43"/>
    <w:rsid w:val="11B96F30"/>
    <w:rsid w:val="12073C98"/>
    <w:rsid w:val="1213289A"/>
    <w:rsid w:val="127D3553"/>
    <w:rsid w:val="12C84CE6"/>
    <w:rsid w:val="12D9053E"/>
    <w:rsid w:val="13016BE2"/>
    <w:rsid w:val="131E4EDF"/>
    <w:rsid w:val="13901395"/>
    <w:rsid w:val="13C47418"/>
    <w:rsid w:val="141D25CF"/>
    <w:rsid w:val="14881589"/>
    <w:rsid w:val="14F67E0B"/>
    <w:rsid w:val="14F7441F"/>
    <w:rsid w:val="154076CE"/>
    <w:rsid w:val="158D10F8"/>
    <w:rsid w:val="15B55B7D"/>
    <w:rsid w:val="163827EF"/>
    <w:rsid w:val="172D59CF"/>
    <w:rsid w:val="176D5D55"/>
    <w:rsid w:val="177F12B5"/>
    <w:rsid w:val="182D6AAB"/>
    <w:rsid w:val="184A0A6E"/>
    <w:rsid w:val="18557447"/>
    <w:rsid w:val="18606D98"/>
    <w:rsid w:val="18887BCD"/>
    <w:rsid w:val="18C93869"/>
    <w:rsid w:val="18EB1207"/>
    <w:rsid w:val="19B3108E"/>
    <w:rsid w:val="1A0B1EDF"/>
    <w:rsid w:val="1A122CE0"/>
    <w:rsid w:val="1A364857"/>
    <w:rsid w:val="1A877E02"/>
    <w:rsid w:val="1A9016FF"/>
    <w:rsid w:val="1AD36C7F"/>
    <w:rsid w:val="1AFD6D14"/>
    <w:rsid w:val="1AFE202D"/>
    <w:rsid w:val="1B0C755C"/>
    <w:rsid w:val="1B141909"/>
    <w:rsid w:val="1B1E6554"/>
    <w:rsid w:val="1B921F16"/>
    <w:rsid w:val="1BBC0897"/>
    <w:rsid w:val="1BCD67EC"/>
    <w:rsid w:val="1BDC2DF9"/>
    <w:rsid w:val="1C5D77AA"/>
    <w:rsid w:val="1C8818A0"/>
    <w:rsid w:val="1C8E5954"/>
    <w:rsid w:val="1C8E5F7E"/>
    <w:rsid w:val="1CB519E0"/>
    <w:rsid w:val="1CBB4BE9"/>
    <w:rsid w:val="1CC3569E"/>
    <w:rsid w:val="1CEB026D"/>
    <w:rsid w:val="1DD83C2B"/>
    <w:rsid w:val="1E253994"/>
    <w:rsid w:val="1E4D5A2B"/>
    <w:rsid w:val="1E8E1638"/>
    <w:rsid w:val="1EEC0003"/>
    <w:rsid w:val="1F023644"/>
    <w:rsid w:val="1F1534DE"/>
    <w:rsid w:val="1F3870EB"/>
    <w:rsid w:val="1F771EEC"/>
    <w:rsid w:val="1F9C0AF8"/>
    <w:rsid w:val="1FCE7488"/>
    <w:rsid w:val="1FD63773"/>
    <w:rsid w:val="200F21EA"/>
    <w:rsid w:val="20532C26"/>
    <w:rsid w:val="21A0785D"/>
    <w:rsid w:val="21E722F2"/>
    <w:rsid w:val="22153193"/>
    <w:rsid w:val="221C2B5C"/>
    <w:rsid w:val="223502E5"/>
    <w:rsid w:val="227D1626"/>
    <w:rsid w:val="227F2FC9"/>
    <w:rsid w:val="229C4948"/>
    <w:rsid w:val="22B71159"/>
    <w:rsid w:val="234952D8"/>
    <w:rsid w:val="237A2559"/>
    <w:rsid w:val="23825D4C"/>
    <w:rsid w:val="24240DD8"/>
    <w:rsid w:val="24365919"/>
    <w:rsid w:val="243A0F68"/>
    <w:rsid w:val="252C12A6"/>
    <w:rsid w:val="25495812"/>
    <w:rsid w:val="2667377C"/>
    <w:rsid w:val="26842FF3"/>
    <w:rsid w:val="269D0178"/>
    <w:rsid w:val="269F37B8"/>
    <w:rsid w:val="276619EB"/>
    <w:rsid w:val="28337799"/>
    <w:rsid w:val="286C7DC8"/>
    <w:rsid w:val="28D4483D"/>
    <w:rsid w:val="2974070E"/>
    <w:rsid w:val="298A4DF2"/>
    <w:rsid w:val="29963779"/>
    <w:rsid w:val="2A0B015B"/>
    <w:rsid w:val="2A4633BC"/>
    <w:rsid w:val="2AB25F2C"/>
    <w:rsid w:val="2AB87717"/>
    <w:rsid w:val="2B202CEA"/>
    <w:rsid w:val="2B4B1E7D"/>
    <w:rsid w:val="2B8D16BD"/>
    <w:rsid w:val="2BB17842"/>
    <w:rsid w:val="2C030FD3"/>
    <w:rsid w:val="2C812BDF"/>
    <w:rsid w:val="2CA01B8F"/>
    <w:rsid w:val="2CE25AF1"/>
    <w:rsid w:val="2DC55778"/>
    <w:rsid w:val="2E07789B"/>
    <w:rsid w:val="2E0A3F2F"/>
    <w:rsid w:val="2E495E85"/>
    <w:rsid w:val="2E722E25"/>
    <w:rsid w:val="2E976B8C"/>
    <w:rsid w:val="2F250054"/>
    <w:rsid w:val="2F710BC6"/>
    <w:rsid w:val="2F7E4ECF"/>
    <w:rsid w:val="2F8C4219"/>
    <w:rsid w:val="2FC95362"/>
    <w:rsid w:val="30D03AB3"/>
    <w:rsid w:val="30D86165"/>
    <w:rsid w:val="30DC2B4C"/>
    <w:rsid w:val="31056983"/>
    <w:rsid w:val="31D74FCB"/>
    <w:rsid w:val="31F207A7"/>
    <w:rsid w:val="32244B42"/>
    <w:rsid w:val="322D085C"/>
    <w:rsid w:val="324D28B2"/>
    <w:rsid w:val="330E4596"/>
    <w:rsid w:val="334021E7"/>
    <w:rsid w:val="338B234A"/>
    <w:rsid w:val="339E1F6C"/>
    <w:rsid w:val="33A71AE7"/>
    <w:rsid w:val="343E5895"/>
    <w:rsid w:val="34C55C0B"/>
    <w:rsid w:val="35284C04"/>
    <w:rsid w:val="35CF4106"/>
    <w:rsid w:val="35D064D0"/>
    <w:rsid w:val="35D964A6"/>
    <w:rsid w:val="36324826"/>
    <w:rsid w:val="36550386"/>
    <w:rsid w:val="366A490A"/>
    <w:rsid w:val="36F752E9"/>
    <w:rsid w:val="37265BDD"/>
    <w:rsid w:val="37377B2E"/>
    <w:rsid w:val="379B370C"/>
    <w:rsid w:val="37B76B13"/>
    <w:rsid w:val="37DD5CA6"/>
    <w:rsid w:val="382216D5"/>
    <w:rsid w:val="383035B7"/>
    <w:rsid w:val="38EB1B25"/>
    <w:rsid w:val="38F4669B"/>
    <w:rsid w:val="39D35097"/>
    <w:rsid w:val="3A10576F"/>
    <w:rsid w:val="3A233B90"/>
    <w:rsid w:val="3A317B52"/>
    <w:rsid w:val="3B204FBA"/>
    <w:rsid w:val="3B2E2848"/>
    <w:rsid w:val="3B612B34"/>
    <w:rsid w:val="3C2F4FE6"/>
    <w:rsid w:val="3CDC1EE8"/>
    <w:rsid w:val="3D161ABA"/>
    <w:rsid w:val="3D4B5517"/>
    <w:rsid w:val="3E320D89"/>
    <w:rsid w:val="3EF43BA1"/>
    <w:rsid w:val="3F1402B7"/>
    <w:rsid w:val="3F72515E"/>
    <w:rsid w:val="3FC020BB"/>
    <w:rsid w:val="3FD504CA"/>
    <w:rsid w:val="3FEA526A"/>
    <w:rsid w:val="40D26909"/>
    <w:rsid w:val="416E6BB3"/>
    <w:rsid w:val="419E4400"/>
    <w:rsid w:val="420A7C04"/>
    <w:rsid w:val="420E5B04"/>
    <w:rsid w:val="42776112"/>
    <w:rsid w:val="42806848"/>
    <w:rsid w:val="429B1DA2"/>
    <w:rsid w:val="42D86B55"/>
    <w:rsid w:val="43003BB7"/>
    <w:rsid w:val="431A7CF4"/>
    <w:rsid w:val="439E0787"/>
    <w:rsid w:val="44071C28"/>
    <w:rsid w:val="44653819"/>
    <w:rsid w:val="4497145E"/>
    <w:rsid w:val="44BF7269"/>
    <w:rsid w:val="44E22D06"/>
    <w:rsid w:val="454A473A"/>
    <w:rsid w:val="45D94BF5"/>
    <w:rsid w:val="46175E08"/>
    <w:rsid w:val="462C2765"/>
    <w:rsid w:val="4732739E"/>
    <w:rsid w:val="473B2959"/>
    <w:rsid w:val="47B37E9F"/>
    <w:rsid w:val="47BB4D68"/>
    <w:rsid w:val="47EE0E61"/>
    <w:rsid w:val="48865C0D"/>
    <w:rsid w:val="48F90636"/>
    <w:rsid w:val="490C4E58"/>
    <w:rsid w:val="4929138A"/>
    <w:rsid w:val="492A3FC8"/>
    <w:rsid w:val="497C5606"/>
    <w:rsid w:val="49A70A31"/>
    <w:rsid w:val="49F27B37"/>
    <w:rsid w:val="4A371240"/>
    <w:rsid w:val="4A4060F4"/>
    <w:rsid w:val="4A4E7404"/>
    <w:rsid w:val="4A500066"/>
    <w:rsid w:val="4A5F6C0D"/>
    <w:rsid w:val="4A801853"/>
    <w:rsid w:val="4AAE3E69"/>
    <w:rsid w:val="4AB50DD7"/>
    <w:rsid w:val="4AD16D6D"/>
    <w:rsid w:val="4B9D3A94"/>
    <w:rsid w:val="4BFD53A1"/>
    <w:rsid w:val="4C5B0F7D"/>
    <w:rsid w:val="4CAD16D4"/>
    <w:rsid w:val="4CF94D77"/>
    <w:rsid w:val="4D69E23E"/>
    <w:rsid w:val="4D7B2B30"/>
    <w:rsid w:val="4D846763"/>
    <w:rsid w:val="4D972FEB"/>
    <w:rsid w:val="4DBF5A20"/>
    <w:rsid w:val="4DD612C0"/>
    <w:rsid w:val="4E6817BE"/>
    <w:rsid w:val="4EF54EFE"/>
    <w:rsid w:val="4F024EE8"/>
    <w:rsid w:val="4F995841"/>
    <w:rsid w:val="4FB033F6"/>
    <w:rsid w:val="4FBC49B8"/>
    <w:rsid w:val="4FF91018"/>
    <w:rsid w:val="50111790"/>
    <w:rsid w:val="50C61A83"/>
    <w:rsid w:val="51965A15"/>
    <w:rsid w:val="51AD729E"/>
    <w:rsid w:val="52F55A85"/>
    <w:rsid w:val="53847D93"/>
    <w:rsid w:val="540756D3"/>
    <w:rsid w:val="540B3BFF"/>
    <w:rsid w:val="54900729"/>
    <w:rsid w:val="5496745E"/>
    <w:rsid w:val="54B5185E"/>
    <w:rsid w:val="54CF26D0"/>
    <w:rsid w:val="55312D02"/>
    <w:rsid w:val="554031C1"/>
    <w:rsid w:val="5545219F"/>
    <w:rsid w:val="554D11B1"/>
    <w:rsid w:val="55833ADA"/>
    <w:rsid w:val="55C91BE6"/>
    <w:rsid w:val="55EE656B"/>
    <w:rsid w:val="561C7DCC"/>
    <w:rsid w:val="56590F72"/>
    <w:rsid w:val="56F41EBD"/>
    <w:rsid w:val="570E4B3C"/>
    <w:rsid w:val="57857C72"/>
    <w:rsid w:val="57B621E9"/>
    <w:rsid w:val="58235E75"/>
    <w:rsid w:val="583614A2"/>
    <w:rsid w:val="588209B4"/>
    <w:rsid w:val="58F032A3"/>
    <w:rsid w:val="5A164E68"/>
    <w:rsid w:val="5A6A1BBC"/>
    <w:rsid w:val="5A790228"/>
    <w:rsid w:val="5AFA7A99"/>
    <w:rsid w:val="5B3F7532"/>
    <w:rsid w:val="5BB23F66"/>
    <w:rsid w:val="5C4E644E"/>
    <w:rsid w:val="5D0B7577"/>
    <w:rsid w:val="5D445FEF"/>
    <w:rsid w:val="5E567538"/>
    <w:rsid w:val="5E703E05"/>
    <w:rsid w:val="5F2B0D34"/>
    <w:rsid w:val="5F4A2F47"/>
    <w:rsid w:val="5FD079BC"/>
    <w:rsid w:val="60336EA6"/>
    <w:rsid w:val="607060D8"/>
    <w:rsid w:val="609B0E4A"/>
    <w:rsid w:val="60EA4E93"/>
    <w:rsid w:val="6101242E"/>
    <w:rsid w:val="614B7367"/>
    <w:rsid w:val="61AF552A"/>
    <w:rsid w:val="61BF67AC"/>
    <w:rsid w:val="61E1522A"/>
    <w:rsid w:val="61ED3455"/>
    <w:rsid w:val="623241B7"/>
    <w:rsid w:val="62DD052C"/>
    <w:rsid w:val="62E41092"/>
    <w:rsid w:val="62E7172B"/>
    <w:rsid w:val="63EA4DF9"/>
    <w:rsid w:val="64672550"/>
    <w:rsid w:val="65174E9F"/>
    <w:rsid w:val="655422C1"/>
    <w:rsid w:val="659A2704"/>
    <w:rsid w:val="65E051A8"/>
    <w:rsid w:val="66261EE0"/>
    <w:rsid w:val="6651293A"/>
    <w:rsid w:val="67571D08"/>
    <w:rsid w:val="6801169D"/>
    <w:rsid w:val="681261A8"/>
    <w:rsid w:val="68306BE0"/>
    <w:rsid w:val="68394457"/>
    <w:rsid w:val="692333C9"/>
    <w:rsid w:val="69E17375"/>
    <w:rsid w:val="6A025881"/>
    <w:rsid w:val="6A1F1D4F"/>
    <w:rsid w:val="6A220324"/>
    <w:rsid w:val="6B467126"/>
    <w:rsid w:val="6B4E251B"/>
    <w:rsid w:val="6B6428C2"/>
    <w:rsid w:val="6BA53265"/>
    <w:rsid w:val="6BE91365"/>
    <w:rsid w:val="6BF32B6E"/>
    <w:rsid w:val="6C44515F"/>
    <w:rsid w:val="6CCE5AB0"/>
    <w:rsid w:val="6CF81AB6"/>
    <w:rsid w:val="6D074E53"/>
    <w:rsid w:val="6D09723B"/>
    <w:rsid w:val="6D352990"/>
    <w:rsid w:val="6D5F6F39"/>
    <w:rsid w:val="6D6262BA"/>
    <w:rsid w:val="6D7C3309"/>
    <w:rsid w:val="6ECF4907"/>
    <w:rsid w:val="6F165887"/>
    <w:rsid w:val="6F520FC0"/>
    <w:rsid w:val="6F7436EA"/>
    <w:rsid w:val="6F9A459E"/>
    <w:rsid w:val="6FBE2782"/>
    <w:rsid w:val="6FFE5E70"/>
    <w:rsid w:val="70130776"/>
    <w:rsid w:val="7042127A"/>
    <w:rsid w:val="70465602"/>
    <w:rsid w:val="71124F35"/>
    <w:rsid w:val="711F4E31"/>
    <w:rsid w:val="713A1016"/>
    <w:rsid w:val="71995088"/>
    <w:rsid w:val="71B467FB"/>
    <w:rsid w:val="7210126C"/>
    <w:rsid w:val="721F1073"/>
    <w:rsid w:val="722A16A6"/>
    <w:rsid w:val="72C709F5"/>
    <w:rsid w:val="72FA2B18"/>
    <w:rsid w:val="738713B7"/>
    <w:rsid w:val="739B68C7"/>
    <w:rsid w:val="73B510ED"/>
    <w:rsid w:val="748A3C51"/>
    <w:rsid w:val="74936301"/>
    <w:rsid w:val="74F329BC"/>
    <w:rsid w:val="75423E65"/>
    <w:rsid w:val="75576CBB"/>
    <w:rsid w:val="75714702"/>
    <w:rsid w:val="75E85738"/>
    <w:rsid w:val="75FA69EB"/>
    <w:rsid w:val="7687045F"/>
    <w:rsid w:val="76872831"/>
    <w:rsid w:val="76DA230E"/>
    <w:rsid w:val="773B263C"/>
    <w:rsid w:val="77747281"/>
    <w:rsid w:val="77DF2BF1"/>
    <w:rsid w:val="77E51F5A"/>
    <w:rsid w:val="780B35BD"/>
    <w:rsid w:val="783C1039"/>
    <w:rsid w:val="78482447"/>
    <w:rsid w:val="789345DC"/>
    <w:rsid w:val="796B14CB"/>
    <w:rsid w:val="79CA5D19"/>
    <w:rsid w:val="79D016AD"/>
    <w:rsid w:val="79E126D7"/>
    <w:rsid w:val="7A752CEE"/>
    <w:rsid w:val="7A8D2EC7"/>
    <w:rsid w:val="7AE95911"/>
    <w:rsid w:val="7B0A42A1"/>
    <w:rsid w:val="7B2E47D0"/>
    <w:rsid w:val="7B996491"/>
    <w:rsid w:val="7C3A6890"/>
    <w:rsid w:val="7C754540"/>
    <w:rsid w:val="7CF977A5"/>
    <w:rsid w:val="7DF87F08"/>
    <w:rsid w:val="7DFC6011"/>
    <w:rsid w:val="7E0B71DD"/>
    <w:rsid w:val="7E1C19CB"/>
    <w:rsid w:val="7E720456"/>
    <w:rsid w:val="7E7830D6"/>
    <w:rsid w:val="7EBC7738"/>
    <w:rsid w:val="7EDB4B4D"/>
    <w:rsid w:val="7F293A90"/>
    <w:rsid w:val="7F2C240D"/>
    <w:rsid w:val="7F4478D1"/>
    <w:rsid w:val="7F5849FB"/>
    <w:rsid w:val="7F7B11DA"/>
    <w:rsid w:val="7F9C6C21"/>
    <w:rsid w:val="7FC3101E"/>
    <w:rsid w:val="DFED1FBF"/>
    <w:rsid w:val="EBF0F304"/>
    <w:rsid w:val="EBFF2940"/>
    <w:rsid w:val="F1364AD9"/>
    <w:rsid w:val="FA7FA69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line="576" w:lineRule="auto"/>
      <w:outlineLvl w:val="0"/>
    </w:pPr>
    <w:rPr>
      <w:b/>
      <w:kern w:val="44"/>
      <w:sz w:val="44"/>
    </w:rPr>
  </w:style>
  <w:style w:type="paragraph" w:styleId="2">
    <w:name w:val="heading 2"/>
    <w:basedOn w:val="1"/>
    <w:next w:val="1"/>
    <w:unhideWhenUsed/>
    <w:qFormat/>
    <w:uiPriority w:val="0"/>
    <w:pPr>
      <w:keepNext/>
      <w:keepLines/>
      <w:numPr>
        <w:ilvl w:val="1"/>
        <w:numId w:val="1"/>
      </w:numPr>
      <w:spacing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ascii="Calibri" w:hAnsi="Calibri" w:eastAsia="宋体"/>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qFormat/>
    <w:uiPriority w:val="0"/>
    <w:pPr>
      <w:ind w:left="420" w:leftChars="200"/>
    </w:p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2">
    <w:name w:val="page number"/>
    <w:basedOn w:val="11"/>
    <w:qFormat/>
    <w:uiPriority w:val="0"/>
  </w:style>
  <w:style w:type="character" w:styleId="13">
    <w:name w:val="FollowedHyperlink"/>
    <w:basedOn w:val="11"/>
    <w:qFormat/>
    <w:uiPriority w:val="0"/>
    <w:rPr>
      <w:color w:val="000000"/>
      <w:u w:val="single"/>
    </w:rPr>
  </w:style>
  <w:style w:type="character" w:styleId="14">
    <w:name w:val="Hyperlink"/>
    <w:basedOn w:val="11"/>
    <w:qFormat/>
    <w:uiPriority w:val="0"/>
    <w:rPr>
      <w:color w:val="000000"/>
      <w:u w:val="single"/>
    </w:rPr>
  </w:style>
  <w:style w:type="character" w:styleId="15">
    <w:name w:val="HTML Code"/>
    <w:basedOn w:val="11"/>
    <w:qFormat/>
    <w:uiPriority w:val="0"/>
    <w:rPr>
      <w:rFonts w:ascii="Courier New" w:hAnsi="Courier New"/>
      <w:sz w:val="20"/>
    </w:rPr>
  </w:style>
  <w:style w:type="paragraph" w:customStyle="1" w:styleId="16">
    <w:name w:val="附录二级条标题 Char"/>
    <w:basedOn w:val="17"/>
    <w:next w:val="1"/>
    <w:qFormat/>
    <w:uiPriority w:val="0"/>
    <w:pPr>
      <w:numPr>
        <w:ilvl w:val="3"/>
      </w:numPr>
      <w:outlineLvl w:val="3"/>
    </w:pPr>
  </w:style>
  <w:style w:type="paragraph" w:customStyle="1" w:styleId="17">
    <w:name w:val="附录一级条标题 Char"/>
    <w:basedOn w:val="18"/>
    <w:next w:val="1"/>
    <w:qFormat/>
    <w:uiPriority w:val="0"/>
    <w:pPr>
      <w:numPr>
        <w:ilvl w:val="2"/>
      </w:numPr>
      <w:autoSpaceDN w:val="0"/>
      <w:spacing w:beforeLines="0" w:afterLines="0"/>
      <w:outlineLvl w:val="2"/>
    </w:pPr>
  </w:style>
  <w:style w:type="paragraph" w:customStyle="1" w:styleId="18">
    <w:name w:val="附录章标题 Char"/>
    <w:next w:val="1"/>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character" w:customStyle="1" w:styleId="19">
    <w:name w:val="active2"/>
    <w:basedOn w:val="11"/>
    <w:qFormat/>
    <w:uiPriority w:val="0"/>
    <w:rPr>
      <w:color w:val="333333"/>
    </w:rPr>
  </w:style>
  <w:style w:type="character" w:customStyle="1" w:styleId="20">
    <w:name w:val="active"/>
    <w:basedOn w:val="11"/>
    <w:qFormat/>
    <w:uiPriority w:val="0"/>
    <w:rPr>
      <w:color w:val="333333"/>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2712</Words>
  <Characters>2816</Characters>
  <Lines>0</Lines>
  <Paragraphs>0</Paragraphs>
  <TotalTime>21</TotalTime>
  <ScaleCrop>false</ScaleCrop>
  <LinksUpToDate>false</LinksUpToDate>
  <CharactersWithSpaces>3183</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2020-07-02T23:31:00Z</dcterms:created>
  <dc:creator>lcl</dc:creator>
  <cp:lastModifiedBy>冯彩婷</cp:lastModifiedBy>
  <cp:lastPrinted>2024-09-26T08:26:00Z</cp:lastPrinted>
  <dcterms:modified xsi:type="dcterms:W3CDTF">2024-10-31T07:59:06Z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88F8A8FF75714532ABEF6938000FB0DB_13</vt:lpwstr>
  </property>
</Properties>
</file>