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建筑业企业申报材料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一、《法人单位基本情况》（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MLK101-1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表）和《产业活动单位基本情况》（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MLK101-2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二、营业执照或法人登记证书复印件；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三、截至申报期最近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个月的财务报表（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资产负债表和利润表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四、带有“建筑业企业资质证书”字样和住建部门公章页面的建筑业企业资质证书复印件；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五、增值税纳税申报表及增值税纳税申报表附列资料（表一）；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1575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六、</w:t>
      </w:r>
      <w:r>
        <w:rPr>
          <w:rFonts w:eastAsia="仿宋_GB2312"/>
          <w:sz w:val="32"/>
          <w:szCs w:val="32"/>
        </w:rPr>
        <w:t>营业执照及商事登记平台经营范围首位须为房屋建筑业、土木工程建筑业、建筑安装业、建筑装饰业等建筑业行业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080"/>
          <w:tab w:val="left" w:pos="1575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七、其他辅助材料（近期合同台账、近期工程合同关键页等）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以上所有材料需加盖单位公章。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44434"/>
    <w:rsid w:val="07D70425"/>
    <w:rsid w:val="089706EF"/>
    <w:rsid w:val="099C3CC5"/>
    <w:rsid w:val="203462F5"/>
    <w:rsid w:val="27005E15"/>
    <w:rsid w:val="2AFF3E0F"/>
    <w:rsid w:val="33394EEE"/>
    <w:rsid w:val="3D0F17F2"/>
    <w:rsid w:val="40174FBF"/>
    <w:rsid w:val="587502B4"/>
    <w:rsid w:val="6BB075DF"/>
    <w:rsid w:val="72B666A4"/>
    <w:rsid w:val="7E9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2022-10-10T09:37:00Z</dcterms:created>
  <dc:creator>75642</dc:creator>
  <cp:lastModifiedBy>不吃鱼的猫</cp:lastModifiedBy>
  <cp:lastPrinted>2023-09-18T08:23:48Z</cp:lastPrinted>
  <dcterms:modified xsi:type="dcterms:W3CDTF">2023-09-18T08:23:50Z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C267B85FA58F46B7A227310794DAF14A</vt:lpwstr>
  </property>
</Properties>
</file>