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outlineLvl w:val="0"/>
        <w:rPr>
          <w:rFonts w:hint="default" w:ascii="黑体" w:hAnsi="黑体" w:eastAsia="黑体"/>
          <w:sz w:val="32"/>
          <w:szCs w:val="32"/>
          <w:lang w:val="en-US" w:eastAsia="zh-CN"/>
        </w:rPr>
      </w:pPr>
      <w:r>
        <w:rPr>
          <w:rFonts w:ascii="黑体" w:hAnsi="黑体" w:eastAsia="黑体"/>
          <w:sz w:val="32"/>
          <w:szCs w:val="32"/>
        </w:rPr>
        <w:t>附件</w:t>
      </w:r>
    </w:p>
    <w:p>
      <w:pPr>
        <w:jc w:val="center"/>
        <w:outlineLvl w:val="0"/>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《广州南沙新区（自贸片区）推动元宇宙生态发展九条措施（修订稿）》（征求意见稿）等政策</w:t>
      </w:r>
    </w:p>
    <w:p>
      <w:pPr>
        <w:jc w:val="center"/>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公众意见回复情况汇总表</w:t>
      </w:r>
    </w:p>
    <w:tbl>
      <w:tblPr>
        <w:tblStyle w:val="9"/>
        <w:tblW w:w="13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0"/>
        <w:gridCol w:w="6379"/>
        <w:gridCol w:w="4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22" w:type="dxa"/>
            <w:tcBorders>
              <w:left w:val="single" w:color="auto" w:sz="4" w:space="0"/>
              <w:right w:val="single" w:color="auto" w:sz="4" w:space="0"/>
            </w:tcBorders>
            <w:shd w:val="clear" w:color="auto" w:fill="8DB3E2"/>
            <w:vAlign w:val="center"/>
          </w:tcPr>
          <w:p>
            <w:pPr>
              <w:jc w:val="center"/>
              <w:rPr>
                <w:rFonts w:ascii="Times New Roman" w:hAnsi="Times New Roman" w:eastAsia="黑体"/>
                <w:sz w:val="24"/>
              </w:rPr>
            </w:pPr>
            <w:r>
              <w:rPr>
                <w:rFonts w:ascii="Times New Roman" w:hAnsi="Times New Roman" w:eastAsia="黑体"/>
                <w:sz w:val="24"/>
              </w:rPr>
              <w:t>单位</w:t>
            </w:r>
          </w:p>
        </w:tc>
        <w:tc>
          <w:tcPr>
            <w:tcW w:w="850" w:type="dxa"/>
            <w:tcBorders>
              <w:left w:val="single" w:color="auto" w:sz="4" w:space="0"/>
              <w:right w:val="single" w:color="auto" w:sz="4" w:space="0"/>
            </w:tcBorders>
            <w:shd w:val="clear" w:color="auto" w:fill="8DB3E2"/>
            <w:vAlign w:val="center"/>
          </w:tcPr>
          <w:p>
            <w:pPr>
              <w:jc w:val="center"/>
              <w:rPr>
                <w:rFonts w:ascii="Times New Roman" w:hAnsi="Times New Roman" w:eastAsia="黑体"/>
                <w:sz w:val="24"/>
              </w:rPr>
            </w:pPr>
            <w:r>
              <w:rPr>
                <w:rFonts w:ascii="Times New Roman" w:hAnsi="Times New Roman" w:eastAsia="黑体"/>
                <w:sz w:val="24"/>
              </w:rPr>
              <w:t>序号</w:t>
            </w:r>
          </w:p>
        </w:tc>
        <w:tc>
          <w:tcPr>
            <w:tcW w:w="6379" w:type="dxa"/>
            <w:tcBorders>
              <w:left w:val="single" w:color="auto" w:sz="4" w:space="0"/>
              <w:right w:val="single" w:color="auto" w:sz="4" w:space="0"/>
            </w:tcBorders>
            <w:shd w:val="clear" w:color="auto" w:fill="8DB3E2"/>
            <w:vAlign w:val="center"/>
          </w:tcPr>
          <w:p>
            <w:pPr>
              <w:jc w:val="center"/>
              <w:rPr>
                <w:rFonts w:ascii="Times New Roman" w:hAnsi="Times New Roman" w:eastAsia="黑体"/>
                <w:sz w:val="24"/>
              </w:rPr>
            </w:pPr>
            <w:r>
              <w:rPr>
                <w:rFonts w:ascii="Times New Roman" w:hAnsi="Times New Roman" w:eastAsia="黑体"/>
                <w:sz w:val="24"/>
              </w:rPr>
              <w:t>反馈意见</w:t>
            </w:r>
          </w:p>
        </w:tc>
        <w:tc>
          <w:tcPr>
            <w:tcW w:w="4642" w:type="dxa"/>
            <w:tcBorders>
              <w:left w:val="single" w:color="auto" w:sz="4" w:space="0"/>
            </w:tcBorders>
            <w:shd w:val="clear" w:color="auto" w:fill="8DB3E2"/>
          </w:tcPr>
          <w:p>
            <w:pPr>
              <w:jc w:val="center"/>
              <w:rPr>
                <w:rFonts w:ascii="Times New Roman" w:hAnsi="Times New Roman" w:eastAsia="黑体"/>
                <w:sz w:val="24"/>
              </w:rPr>
            </w:pPr>
            <w:r>
              <w:rPr>
                <w:rFonts w:ascii="Times New Roman" w:hAnsi="Times New Roman" w:eastAsia="黑体"/>
                <w:sz w:val="24"/>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2122" w:type="dxa"/>
            <w:vMerge w:val="restart"/>
            <w:tcBorders>
              <w:left w:val="single" w:color="auto" w:sz="4" w:space="0"/>
              <w:right w:val="single" w:color="auto" w:sz="4" w:space="0"/>
            </w:tcBorders>
            <w:vAlign w:val="center"/>
          </w:tcPr>
          <w:p>
            <w:pPr>
              <w:adjustRightInd w:val="0"/>
              <w:snapToGrid w:val="0"/>
              <w:jc w:val="center"/>
              <w:rPr>
                <w:rFonts w:hint="eastAsia" w:ascii="仿宋_GB2312" w:eastAsia="仿宋_GB2312"/>
                <w:b w:val="0"/>
                <w:bCs w:val="0"/>
                <w:sz w:val="24"/>
                <w:szCs w:val="32"/>
                <w:lang w:val="en-US" w:eastAsia="zh-CN"/>
              </w:rPr>
            </w:pPr>
            <w:r>
              <w:rPr>
                <w:rFonts w:hint="eastAsia" w:ascii="仿宋_GB2312" w:eastAsia="仿宋_GB2312"/>
                <w:b w:val="0"/>
                <w:bCs w:val="0"/>
                <w:sz w:val="24"/>
                <w:szCs w:val="32"/>
                <w:lang w:val="en-US" w:eastAsia="zh-CN"/>
              </w:rPr>
              <w:t>广东奥飞数据科技股份有限公司</w:t>
            </w:r>
          </w:p>
          <w:p>
            <w:pPr>
              <w:adjustRightInd w:val="0"/>
              <w:snapToGrid w:val="0"/>
              <w:jc w:val="center"/>
              <w:rPr>
                <w:rFonts w:ascii="Times New Roman" w:hAnsi="Times New Roman" w:eastAsia="仿宋_GB2312"/>
                <w:sz w:val="24"/>
              </w:rPr>
            </w:pPr>
          </w:p>
        </w:tc>
        <w:tc>
          <w:tcPr>
            <w:tcW w:w="850" w:type="dxa"/>
            <w:tcBorders>
              <w:left w:val="single" w:color="auto" w:sz="4" w:space="0"/>
              <w:right w:val="single" w:color="auto" w:sz="4" w:space="0"/>
            </w:tcBorders>
            <w:vAlign w:val="center"/>
          </w:tcPr>
          <w:p>
            <w:pPr>
              <w:jc w:val="center"/>
              <w:rPr>
                <w:rFonts w:ascii="Times New Roman" w:hAnsi="Times New Roman" w:eastAsia="仿宋_GB2312"/>
                <w:sz w:val="24"/>
              </w:rPr>
            </w:pPr>
            <w:r>
              <w:rPr>
                <w:rFonts w:hint="eastAsia" w:ascii="Times New Roman" w:hAnsi="Times New Roman" w:eastAsia="仿宋_GB2312"/>
                <w:sz w:val="24"/>
              </w:rPr>
              <w:t>1</w:t>
            </w:r>
          </w:p>
        </w:tc>
        <w:tc>
          <w:tcPr>
            <w:tcW w:w="6379" w:type="dxa"/>
            <w:tcBorders>
              <w:left w:val="single" w:color="auto" w:sz="4" w:space="0"/>
              <w:right w:val="single" w:color="auto" w:sz="4" w:space="0"/>
            </w:tcBorders>
            <w:vAlign w:val="top"/>
          </w:tcPr>
          <w:p>
            <w:pPr>
              <w:bidi w:val="0"/>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建议适当降低《广州南沙新区（自贸片区）推动元宇宙生态发展九条措施实施细则（修订稿）》第二章技术攻关支持中对民营企业项目负责人的学历学位和职称要求。</w:t>
            </w:r>
          </w:p>
        </w:tc>
        <w:tc>
          <w:tcPr>
            <w:tcW w:w="4642" w:type="dxa"/>
            <w:tcBorders>
              <w:left w:val="single" w:color="auto" w:sz="4" w:space="0"/>
            </w:tcBorders>
            <w:vAlign w:val="center"/>
          </w:tcPr>
          <w:p>
            <w:pPr>
              <w:adjustRightInd w:val="0"/>
              <w:snapToGrid w:val="0"/>
              <w:rPr>
                <w:rFonts w:hint="eastAsia" w:ascii="Times New Roman" w:hAnsi="Times New Roman" w:eastAsia="仿宋_GB2312"/>
                <w:sz w:val="24"/>
                <w:lang w:eastAsia="zh-CN"/>
              </w:rPr>
            </w:pPr>
            <w:r>
              <w:rPr>
                <w:rFonts w:hint="eastAsia" w:ascii="仿宋_GB2312" w:hAnsi="Times New Roman" w:eastAsia="仿宋_GB2312"/>
                <w:sz w:val="24"/>
              </w:rPr>
              <w:t>不采纳，理由如下：</w:t>
            </w:r>
            <w:r>
              <w:rPr>
                <w:rFonts w:hint="eastAsia" w:ascii="仿宋_GB2312" w:hAnsi="Times New Roman" w:eastAsia="仿宋_GB2312"/>
                <w:sz w:val="24"/>
                <w:lang w:eastAsia="zh-CN"/>
              </w:rPr>
              <w:t>第二章中没有对民营企业项目负责人设置学历学位和职称要求。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22"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850" w:type="dxa"/>
            <w:tcBorders>
              <w:left w:val="single" w:color="auto" w:sz="4" w:space="0"/>
              <w:right w:val="single" w:color="auto" w:sz="4" w:space="0"/>
            </w:tcBorders>
            <w:vAlign w:val="center"/>
          </w:tcPr>
          <w:p>
            <w:pPr>
              <w:jc w:val="center"/>
              <w:rPr>
                <w:rFonts w:ascii="Times New Roman" w:hAnsi="Times New Roman" w:eastAsia="仿宋_GB2312"/>
                <w:sz w:val="24"/>
              </w:rPr>
            </w:pPr>
            <w:r>
              <w:rPr>
                <w:rFonts w:hint="eastAsia" w:ascii="Times New Roman" w:hAnsi="Times New Roman" w:eastAsia="仿宋_GB2312"/>
                <w:sz w:val="24"/>
              </w:rPr>
              <w:t>2</w:t>
            </w:r>
          </w:p>
        </w:tc>
        <w:tc>
          <w:tcPr>
            <w:tcW w:w="6379" w:type="dxa"/>
            <w:tcBorders>
              <w:left w:val="single" w:color="auto" w:sz="4" w:space="0"/>
              <w:right w:val="single" w:color="auto" w:sz="4" w:space="0"/>
            </w:tcBorders>
            <w:vAlign w:val="top"/>
          </w:tcPr>
          <w:p>
            <w:pPr>
              <w:numPr>
                <w:ilvl w:val="0"/>
                <w:numId w:val="0"/>
              </w:numPr>
              <w:bidi w:val="0"/>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建议《广州南沙新区（自贸片区）推动元宇宙生态发展九条措施实施细则（修订稿）》第五章根据企业收入情况，灵活设置研发占比的要求。对于营业收入规模较大的企业，比如超过10亿元，较难实现研发占比6%的最低门槛要求。对于此类企业，可以直接设置定额的门槛，比如研发费超过3000万元即可申报</w:t>
            </w:r>
          </w:p>
        </w:tc>
        <w:tc>
          <w:tcPr>
            <w:tcW w:w="4642" w:type="dxa"/>
            <w:tcBorders>
              <w:left w:val="single" w:color="auto" w:sz="4" w:space="0"/>
            </w:tcBorders>
            <w:vAlign w:val="center"/>
          </w:tcPr>
          <w:p>
            <w:pPr>
              <w:adjustRightInd w:val="0"/>
              <w:snapToGrid w:val="0"/>
              <w:rPr>
                <w:rFonts w:hint="eastAsia" w:ascii="Times New Roman" w:hAnsi="Times New Roman" w:eastAsia="仿宋_GB2312"/>
                <w:sz w:val="24"/>
                <w:lang w:eastAsia="zh-CN"/>
              </w:rPr>
            </w:pPr>
            <w:r>
              <w:rPr>
                <w:rFonts w:hint="eastAsia" w:ascii="仿宋_GB2312" w:hAnsi="Times New Roman" w:eastAsia="仿宋_GB2312"/>
                <w:sz w:val="24"/>
              </w:rPr>
              <w:t>不采纳，理由如下：</w:t>
            </w:r>
            <w:r>
              <w:rPr>
                <w:rFonts w:hint="eastAsia" w:ascii="仿宋_GB2312" w:hAnsi="Times New Roman" w:eastAsia="仿宋_GB2312"/>
                <w:sz w:val="24"/>
                <w:lang w:eastAsia="zh-CN"/>
              </w:rPr>
              <w:t>根据《公平竞争审查条例》第十条起草单位起草的政策措施，没有法律、行政法规依据或者未经国务院批准，不得含有下列影响生产经营成本的内容：（二）给予特定经营者选择性、差异化的财政奖励或者补贴；如针对营收规模较大的企业设置额外定额标准将违反《公平竞争审查条例》，对中小规模企业有失公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22"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850" w:type="dxa"/>
            <w:tcBorders>
              <w:left w:val="single" w:color="auto" w:sz="4" w:space="0"/>
              <w:right w:val="single" w:color="auto" w:sz="4" w:space="0"/>
            </w:tcBorders>
            <w:vAlign w:val="center"/>
          </w:tcPr>
          <w:p>
            <w:pPr>
              <w:jc w:val="center"/>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3</w:t>
            </w:r>
          </w:p>
        </w:tc>
        <w:tc>
          <w:tcPr>
            <w:tcW w:w="6379" w:type="dxa"/>
            <w:tcBorders>
              <w:left w:val="single" w:color="auto" w:sz="4" w:space="0"/>
              <w:right w:val="single" w:color="auto" w:sz="4" w:space="0"/>
            </w:tcBorders>
            <w:vAlign w:val="top"/>
          </w:tcPr>
          <w:p>
            <w:pPr>
              <w:numPr>
                <w:ilvl w:val="0"/>
                <w:numId w:val="0"/>
              </w:numPr>
              <w:bidi w:val="0"/>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建议《广州南沙新区（自贸片区）推动元宇宙生态发展九条措施实施细则（修订稿）》第六章取消“申报单位不能与所申报的场景提供单位为同一单位”的要求。对于技术能力较强且有应用场景需求的企业，可以不用委托非关联方进行场景建设。通过自身技术团队和技术条件，完成应用场景的建设，并实现示范带动作用。</w:t>
            </w:r>
          </w:p>
        </w:tc>
        <w:tc>
          <w:tcPr>
            <w:tcW w:w="4642" w:type="dxa"/>
            <w:tcBorders>
              <w:left w:val="single" w:color="auto" w:sz="4" w:space="0"/>
            </w:tcBorders>
            <w:vAlign w:val="center"/>
          </w:tcPr>
          <w:p>
            <w:pPr>
              <w:adjustRightInd w:val="0"/>
              <w:snapToGrid w:val="0"/>
              <w:jc w:val="center"/>
              <w:rPr>
                <w:rFonts w:hint="eastAsia" w:ascii="Times New Roman" w:hAnsi="Times New Roman" w:eastAsia="仿宋_GB2312"/>
                <w:sz w:val="24"/>
                <w:lang w:eastAsia="zh-CN"/>
              </w:rPr>
            </w:pPr>
            <w:r>
              <w:rPr>
                <w:rFonts w:hint="eastAsia" w:ascii="Times New Roman" w:hAnsi="Times New Roman" w:eastAsia="仿宋_GB2312"/>
                <w:sz w:val="24"/>
                <w:lang w:eastAsia="zh-CN"/>
              </w:rPr>
              <w:t>不采纳，理由如下：“第六章应用场景构建重点旨在鼓励场景方积极寻找合适的元宇宙技术企业进行商业应用落地或者元宇宙技术企业寻找合适的具有市场发展前景的需求方进行技术转化落地和商业化应用拓展，促进行业内供需双方的交流合作和技术转化落地，</w:t>
            </w:r>
            <w:bookmarkStart w:id="0" w:name="_GoBack"/>
            <w:bookmarkEnd w:id="0"/>
            <w:r>
              <w:rPr>
                <w:rFonts w:hint="eastAsia" w:ascii="Times New Roman" w:hAnsi="Times New Roman" w:eastAsia="仿宋_GB2312"/>
                <w:sz w:val="24"/>
                <w:lang w:eastAsia="zh-CN"/>
              </w:rPr>
              <w:t>因此申报单位与场景提供单位不适宜为同一单位。”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22" w:type="dxa"/>
            <w:vMerge w:val="restart"/>
            <w:tcBorders>
              <w:left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hint="eastAsia" w:ascii="Times New Roman" w:hAnsi="Times New Roman" w:eastAsia="仿宋_GB2312"/>
                <w:sz w:val="24"/>
              </w:rPr>
              <w:t>广东涌态信息科技有限公司</w:t>
            </w:r>
          </w:p>
        </w:tc>
        <w:tc>
          <w:tcPr>
            <w:tcW w:w="850" w:type="dxa"/>
            <w:tcBorders>
              <w:left w:val="single" w:color="auto" w:sz="4" w:space="0"/>
              <w:right w:val="single" w:color="auto" w:sz="4" w:space="0"/>
            </w:tcBorders>
            <w:vAlign w:val="center"/>
          </w:tcPr>
          <w:p>
            <w:pPr>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1</w:t>
            </w:r>
          </w:p>
        </w:tc>
        <w:tc>
          <w:tcPr>
            <w:tcW w:w="6379" w:type="dxa"/>
            <w:tcBorders>
              <w:left w:val="single" w:color="auto" w:sz="4" w:space="0"/>
              <w:right w:val="single" w:color="auto" w:sz="4" w:space="0"/>
            </w:tcBorders>
            <w:vAlign w:val="top"/>
          </w:tcPr>
          <w:p>
            <w:pPr>
              <w:numPr>
                <w:ilvl w:val="0"/>
                <w:numId w:val="0"/>
              </w:numPr>
              <w:bidi w:val="0"/>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针对区内企业产生的应用场景补贴希望能够覆盖到区外，毕竟应用场景补贴还是扶持区内元宇宙企业的发展。补贴的比例可以酌情调整。</w:t>
            </w:r>
          </w:p>
        </w:tc>
        <w:tc>
          <w:tcPr>
            <w:tcW w:w="4642" w:type="dxa"/>
            <w:tcBorders>
              <w:left w:val="single" w:color="auto" w:sz="4" w:space="0"/>
            </w:tcBorders>
            <w:vAlign w:val="center"/>
          </w:tcPr>
          <w:p>
            <w:pPr>
              <w:adjustRightInd w:val="0"/>
              <w:snapToGrid w:val="0"/>
              <w:jc w:val="center"/>
              <w:rPr>
                <w:rFonts w:hint="eastAsia" w:ascii="Times New Roman" w:hAnsi="Times New Roman" w:eastAsia="仿宋_GB2312"/>
                <w:sz w:val="24"/>
                <w:lang w:eastAsia="zh-CN"/>
              </w:rPr>
            </w:pPr>
            <w:r>
              <w:rPr>
                <w:rFonts w:hint="eastAsia" w:ascii="Times New Roman" w:hAnsi="Times New Roman" w:eastAsia="仿宋_GB2312"/>
                <w:sz w:val="24"/>
                <w:lang w:eastAsia="zh-CN"/>
              </w:rPr>
              <w:t>不采纳，理由如下：“应用示范场景奖补范围扩大到区外，不属于我区管辖范围，相关场景落地内容较难进行核实兑现。”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22"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850" w:type="dxa"/>
            <w:tcBorders>
              <w:left w:val="single" w:color="auto" w:sz="4" w:space="0"/>
              <w:right w:val="single" w:color="auto" w:sz="4" w:space="0"/>
            </w:tcBorders>
            <w:vAlign w:val="center"/>
          </w:tcPr>
          <w:p>
            <w:pPr>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2</w:t>
            </w:r>
          </w:p>
        </w:tc>
        <w:tc>
          <w:tcPr>
            <w:tcW w:w="6379" w:type="dxa"/>
            <w:tcBorders>
              <w:left w:val="single" w:color="auto" w:sz="4" w:space="0"/>
              <w:right w:val="single" w:color="auto" w:sz="4" w:space="0"/>
            </w:tcBorders>
            <w:vAlign w:val="top"/>
          </w:tcPr>
          <w:p>
            <w:pPr>
              <w:numPr>
                <w:ilvl w:val="0"/>
                <w:numId w:val="0"/>
              </w:numPr>
              <w:bidi w:val="0"/>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适当针对区内元宇宙推广活动，邀请一些元宇宙需求方或者存在需求方邀请。（例如各地政府，国企。市场等）赋能助力元宇宙企业的发展。</w:t>
            </w:r>
          </w:p>
        </w:tc>
        <w:tc>
          <w:tcPr>
            <w:tcW w:w="4642" w:type="dxa"/>
            <w:tcBorders>
              <w:left w:val="single" w:color="auto" w:sz="4" w:space="0"/>
            </w:tcBorders>
            <w:vAlign w:val="center"/>
          </w:tcPr>
          <w:p>
            <w:pPr>
              <w:adjustRightInd w:val="0"/>
              <w:snapToGrid w:val="0"/>
              <w:jc w:val="center"/>
              <w:rPr>
                <w:rFonts w:hint="eastAsia" w:ascii="Times New Roman" w:hAnsi="Times New Roman" w:eastAsia="仿宋_GB2312"/>
                <w:sz w:val="24"/>
                <w:lang w:eastAsia="zh-CN"/>
              </w:rPr>
            </w:pPr>
            <w:r>
              <w:rPr>
                <w:rFonts w:hint="eastAsia" w:ascii="Times New Roman" w:hAnsi="Times New Roman" w:eastAsia="仿宋_GB2312"/>
                <w:sz w:val="24"/>
                <w:lang w:eastAsia="zh-CN"/>
              </w:rPr>
              <w:t>综合采纳，</w:t>
            </w:r>
            <w:r>
              <w:rPr>
                <w:rFonts w:hint="eastAsia" w:ascii="仿宋_GB2312" w:hAnsi="Times New Roman" w:eastAsia="仿宋_GB2312" w:cs="Times New Roman"/>
                <w:kern w:val="2"/>
                <w:sz w:val="24"/>
                <w:szCs w:val="24"/>
                <w:lang w:val="en-US" w:eastAsia="zh-CN" w:bidi="ar-SA"/>
              </w:rPr>
              <w:t>《广州南沙新区（自贸片区）推动元宇宙生态发展九条措施实施细则（修订稿）》第六章应用场景构建已有相关条款支持元宇宙应用需求方构建元宇宙技术落地的应用场景项目。第七章创新生态建设已有相关条款鼓励元宇宙相关的行业活动举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22"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850" w:type="dxa"/>
            <w:tcBorders>
              <w:left w:val="single" w:color="auto" w:sz="4" w:space="0"/>
              <w:right w:val="single" w:color="auto" w:sz="4" w:space="0"/>
            </w:tcBorders>
            <w:vAlign w:val="center"/>
          </w:tcPr>
          <w:p>
            <w:pPr>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3</w:t>
            </w:r>
          </w:p>
        </w:tc>
        <w:tc>
          <w:tcPr>
            <w:tcW w:w="6379" w:type="dxa"/>
            <w:tcBorders>
              <w:left w:val="single" w:color="auto" w:sz="4" w:space="0"/>
              <w:right w:val="single" w:color="auto" w:sz="4" w:space="0"/>
            </w:tcBorders>
            <w:vAlign w:val="top"/>
          </w:tcPr>
          <w:p>
            <w:pPr>
              <w:numPr>
                <w:ilvl w:val="0"/>
                <w:numId w:val="0"/>
              </w:numPr>
              <w:bidi w:val="0"/>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针对元宇宙企业的补贴可以多元化，例如案例数量奖补，研发成本的奖补，业绩目标奖补等。</w:t>
            </w:r>
          </w:p>
        </w:tc>
        <w:tc>
          <w:tcPr>
            <w:tcW w:w="4642" w:type="dxa"/>
            <w:tcBorders>
              <w:left w:val="single" w:color="auto" w:sz="4" w:space="0"/>
            </w:tcBorders>
            <w:vAlign w:val="center"/>
          </w:tcPr>
          <w:p>
            <w:pPr>
              <w:adjustRightInd w:val="0"/>
              <w:snapToGrid w:val="0"/>
              <w:jc w:val="center"/>
              <w:rPr>
                <w:rFonts w:hint="eastAsia" w:ascii="Times New Roman" w:hAnsi="Times New Roman" w:eastAsia="仿宋_GB2312"/>
                <w:sz w:val="24"/>
                <w:lang w:eastAsia="zh-CN"/>
              </w:rPr>
            </w:pPr>
            <w:r>
              <w:rPr>
                <w:rFonts w:hint="eastAsia" w:ascii="Times New Roman" w:hAnsi="Times New Roman" w:eastAsia="仿宋_GB2312"/>
                <w:sz w:val="24"/>
                <w:lang w:eastAsia="zh-CN"/>
              </w:rPr>
              <w:t>综合采纳，</w:t>
            </w:r>
            <w:r>
              <w:rPr>
                <w:rFonts w:hint="eastAsia" w:ascii="仿宋_GB2312" w:hAnsi="Times New Roman" w:eastAsia="仿宋_GB2312" w:cs="Times New Roman"/>
                <w:kern w:val="2"/>
                <w:sz w:val="24"/>
                <w:szCs w:val="24"/>
                <w:lang w:val="en-US" w:eastAsia="zh-CN" w:bidi="ar-SA"/>
              </w:rPr>
              <w:t>《广州南沙新区（自贸片区）推动元宇宙生态发展九条措施实施细则（修订稿）》第二至九章分别针对企业技术攻关、创新平台建设、研发投入、应用场景构建、人才引进等多方面都进行了各类不同的补贴。</w:t>
            </w:r>
          </w:p>
        </w:tc>
      </w:tr>
    </w:tbl>
    <w:tbl>
      <w:tblPr>
        <w:tblStyle w:val="10"/>
        <w:tblW w:w="13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863"/>
        <w:gridCol w:w="6385"/>
        <w:gridCol w:w="4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2112" w:type="dxa"/>
            <w:vAlign w:val="center"/>
          </w:tcPr>
          <w:p>
            <w:pPr>
              <w:adjustRightInd w:val="0"/>
              <w:snapToGrid w:val="0"/>
              <w:spacing w:line="240" w:lineRule="atLeast"/>
              <w:jc w:val="center"/>
              <w:rPr>
                <w:rFonts w:ascii="Times New Roman" w:hAnsi="Times New Roman" w:eastAsia="仿宋_GB2312"/>
                <w:sz w:val="24"/>
              </w:rPr>
            </w:pPr>
            <w:r>
              <w:rPr>
                <w:rFonts w:hint="eastAsia" w:ascii="Times New Roman" w:hAnsi="Times New Roman" w:eastAsia="仿宋_GB2312"/>
                <w:sz w:val="24"/>
              </w:rPr>
              <w:t>冯先生</w:t>
            </w:r>
          </w:p>
        </w:tc>
        <w:tc>
          <w:tcPr>
            <w:tcW w:w="863" w:type="dxa"/>
            <w:vAlign w:val="center"/>
          </w:tcPr>
          <w:p>
            <w:pPr>
              <w:adjustRightInd w:val="0"/>
              <w:snapToGrid w:val="0"/>
              <w:spacing w:line="240" w:lineRule="atLeast"/>
              <w:jc w:val="center"/>
              <w:rPr>
                <w:rFonts w:ascii="Times New Roman" w:hAnsi="Times New Roman" w:eastAsia="仿宋_GB2312"/>
                <w:sz w:val="24"/>
              </w:rPr>
            </w:pPr>
            <w:r>
              <w:rPr>
                <w:rFonts w:hint="eastAsia" w:ascii="Times New Roman" w:hAnsi="Times New Roman" w:eastAsia="仿宋_GB2312"/>
                <w:sz w:val="24"/>
              </w:rPr>
              <w:t>1</w:t>
            </w:r>
          </w:p>
        </w:tc>
        <w:tc>
          <w:tcPr>
            <w:tcW w:w="6385" w:type="dxa"/>
            <w:vAlign w:val="center"/>
          </w:tcPr>
          <w:p>
            <w:pPr>
              <w:bidi w:val="0"/>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我是香港来南沙进行业务拓展的企业</w:t>
            </w:r>
            <w:r>
              <w:rPr>
                <w:rFonts w:hint="default" w:ascii="仿宋_GB2312" w:hAnsi="Times New Roman" w:eastAsia="仿宋_GB2312" w:cs="Times New Roman"/>
                <w:kern w:val="2"/>
                <w:sz w:val="24"/>
                <w:szCs w:val="24"/>
                <w:lang w:val="en-US" w:eastAsia="zh-CN" w:bidi="ar-SA"/>
              </w:rPr>
              <w:t>倚天创意科技有限公司（广州）</w:t>
            </w:r>
            <w:r>
              <w:rPr>
                <w:rFonts w:hint="eastAsia" w:ascii="仿宋_GB2312" w:hAnsi="Times New Roman" w:eastAsia="仿宋_GB2312" w:cs="Times New Roman"/>
                <w:kern w:val="2"/>
                <w:sz w:val="24"/>
                <w:szCs w:val="24"/>
                <w:lang w:val="en-US" w:eastAsia="zh-CN" w:bidi="ar-SA"/>
              </w:rPr>
              <w:t>的企业主</w:t>
            </w:r>
            <w:r>
              <w:rPr>
                <w:rFonts w:hint="default" w:ascii="仿宋_GB2312" w:hAnsi="Times New Roman" w:eastAsia="仿宋_GB2312" w:cs="Times New Roman"/>
                <w:kern w:val="2"/>
                <w:sz w:val="24"/>
                <w:szCs w:val="24"/>
                <w:lang w:val="en-US" w:eastAsia="zh-CN" w:bidi="ar-SA"/>
              </w:rPr>
              <w:t>，对于元宇宙发展我们在香港有</w:t>
            </w:r>
            <w:r>
              <w:rPr>
                <w:rFonts w:hint="eastAsia" w:ascii="仿宋_GB2312" w:hAnsi="Times New Roman" w:eastAsia="仿宋_GB2312" w:cs="Times New Roman"/>
                <w:kern w:val="2"/>
                <w:sz w:val="24"/>
                <w:szCs w:val="24"/>
                <w:lang w:val="en-US" w:eastAsia="zh-CN" w:bidi="ar-SA"/>
              </w:rPr>
              <w:t>很</w:t>
            </w:r>
            <w:r>
              <w:rPr>
                <w:rFonts w:hint="default" w:ascii="仿宋_GB2312" w:hAnsi="Times New Roman" w:eastAsia="仿宋_GB2312" w:cs="Times New Roman"/>
                <w:kern w:val="2"/>
                <w:sz w:val="24"/>
                <w:szCs w:val="24"/>
                <w:lang w:val="en-US" w:eastAsia="zh-CN" w:bidi="ar-SA"/>
              </w:rPr>
              <w:t>多案例，我们也主要帮助香港政府的不同机构，例如环保署和一些大学做一些元宇宙推广。</w:t>
            </w:r>
            <w:r>
              <w:rPr>
                <w:rFonts w:hint="default" w:ascii="仿宋_GB2312" w:hAnsi="Times New Roman" w:eastAsia="仿宋_GB2312" w:cs="Times New Roman"/>
                <w:kern w:val="2"/>
                <w:sz w:val="24"/>
                <w:szCs w:val="24"/>
                <w:lang w:val="en-US" w:eastAsia="zh-CN" w:bidi="ar-SA"/>
              </w:rPr>
              <w:br w:type="textWrapping"/>
            </w:r>
            <w:r>
              <w:rPr>
                <w:rFonts w:hint="default" w:ascii="仿宋_GB2312" w:hAnsi="Times New Roman" w:eastAsia="仿宋_GB2312" w:cs="Times New Roman"/>
                <w:kern w:val="2"/>
                <w:sz w:val="24"/>
                <w:szCs w:val="24"/>
                <w:lang w:val="en-US" w:eastAsia="zh-CN" w:bidi="ar-SA"/>
              </w:rPr>
              <w:t>对于南沙</w:t>
            </w:r>
            <w:r>
              <w:rPr>
                <w:rFonts w:hint="eastAsia" w:ascii="仿宋_GB2312" w:hAnsi="Times New Roman" w:eastAsia="仿宋_GB2312" w:cs="Times New Roman"/>
                <w:kern w:val="2"/>
                <w:sz w:val="24"/>
                <w:szCs w:val="24"/>
                <w:lang w:val="en-US" w:eastAsia="zh-CN" w:bidi="ar-SA"/>
              </w:rPr>
              <w:t>出台</w:t>
            </w:r>
            <w:r>
              <w:rPr>
                <w:rFonts w:hint="default" w:ascii="仿宋_GB2312" w:hAnsi="Times New Roman" w:eastAsia="仿宋_GB2312" w:cs="Times New Roman"/>
                <w:kern w:val="2"/>
                <w:sz w:val="24"/>
                <w:szCs w:val="24"/>
                <w:lang w:val="en-US" w:eastAsia="zh-CN" w:bidi="ar-SA"/>
              </w:rPr>
              <w:t>元宇宙</w:t>
            </w:r>
            <w:r>
              <w:rPr>
                <w:rFonts w:hint="eastAsia" w:ascii="仿宋_GB2312" w:hAnsi="Times New Roman" w:eastAsia="仿宋_GB2312" w:cs="Times New Roman"/>
                <w:kern w:val="2"/>
                <w:sz w:val="24"/>
                <w:szCs w:val="24"/>
                <w:lang w:val="en-US" w:eastAsia="zh-CN" w:bidi="ar-SA"/>
              </w:rPr>
              <w:t>政策扶持产业发展</w:t>
            </w:r>
            <w:r>
              <w:rPr>
                <w:rFonts w:hint="default" w:ascii="仿宋_GB2312" w:hAnsi="Times New Roman" w:eastAsia="仿宋_GB2312" w:cs="Times New Roman"/>
                <w:kern w:val="2"/>
                <w:sz w:val="24"/>
                <w:szCs w:val="24"/>
                <w:lang w:val="en-US" w:eastAsia="zh-CN" w:bidi="ar-SA"/>
              </w:rPr>
              <w:t>我们</w:t>
            </w:r>
            <w:r>
              <w:rPr>
                <w:rFonts w:hint="eastAsia" w:ascii="仿宋_GB2312" w:hAnsi="Times New Roman" w:eastAsia="仿宋_GB2312" w:cs="Times New Roman"/>
                <w:kern w:val="2"/>
                <w:sz w:val="24"/>
                <w:szCs w:val="24"/>
                <w:lang w:val="en-US" w:eastAsia="zh-CN" w:bidi="ar-SA"/>
              </w:rPr>
              <w:t>觉得很高兴</w:t>
            </w:r>
            <w:r>
              <w:rPr>
                <w:rFonts w:hint="default" w:ascii="仿宋_GB2312" w:hAnsi="Times New Roman" w:eastAsia="仿宋_GB2312" w:cs="Times New Roman"/>
                <w:kern w:val="2"/>
                <w:sz w:val="24"/>
                <w:szCs w:val="24"/>
                <w:lang w:val="en-US" w:eastAsia="zh-CN" w:bidi="ar-SA"/>
              </w:rPr>
              <w:t>，但是我们研究了很久，发现</w:t>
            </w:r>
            <w:r>
              <w:rPr>
                <w:rFonts w:hint="eastAsia" w:ascii="仿宋_GB2312" w:hAnsi="Times New Roman" w:eastAsia="仿宋_GB2312" w:cs="Times New Roman"/>
                <w:kern w:val="2"/>
                <w:sz w:val="24"/>
                <w:szCs w:val="24"/>
                <w:lang w:val="en-US" w:eastAsia="zh-CN" w:bidi="ar-SA"/>
              </w:rPr>
              <w:t>现在的</w:t>
            </w:r>
            <w:r>
              <w:rPr>
                <w:rFonts w:hint="default" w:ascii="仿宋_GB2312" w:hAnsi="Times New Roman" w:eastAsia="仿宋_GB2312" w:cs="Times New Roman"/>
                <w:kern w:val="2"/>
                <w:sz w:val="24"/>
                <w:szCs w:val="24"/>
                <w:lang w:val="en-US" w:eastAsia="zh-CN" w:bidi="ar-SA"/>
              </w:rPr>
              <w:t>条例对于我们这些企业没有太大帮助。原因是元宇宙发展还属于开拓市场、业务发掘的阶段，千万的投资额对于业务发展还是不是很实际。</w:t>
            </w:r>
          </w:p>
          <w:p>
            <w:pPr>
              <w:bidi w:val="0"/>
              <w:rPr>
                <w:rFonts w:ascii="仿宋_GB2312" w:hAnsi="仿宋_GB2312" w:eastAsia="仿宋_GB2312" w:cs="仿宋_GB2312"/>
                <w:sz w:val="28"/>
                <w:szCs w:val="28"/>
              </w:rPr>
            </w:pPr>
            <w:r>
              <w:rPr>
                <w:rFonts w:hint="default" w:ascii="仿宋_GB2312" w:hAnsi="Times New Roman" w:eastAsia="仿宋_GB2312" w:cs="Times New Roman"/>
                <w:kern w:val="2"/>
                <w:sz w:val="24"/>
                <w:szCs w:val="24"/>
                <w:lang w:val="en-US" w:eastAsia="zh-CN" w:bidi="ar-SA"/>
              </w:rPr>
              <w:t>第一，期望有一些措施好像前海创业孵化基地一样，资助10万和50万的配对基金，资助一些中小型项目。第二，元宇宙比较倾向中小型业务开发，所以如果有一些100万以下的</w:t>
            </w:r>
            <w:r>
              <w:rPr>
                <w:rFonts w:hint="eastAsia" w:ascii="仿宋_GB2312" w:hAnsi="Times New Roman" w:eastAsia="仿宋_GB2312" w:cs="Times New Roman"/>
                <w:kern w:val="2"/>
                <w:sz w:val="24"/>
                <w:szCs w:val="24"/>
                <w:lang w:val="en-US" w:eastAsia="zh-CN" w:bidi="ar-SA"/>
              </w:rPr>
              <w:t>高比例的</w:t>
            </w:r>
            <w:r>
              <w:rPr>
                <w:rFonts w:hint="default" w:ascii="仿宋_GB2312" w:hAnsi="Times New Roman" w:eastAsia="仿宋_GB2312" w:cs="Times New Roman"/>
                <w:kern w:val="2"/>
                <w:sz w:val="24"/>
                <w:szCs w:val="24"/>
                <w:lang w:val="en-US" w:eastAsia="zh-CN" w:bidi="ar-SA"/>
              </w:rPr>
              <w:t>资助配对更加好。第三，元宇宙项目不应该只是线上活动，可以将线上和线下活动融合，加强香港与大湾区发展机遇，吸引香港企业过来广州南沙业务开发，资助两地</w:t>
            </w:r>
            <w:r>
              <w:rPr>
                <w:rFonts w:hint="eastAsia" w:ascii="仿宋_GB2312" w:hAnsi="Times New Roman" w:eastAsia="仿宋_GB2312" w:cs="Times New Roman"/>
                <w:kern w:val="2"/>
                <w:sz w:val="24"/>
                <w:szCs w:val="24"/>
                <w:lang w:val="en-US" w:eastAsia="zh-CN" w:bidi="ar-SA"/>
              </w:rPr>
              <w:t>的</w:t>
            </w:r>
            <w:r>
              <w:rPr>
                <w:rFonts w:hint="default" w:ascii="仿宋_GB2312" w:hAnsi="Times New Roman" w:eastAsia="仿宋_GB2312" w:cs="Times New Roman"/>
                <w:kern w:val="2"/>
                <w:sz w:val="24"/>
                <w:szCs w:val="24"/>
                <w:lang w:val="en-US" w:eastAsia="zh-CN" w:bidi="ar-SA"/>
              </w:rPr>
              <w:t>活动</w:t>
            </w:r>
            <w:r>
              <w:rPr>
                <w:rFonts w:hint="eastAsia" w:ascii="仿宋_GB2312" w:hAnsi="Times New Roman" w:eastAsia="仿宋_GB2312" w:cs="Times New Roman"/>
                <w:kern w:val="2"/>
                <w:sz w:val="24"/>
                <w:szCs w:val="24"/>
                <w:lang w:val="en-US" w:eastAsia="zh-CN" w:bidi="ar-SA"/>
              </w:rPr>
              <w:t>。</w:t>
            </w:r>
          </w:p>
        </w:tc>
        <w:tc>
          <w:tcPr>
            <w:tcW w:w="4619" w:type="dxa"/>
            <w:vAlign w:val="center"/>
          </w:tcPr>
          <w:p>
            <w:pPr>
              <w:adjustRightInd w:val="0"/>
              <w:snapToGrid w:val="0"/>
              <w:rPr>
                <w:rFonts w:hint="eastAsia" w:ascii="仿宋_GB2312" w:hAnsi="仿宋_GB2312" w:eastAsia="仿宋_GB2312" w:cs="仿宋_GB2312"/>
                <w:sz w:val="28"/>
                <w:szCs w:val="28"/>
                <w:lang w:eastAsia="zh-CN"/>
              </w:rPr>
            </w:pPr>
            <w:r>
              <w:rPr>
                <w:rFonts w:hint="eastAsia" w:ascii="仿宋_GB2312" w:hAnsi="Times New Roman" w:eastAsia="仿宋_GB2312"/>
                <w:sz w:val="24"/>
                <w:lang w:eastAsia="zh-CN"/>
              </w:rPr>
              <w:t>综合</w:t>
            </w:r>
            <w:r>
              <w:rPr>
                <w:rFonts w:hint="eastAsia" w:ascii="仿宋_GB2312" w:hAnsi="Times New Roman" w:eastAsia="仿宋_GB2312"/>
                <w:sz w:val="24"/>
              </w:rPr>
              <w:t>采纳，《广州南沙新区（自贸片区）推动元宇宙生态发展九条措施</w:t>
            </w:r>
            <w:r>
              <w:rPr>
                <w:rFonts w:hint="eastAsia" w:ascii="仿宋_GB2312" w:hAnsi="Times New Roman" w:eastAsia="仿宋_GB2312"/>
                <w:sz w:val="24"/>
                <w:lang w:eastAsia="zh-CN"/>
              </w:rPr>
              <w:t>实施细则</w:t>
            </w:r>
            <w:r>
              <w:rPr>
                <w:rFonts w:hint="eastAsia" w:ascii="仿宋_GB2312" w:hAnsi="Times New Roman" w:eastAsia="仿宋_GB2312"/>
                <w:sz w:val="24"/>
              </w:rPr>
              <w:t>（修订稿）》</w:t>
            </w:r>
            <w:r>
              <w:rPr>
                <w:rFonts w:hint="eastAsia" w:ascii="仿宋_GB2312" w:hAnsi="Times New Roman" w:eastAsia="仿宋_GB2312"/>
                <w:sz w:val="24"/>
                <w:lang w:eastAsia="zh-CN"/>
              </w:rPr>
              <w:t>中第四章设立的南沙元宇宙产业先导示范区就是重点支持元宇宙领域科技型中小企业，给予符合条件的企业不低于三年的免租补贴。第六章应用场景构建及第九章科技金融支撑中已有相关条款支持元宇宙线上线下项目融合以及针对初创企业、中小企业的资金资助支撑。</w:t>
            </w:r>
          </w:p>
        </w:tc>
      </w:tr>
    </w:tbl>
    <w:p/>
    <w:sectPr>
      <w:footerReference r:id="rId3" w:type="default"/>
      <w:pgSz w:w="16838" w:h="11906" w:orient="landscape"/>
      <w:pgMar w:top="1349" w:right="1440" w:bottom="1519"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等线">
    <w:altName w:val="汉仪中宋简"/>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0" b="0"/>
              <wp:wrapNone/>
              <wp:docPr id="1" name="_x0000_s1026"/>
              <wp:cNvGraphicFramePr/>
              <a:graphic xmlns:a="http://schemas.openxmlformats.org/drawingml/2006/main">
                <a:graphicData uri="http://schemas.microsoft.com/office/word/2010/wordprocessingShape">
                  <wps:wsp>
                    <wps:cNvSpPr txBox="true">
                      <a:spLocks noChangeArrowheads="true"/>
                    </wps:cNvSpPr>
                    <wps:spPr bwMode="auto">
                      <a:xfrm>
                        <a:off x="0" y="0"/>
                        <a:ext cx="859155" cy="147955"/>
                      </a:xfrm>
                      <a:prstGeom prst="rect">
                        <a:avLst/>
                      </a:prstGeom>
                      <a:noFill/>
                      <a:ln>
                        <a:noFill/>
                      </a:ln>
                    </wps:spPr>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GF1YZnSAAAABAEAAA8AAAAAAAAAAQAgAAAAOAAAAGRycy9kb3ducmV2Lnht&#10;bFBLAQIUABQAAAAIAIdO4kAqxJik6QEAAMIDAAAOAAAAAAAAAAEAIAAAADcBAABkcnMvZTJvRG9j&#10;LnhtbFBLBQYAAAAABgAGAFkBAACSBQAAAAA=&#10;">
              <v:fill on="f" focussize="0,0"/>
              <v:stroke on="f"/>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xYjYzMmFjNjFiODQ5MzNhZGE2NmIxZDE3YTllNWUifQ=="/>
  </w:docVars>
  <w:rsids>
    <w:rsidRoot w:val="00172A27"/>
    <w:rsid w:val="000074D9"/>
    <w:rsid w:val="00040FDD"/>
    <w:rsid w:val="00172A27"/>
    <w:rsid w:val="001A6C9F"/>
    <w:rsid w:val="001D4A10"/>
    <w:rsid w:val="001F7698"/>
    <w:rsid w:val="002E7069"/>
    <w:rsid w:val="00397675"/>
    <w:rsid w:val="00467B98"/>
    <w:rsid w:val="004F4C44"/>
    <w:rsid w:val="005B139F"/>
    <w:rsid w:val="005B1E25"/>
    <w:rsid w:val="007D0701"/>
    <w:rsid w:val="00821091"/>
    <w:rsid w:val="00885EC3"/>
    <w:rsid w:val="00972A30"/>
    <w:rsid w:val="009D219F"/>
    <w:rsid w:val="00AA063B"/>
    <w:rsid w:val="00AE60A1"/>
    <w:rsid w:val="00C00865"/>
    <w:rsid w:val="00D62B47"/>
    <w:rsid w:val="00D65DFE"/>
    <w:rsid w:val="00D93DEA"/>
    <w:rsid w:val="00EC7078"/>
    <w:rsid w:val="00EF4A94"/>
    <w:rsid w:val="00F450BE"/>
    <w:rsid w:val="00F4796F"/>
    <w:rsid w:val="00FE4761"/>
    <w:rsid w:val="0373299E"/>
    <w:rsid w:val="03F97356"/>
    <w:rsid w:val="08911916"/>
    <w:rsid w:val="11A5325C"/>
    <w:rsid w:val="14BC213E"/>
    <w:rsid w:val="177341E9"/>
    <w:rsid w:val="1CE02F27"/>
    <w:rsid w:val="235E33FD"/>
    <w:rsid w:val="24EE4C3B"/>
    <w:rsid w:val="24F22AC4"/>
    <w:rsid w:val="2AEF1994"/>
    <w:rsid w:val="2E9A1EFA"/>
    <w:rsid w:val="2EC36C88"/>
    <w:rsid w:val="2FFFBF64"/>
    <w:rsid w:val="35C93029"/>
    <w:rsid w:val="3760179A"/>
    <w:rsid w:val="38581A33"/>
    <w:rsid w:val="3B9F7EA0"/>
    <w:rsid w:val="3CC52D38"/>
    <w:rsid w:val="3DBF71A0"/>
    <w:rsid w:val="3DBFE6B9"/>
    <w:rsid w:val="3EA40F42"/>
    <w:rsid w:val="430143AE"/>
    <w:rsid w:val="450213CF"/>
    <w:rsid w:val="47F9079C"/>
    <w:rsid w:val="4BF7F906"/>
    <w:rsid w:val="4CEF4C93"/>
    <w:rsid w:val="4DC165E2"/>
    <w:rsid w:val="4E2D0AB5"/>
    <w:rsid w:val="52B23B53"/>
    <w:rsid w:val="538E6079"/>
    <w:rsid w:val="53F7249E"/>
    <w:rsid w:val="563E6692"/>
    <w:rsid w:val="56ED4000"/>
    <w:rsid w:val="57A557E8"/>
    <w:rsid w:val="59ED991A"/>
    <w:rsid w:val="5FAD8E85"/>
    <w:rsid w:val="615362B5"/>
    <w:rsid w:val="669E2445"/>
    <w:rsid w:val="6BD770B5"/>
    <w:rsid w:val="6C1847E2"/>
    <w:rsid w:val="6DCD14A6"/>
    <w:rsid w:val="6FD3792B"/>
    <w:rsid w:val="71E252C4"/>
    <w:rsid w:val="74C6176C"/>
    <w:rsid w:val="76DF785C"/>
    <w:rsid w:val="7E5E99F3"/>
    <w:rsid w:val="7FBD2288"/>
    <w:rsid w:val="7FFF47B9"/>
    <w:rsid w:val="9F2D68D8"/>
    <w:rsid w:val="A6F61BF7"/>
    <w:rsid w:val="B2AF9E92"/>
    <w:rsid w:val="BB6F8E7B"/>
    <w:rsid w:val="BB7F6EB2"/>
    <w:rsid w:val="BDDFE1A1"/>
    <w:rsid w:val="BFF1A3FA"/>
    <w:rsid w:val="CFBB78AF"/>
    <w:rsid w:val="DCED8EC2"/>
    <w:rsid w:val="DD7F8E5F"/>
    <w:rsid w:val="DEFFD018"/>
    <w:rsid w:val="EAEFCE17"/>
    <w:rsid w:val="EEF761FB"/>
    <w:rsid w:val="EF86D878"/>
    <w:rsid w:val="F5F525EF"/>
    <w:rsid w:val="FDBD88EB"/>
    <w:rsid w:val="FDDEB4B0"/>
    <w:rsid w:val="FE7B1036"/>
    <w:rsid w:val="FF6E8FFE"/>
    <w:rsid w:val="FFF71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jc w:val="left"/>
      <w:outlineLvl w:val="0"/>
    </w:pPr>
    <w:rPr>
      <w:rFonts w:hint="eastAsia" w:ascii="宋体" w:hAnsi="宋体"/>
      <w:b/>
      <w:kern w:val="44"/>
      <w:sz w:val="48"/>
      <w:szCs w:val="48"/>
    </w:rPr>
  </w:style>
  <w:style w:type="paragraph" w:styleId="2">
    <w:name w:val="heading 2"/>
    <w:basedOn w:val="1"/>
    <w:next w:val="1"/>
    <w:qFormat/>
    <w:uiPriority w:val="0"/>
    <w:pPr>
      <w:keepNext/>
      <w:keepLines/>
      <w:spacing w:line="416" w:lineRule="auto"/>
      <w:outlineLvl w:val="1"/>
    </w:pPr>
    <w:rPr>
      <w:rFonts w:ascii="Cambria" w:hAnsi="Cambria"/>
      <w:b/>
      <w:kern w:val="0"/>
      <w:sz w:val="32"/>
      <w:szCs w:val="32"/>
    </w:rPr>
  </w:style>
  <w:style w:type="paragraph" w:styleId="4">
    <w:name w:val="heading 6"/>
    <w:basedOn w:val="1"/>
    <w:next w:val="1"/>
    <w:unhideWhenUsed/>
    <w:qFormat/>
    <w:uiPriority w:val="9"/>
    <w:pPr>
      <w:keepNext/>
      <w:keepLines/>
      <w:spacing w:before="240" w:after="64" w:line="317" w:lineRule="auto"/>
      <w:outlineLvl w:val="5"/>
    </w:pPr>
    <w:rPr>
      <w:rFonts w:ascii="Arial" w:hAnsi="Arial" w:eastAsia="黑体"/>
      <w:b/>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qFormat/>
    <w:uiPriority w:val="0"/>
    <w:pPr>
      <w:spacing w:after="120"/>
      <w:ind w:left="420" w:leftChars="200"/>
    </w:pPr>
    <w:rPr>
      <w:rFonts w:ascii="等线" w:hAnsi="等线" w:eastAsia="等线"/>
      <w:szCs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2"/>
    <w:basedOn w:val="5"/>
    <w:qFormat/>
    <w:uiPriority w:val="0"/>
    <w:pPr>
      <w:ind w:firstLine="420" w:firstLineChars="200"/>
    </w:pPr>
    <w:rPr>
      <w:rFonts w:ascii="Calibri" w:hAnsi="Calibri" w:eastAsia="宋体"/>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Default"/>
    <w:qFormat/>
    <w:uiPriority w:val="0"/>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paragraph" w:customStyle="1" w:styleId="15">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6">
    <w:name w:val="font01"/>
    <w:basedOn w:val="11"/>
    <w:qFormat/>
    <w:uiPriority w:val="0"/>
    <w:rPr>
      <w:rFonts w:hint="eastAsia" w:ascii="宋体" w:hAnsi="宋体" w:eastAsia="宋体" w:cs="宋体"/>
      <w:color w:val="000000"/>
      <w:sz w:val="28"/>
      <w:szCs w:val="28"/>
      <w:u w:val="none"/>
    </w:rPr>
  </w:style>
  <w:style w:type="character" w:customStyle="1" w:styleId="17">
    <w:name w:val="font11"/>
    <w:basedOn w:val="11"/>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Pages>
  <Words>403</Words>
  <Characters>420</Characters>
  <Lines>3</Lines>
  <Paragraphs>1</Paragraphs>
  <TotalTime>3</TotalTime>
  <ScaleCrop>false</ScaleCrop>
  <LinksUpToDate>false</LinksUpToDate>
  <CharactersWithSpaces>420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2023-04-28T17:23:00Z</dcterms:created>
  <dc:creator>Administrator</dc:creator>
  <cp:lastModifiedBy>user</cp:lastModifiedBy>
  <cp:lastPrinted>2024-11-01T17:01:00Z</cp:lastPrinted>
  <dcterms:modified xsi:type="dcterms:W3CDTF">2024-11-04T10:49:16Z</dcterms:modified>
  <dc:title>huang wenhua</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4A223651556C46B5996B7D8925B20A80</vt:lpwstr>
  </property>
</Properties>
</file>