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92"/>
        </w:tabs>
        <w:bidi w:val="0"/>
        <w:adjustRightInd w:val="0"/>
        <w:snapToGrid w:val="0"/>
        <w:spacing w:beforeLines="0" w:afterLines="0" w:line="578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2023年度广州南沙开发区（区）发展和改革局部门整体支出绩效自评报告</w:t>
      </w:r>
    </w:p>
    <w:p>
      <w:pPr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</w:pPr>
      <w:bookmarkStart w:id="0" w:name="_Toc14504"/>
      <w:bookmarkStart w:id="1" w:name="_Toc14634"/>
      <w:bookmarkStart w:id="2" w:name="_Toc19696"/>
      <w:bookmarkStart w:id="3" w:name="_Toc17037"/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一、基本情况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广州南沙经济技术开发区发展和改革局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为行政单位，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下设以下内设机构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：办公室（物价处、粮食和物资处）、国防动员处、湾区建设工作处、发展规划处（政策体改处）、投资处（审批管理处）。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主要职责包括：拟定并组织实施全区发展改革战略、中长期规划和年度计划、监测分析全区国民经济和社会发展形势、统筹协调全区营商环境改革及经济体制改革、规划全区重大建设项目和生产力布局、统筹全区产业发展、统筹推进参与粤港澳大湾区建设、统筹全区能源发展、负责粮食工作及应急储备物资收储、油气管道保护、价格及节能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下属单位包括：广州南沙开发区产业发展研究中心、广州市南沙区价格认证中心、广州市南沙区营商环境发展促进中心</w:t>
      </w:r>
      <w:r>
        <w:rPr>
          <w:rFonts w:hint="eastAsia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广州市南沙区信用中心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均为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公益一类、正科级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经费按财政补助一类拨付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截至202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年12月底，我局具体人员配备情况如下：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财供人数（编制总数）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合计4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行政（参公）编制数小计：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26人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（实际在编人员21人）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公益一类编制数小计：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22人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（实际在编人员16人）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公益二类编制数小计：0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年度总体工作和重点工作任务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2023年，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坚持以习近平新时代中国特色社会主义思想为指导，深入贯彻落实中央决策部署和省委、市委、区委工作要求，深入推进大湾区建设，统筹经济、产业、投资、改革等重点工作，为南沙打造立足湾区、协同港澳、面向世界的重大战略性平台提供坚强保障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加快动能转换，推动经济发展企稳向好。以超常规举措统筹好经济监测分析与中长期规划。发挥中长期规划和年度计划导向作用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扎实编制完成全区“十四五”规划纲要中期评估报告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加强统筹协调，推动大湾区建设取得新进展。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总结宣传《南沙方案》印发一周年成效，多维度展现一周年落实成效及亮点。构建高效协同贯彻落实机制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，形成扁平化落实《南沙方案》运作机制。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全面提高物资保障能力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规范物资日常管理，确保紧急情况下物资“储备好、调得动、用得着”。</w:t>
      </w:r>
      <w:r>
        <w:rPr>
          <w:rFonts w:hint="eastAsia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做好粮食储备工作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完成南沙区本级储备粮储备任务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，强化粮食安全监管，紧盯库点运作、储备粮轮换、粮食数量和质量安全等环节，全面提高粮食安全管理水平。</w:t>
      </w:r>
      <w:r>
        <w:rPr>
          <w:rFonts w:hint="eastAsia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扎实做好物价管理工作。稳妥推进自来水价格改革，依法依规办理价格行政审批业务。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（三）部门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整体收支情况</w:t>
      </w:r>
      <w:bookmarkStart w:id="4" w:name="PO_part3A1Year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bookmarkEnd w:id="4"/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年本部门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全年预算数29678.82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全年预算执行数为27477.03万元，预算支出完成率为9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2.58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%。其中基本支出预算数1349.96万元，预算执行数1349.96万元，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基本支出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预算支出完成率为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项目支出预算数28328.86万元，预算执行数26127.07万元，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预算支出完成率为9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2.2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（四）部门整体绩效管理情况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我局高度重视预算绩效管理工作，严格执行《广州市南沙区预算绩效管理办法》等制度要求，将绩效理念和方法融入预算管理全过程，实行以绩效目标为导向，以事前绩效评估、事中绩效监控、事后绩效评价为手段，注重结果应用的财政预算管理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。我局组织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开展的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部门整体支出绩效自评（含下属单位3个），从评价情况来看，我局按要求对所有财政资金安排的项目进行了绩效评价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部门预算编制、执行及使用效益情况均达到了预期的绩效目标。从项目的自评情况来看,自评项目均达到了绩效管理要求，项目各项指标体系严格按照区财政局项目编制申报要求编写，主要绩效指标基本可量化，绩效目标描述能准确概括项目预期绩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</w:pPr>
      <w:bookmarkStart w:id="5" w:name="_Toc2560"/>
      <w:bookmarkStart w:id="6" w:name="_Toc6706"/>
      <w:bookmarkStart w:id="7" w:name="_Toc5238"/>
      <w:bookmarkStart w:id="8" w:name="_Toc13358"/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二</w:t>
      </w:r>
      <w:r>
        <w:rPr>
          <w:rFonts w:hint="default" w:ascii="Times New Roman" w:hAnsi="Times New Roman" w:cs="Times New Roman"/>
          <w:color w:val="000000"/>
          <w:sz w:val="32"/>
          <w:highlight w:val="none"/>
        </w:rPr>
        <w:t>、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综合评价分析</w:t>
      </w:r>
      <w:bookmarkEnd w:id="5"/>
      <w:bookmarkEnd w:id="6"/>
      <w:bookmarkEnd w:id="7"/>
      <w:bookmarkEnd w:id="8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我部门按要求收集汇总整体支出绩效信息，对部门资金、资产、政府采购、政府购买服务、运行成本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管理情况，以及整体支出绩效目标完成情况进行分析，总体上达到了预算绩效管理的要求，整体支出绩效自评结果为9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9" w:name="_Toc7453"/>
      <w:bookmarkStart w:id="10" w:name="_Toc26520"/>
      <w:bookmarkStart w:id="11" w:name="_Toc1487"/>
      <w:bookmarkStart w:id="12" w:name="_Toc8786"/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  <w:lang w:eastAsia="zh-CN"/>
        </w:rPr>
        <w:t>一</w:t>
      </w:r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  <w:lang w:eastAsia="zh-CN"/>
        </w:rPr>
        <w:t>自评结论综述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2023年本部门全年预算数29678.82万元，全年预算执行数为27477.03万元，预算支出完成率为92.58%。其中基本支出预算数1349.96万元，预算执行数1349.96万元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基本支出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预算支出完成率为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；项目支出预算数28328.86万元，预算执行数26127.07万元，项目预算支出完成率为92.23%。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全年预算数29678.82万元，全年预算执行数为27477.03万元，完成预算的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92.58%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。从评价情况来看，我局较好地完成了202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年履行职能职责和各项重点工作任务，整体支出和项目绩效情况较为理想，总体上达到了全过程预算绩效管理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）各项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工作任务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  <w:t>我部门所有预算项目均纳入预算管理，各项任务绩效目标均已基本完成</w:t>
      </w:r>
      <w:r>
        <w:rPr>
          <w:rFonts w:hint="eastAsia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  <w:t>，主要体现在：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  <w:t>加强统筹协调，推动大湾区建设取得新进展</w:t>
      </w:r>
      <w:r>
        <w:rPr>
          <w:rFonts w:hint="eastAsia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  <w:t>；加快动能转换，推动经济发展企稳向好；提速推动重大项目建设，全力促投资调结构、稳规模；深化体制改革，奋力营造一流营商发展环境；筑牢民生底线，强化重点领域安全保障。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）各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重点任务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项目支出完成情况分析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一是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粮食储备项目经费。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该项目202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预算</w:t>
      </w:r>
      <w:r>
        <w:rPr>
          <w:rFonts w:hint="eastAsia" w:cs="Times New Roman"/>
          <w:highlight w:val="none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849.00万元，实际支出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840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68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，支出率99.55%。通过本项目的实施，按规定标准足额落实</w:t>
      </w:r>
      <w:r>
        <w:rPr>
          <w:rFonts w:hint="eastAsia" w:cs="Times New Roman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地方储备粮保管费用、贷款利息和轮换费用补贴。落实了地方粮食储备，完成</w:t>
      </w:r>
      <w:r>
        <w:rPr>
          <w:rFonts w:hint="eastAsia" w:cs="Times New Roman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政府粮食安全责任考核任务。加强</w:t>
      </w:r>
      <w:r>
        <w:rPr>
          <w:rFonts w:hint="eastAsia" w:cs="Times New Roman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区本级地方储备粮的管理，确保区本级储备粮的安全和粮食市场的稳定，地方储备粮数量真实，达到了预期的年度绩效目标。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2" w:firstLineChars="200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highlight w:val="none"/>
          <w:lang w:val="en-US" w:eastAsia="zh-CN" w:bidi="ar-SA"/>
        </w:rPr>
        <w:t>二是产业扶持-总部经济发展扶持资金经费。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该项目202</w:t>
      </w:r>
      <w:r>
        <w:rPr>
          <w:rFonts w:hint="eastAsia" w:cs="Times New Roman"/>
          <w:kern w:val="2"/>
          <w:sz w:val="32"/>
          <w:szCs w:val="20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年度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预算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金额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,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676.00万元，实际支出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金额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,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969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.00万元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，支出率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85.38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，</w:t>
      </w:r>
      <w:r>
        <w:rPr>
          <w:rFonts w:hint="eastAsia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在拨付2023年南沙区总部政策奖励资金过程中，有2家企业发生了退票，未能在于2023年完成支付。通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过本项目的实施，</w:t>
      </w:r>
      <w:r>
        <w:rPr>
          <w:rFonts w:hint="eastAsia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对带动总部企业在南沙集聚发展起到了积极作用，并具有持续的吸引力。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642" w:firstLineChars="200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highlight w:val="none"/>
          <w:lang w:val="en-US" w:eastAsia="zh-CN" w:bidi="ar-SA"/>
        </w:rPr>
        <w:t>三是广州南沙粤海水务公司供水服务考核补贴。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该项目202</w:t>
      </w:r>
      <w:r>
        <w:rPr>
          <w:rFonts w:hint="eastAsia" w:eastAsia="仿宋_GB2312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年年初预算批复1</w:t>
      </w:r>
      <w:r>
        <w:rPr>
          <w:rFonts w:hint="eastAsia" w:eastAsia="仿宋_GB2312" w:cs="Times New Roman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.</w:t>
      </w:r>
      <w:r>
        <w:rPr>
          <w:rFonts w:hint="eastAsia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万元，实际支出金额1</w:t>
      </w:r>
      <w:r>
        <w:rPr>
          <w:rFonts w:hint="eastAsia" w:eastAsia="仿宋_GB2312" w:cs="Times New Roman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.</w:t>
      </w:r>
      <w:r>
        <w:rPr>
          <w:rFonts w:hint="eastAsia" w:cs="Times New Roman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万元，支出率为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%。</w:t>
      </w:r>
      <w:r>
        <w:rPr>
          <w:rFonts w:hint="eastAsia" w:eastAsia="仿宋_GB2312" w:cs="Times New Roman"/>
          <w:kern w:val="2"/>
          <w:sz w:val="32"/>
          <w:szCs w:val="20"/>
          <w:highlight w:val="none"/>
          <w:lang w:val="en-US" w:eastAsia="zh-CN" w:bidi="ar-SA"/>
        </w:rPr>
        <w:t>通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过本项目的实施，</w:t>
      </w:r>
      <w:r>
        <w:rPr>
          <w:rFonts w:hint="eastAsia"/>
          <w:lang w:val="en-US" w:eastAsia="zh-CN"/>
        </w:rPr>
        <w:t>有效保障我区供水稳定和南沙水司经营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（四）主要工作成效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24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24"/>
          <w:highlight w:val="none"/>
          <w:lang w:val="en-US" w:eastAsia="zh-CN" w:bidi="ar-SA"/>
        </w:rPr>
        <w:t>推动大湾区建设取得新进展。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24"/>
          <w:highlight w:val="none"/>
          <w:lang w:val="en-US" w:eastAsia="zh-CN" w:bidi="ar-SA"/>
        </w:rPr>
        <w:t>总结宣传《南沙方案》印发一周年成效，以举办沙龙、视频采访等多维度展现一周年落实成效及亮点。落实省调整优化南沙领导体制和工作机制，形成省、市、区三级扁平化落实《南沙方案》运作机制。编制面向省市区三级分工的省南沙工委年度要点和区落实《南沙方案》2023年重点任务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u w:val="none" w:color="auto"/>
        </w:rPr>
      </w:pPr>
      <w:r>
        <w:rPr>
          <w:rFonts w:hint="eastAsia" w:cs="Times New Roman"/>
          <w:b/>
          <w:bCs/>
          <w:sz w:val="32"/>
          <w:szCs w:val="32"/>
          <w:u w:val="none" w:color="auto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none" w:color="auto"/>
          <w:lang w:val="en-US" w:eastAsia="zh-CN"/>
        </w:rPr>
        <w:t>发挥中长期规划和年度计划导向作用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 w:color="auto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u w:val="none" w:color="auto"/>
          <w:lang w:val="en-US" w:eastAsia="zh-CN"/>
        </w:rPr>
        <w:t>扎实编制完成全区“十四五”规划纲要中期评估报告，为高质量编制实施下一轮五年规划奠定基础。编制2023年国民经济和社会发展计划执行情况报告，起草2024年计划草案报告，明确全区经济工作任务和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cs="Times New Roman"/>
          <w:b/>
          <w:bCs/>
          <w:kern w:val="0"/>
          <w:sz w:val="32"/>
          <w:u w:val="none" w:color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 w:color="auto"/>
          <w:lang w:eastAsia="zh-CN"/>
        </w:rPr>
        <w:t>深化体制改革，营造一流营商发展环境</w:t>
      </w:r>
      <w:r>
        <w:rPr>
          <w:rFonts w:hint="default" w:ascii="Times New Roman" w:hAnsi="Times New Roman" w:cs="Times New Roman"/>
          <w:kern w:val="0"/>
          <w:sz w:val="32"/>
          <w:szCs w:val="32"/>
          <w:u w:val="none" w:color="auto"/>
          <w:lang w:eastAsia="zh-CN"/>
        </w:rPr>
        <w:t>。国家发改委、商务部、市场监管总局联合印发《关于支持广州南沙放宽市场准入与加强监管体制改革的意见》，支持南沙在11个重点领域</w:t>
      </w:r>
      <w:bookmarkStart w:id="17" w:name="_GoBack"/>
      <w:bookmarkEnd w:id="17"/>
      <w:r>
        <w:rPr>
          <w:rFonts w:hint="default" w:ascii="Times New Roman" w:hAnsi="Times New Roman" w:cs="Times New Roman"/>
          <w:kern w:val="0"/>
          <w:sz w:val="32"/>
          <w:szCs w:val="32"/>
          <w:u w:val="none" w:color="auto"/>
          <w:lang w:eastAsia="zh-CN"/>
        </w:rPr>
        <w:t>进行突破性探索，南沙成为全国第五个试点地区，开发开放水平实现再提升。完善工作机制，牵头编制申报省营商环境综合改革试点工作方案，推动南沙获评广东省营商环境综合改革试点。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u w:val="none" w:color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u w:val="none" w:color="auto"/>
          <w:lang w:val="en-US" w:eastAsia="zh-CN"/>
        </w:rPr>
        <w:t>推动信用建设走在全市前列</w:t>
      </w:r>
      <w:r>
        <w:rPr>
          <w:rFonts w:hint="default" w:ascii="Times New Roman" w:hAnsi="Times New Roman" w:cs="Times New Roman"/>
          <w:b/>
          <w:bCs/>
          <w:color w:val="auto"/>
          <w:sz w:val="32"/>
          <w:u w:val="none" w:color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加快建设省信用建设服务实体经济发展试点，深化拓展“信易电”“诚信商圈”等场景应用，相关举措获第五届新华信用杯全国优秀信用案例、广州市信用创新应用案例。构建5个“1”跨境信用工作体系，推动成立全国首家区级跨境信用协会，组建粤港澳跨境信用联盟，编制发布粤港澳企业诚信合规评定规范团体标准，为粤港澳三地信用互认提供基础和支撑。我区信用考核连续4年排名全市前二，连续3年获市政府督查激励项目，被评为推进信用工作成效明显的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highlight w:val="none"/>
          <w:u w:val="none" w:color="auto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"/>
        </w:rPr>
        <w:t>做好粮食物资储备工作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Cs w:val="0"/>
          <w:sz w:val="32"/>
          <w:highlight w:val="none"/>
          <w:u w:val="none" w:color="auto"/>
          <w:lang w:val="en-US" w:eastAsia="zh-CN"/>
        </w:rPr>
        <w:t>完成南沙区本级储备粮储备任务，强化粮食安全监管，紧盯库点运作、储备粮轮换、粮食数量和质量安全等环节，开展粮食领域“双随机”检查、粮油春秋季普查等各类检查，组织企业开展粮食安全生产培训，全面提高粮食安全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highlight w:val="none"/>
          <w:u w:val="none" w:color="auto"/>
          <w:lang w:val="en-US" w:eastAsia="zh-CN"/>
        </w:rPr>
      </w:pPr>
      <w:r>
        <w:rPr>
          <w:rFonts w:hint="eastAsia" w:cs="Times New Roman"/>
          <w:b/>
          <w:bCs/>
          <w:sz w:val="32"/>
          <w:highlight w:val="none"/>
          <w:u w:val="none" w:color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highlight w:val="none"/>
          <w:u w:val="none" w:color="auto"/>
          <w:lang w:val="en-US" w:eastAsia="zh-CN"/>
        </w:rPr>
        <w:t>全面提高物资保障能力。</w:t>
      </w:r>
      <w:r>
        <w:rPr>
          <w:rFonts w:hint="default" w:ascii="Times New Roman" w:hAnsi="Times New Roman" w:eastAsia="仿宋_GB2312" w:cs="Times New Roman"/>
          <w:bCs w:val="0"/>
          <w:sz w:val="32"/>
          <w:highlight w:val="none"/>
          <w:u w:val="none" w:color="auto"/>
          <w:lang w:val="en-US" w:eastAsia="zh-CN"/>
        </w:rPr>
        <w:t>制定了《广州市南沙区应急救灾物资调运方案（试行）》《广州市南沙区区级应急救灾物资储备库管理制度》，规范物资日常管理，确保紧急情况下物资“储备好、调得动、用得着”。常态化开展防控物资、应急救灾物资盘点、调拨工作，无出现物资损坏、缺失情况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center"/>
        <w:rPr>
          <w:rFonts w:hint="default" w:ascii="Times New Roman" w:hAnsi="Times New Roman" w:eastAsia="黑体" w:cs="Times New Roman"/>
          <w:bCs/>
          <w:color w:val="000000"/>
          <w:kern w:val="44"/>
          <w:sz w:val="32"/>
          <w:szCs w:val="44"/>
          <w:highlight w:val="none"/>
          <w:lang w:val="en-US" w:eastAsia="zh-CN" w:bidi="ar-SA"/>
        </w:rPr>
      </w:pPr>
      <w:bookmarkStart w:id="13" w:name="_Toc26210"/>
      <w:bookmarkStart w:id="14" w:name="_Toc10735"/>
      <w:bookmarkStart w:id="15" w:name="_Toc696"/>
      <w:bookmarkStart w:id="16" w:name="_Toc21266"/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三</w:t>
      </w:r>
      <w:r>
        <w:rPr>
          <w:rFonts w:hint="default" w:ascii="Times New Roman" w:hAnsi="Times New Roman" w:cs="Times New Roman"/>
          <w:color w:val="000000"/>
          <w:sz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kern w:val="44"/>
          <w:sz w:val="32"/>
          <w:szCs w:val="44"/>
          <w:highlight w:val="none"/>
          <w:lang w:val="en-US" w:eastAsia="zh-CN" w:bidi="ar-SA"/>
        </w:rPr>
        <w:t>存在的主要问题</w:t>
      </w:r>
      <w:bookmarkEnd w:id="13"/>
      <w:bookmarkEnd w:id="14"/>
      <w:bookmarkEnd w:id="15"/>
      <w:bookmarkEnd w:id="16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firstLine="642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部分项目绩效目标设置不够细化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部分项目绩效目标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设置不够精确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等问题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firstLine="642" w:firstLineChars="200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部分项目预算执行率和执行进度有待提高。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部分项目执行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受政策等影响，导致未能按计划完成支付，支出率未达到100%或执行进度较慢。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下一步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改进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一是强化绩效管理意识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进一步对各项绩效指标的细化、量化、切实推进绩效管理工作的落实，科学合理确定专项资金绩效目标和指标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，确保绩效目标得到全面贯彻执行。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强化资金预算执行管理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进一步加强对各项资金支出情况的监督把控，督促加快支出进度，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提高资金使用效率。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三是强化绩效评价结果应用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将此次绩效评价结果作为以后年度预算编制的重要依据，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不断提升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相关经费测算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精准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highlight w:val="none"/>
        </w:rPr>
      </w:pPr>
    </w:p>
    <w:p>
      <w:pPr>
        <w:pStyle w:val="10"/>
        <w:rPr>
          <w:rFonts w:hint="default" w:ascii="Times New Roman" w:hAnsi="Times New Roman" w:cs="Times New Roman"/>
          <w:highlight w:val="none"/>
        </w:rPr>
      </w:pPr>
    </w:p>
    <w:sectPr>
      <w:footerReference r:id="rId5" w:type="default"/>
      <w:pgSz w:w="11906" w:h="16838"/>
      <w:pgMar w:top="198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汉仪书宋二KW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comment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4.160.8/newoa/missive/kinggridOfficeServer.do?method=officeProcess"/>
  </w:docVars>
  <w:rsids>
    <w:rsidRoot w:val="00172A27"/>
    <w:rsid w:val="01E6152D"/>
    <w:rsid w:val="02335D7A"/>
    <w:rsid w:val="054E456A"/>
    <w:rsid w:val="072B2DAF"/>
    <w:rsid w:val="07FC1EC9"/>
    <w:rsid w:val="0B0E0A90"/>
    <w:rsid w:val="0D0962F1"/>
    <w:rsid w:val="0D171B07"/>
    <w:rsid w:val="0D995A3E"/>
    <w:rsid w:val="0EEB734C"/>
    <w:rsid w:val="1252421A"/>
    <w:rsid w:val="12796516"/>
    <w:rsid w:val="13180760"/>
    <w:rsid w:val="140603E8"/>
    <w:rsid w:val="15455599"/>
    <w:rsid w:val="15D44BEB"/>
    <w:rsid w:val="15D46344"/>
    <w:rsid w:val="1660779E"/>
    <w:rsid w:val="17526520"/>
    <w:rsid w:val="19473127"/>
    <w:rsid w:val="19AA0FA9"/>
    <w:rsid w:val="19D36AD6"/>
    <w:rsid w:val="1FB06A62"/>
    <w:rsid w:val="1FE114A0"/>
    <w:rsid w:val="20B74EF7"/>
    <w:rsid w:val="21DD349D"/>
    <w:rsid w:val="23B17200"/>
    <w:rsid w:val="240149AB"/>
    <w:rsid w:val="25822D36"/>
    <w:rsid w:val="26881571"/>
    <w:rsid w:val="286D1121"/>
    <w:rsid w:val="28971627"/>
    <w:rsid w:val="29CF1E07"/>
    <w:rsid w:val="2B984800"/>
    <w:rsid w:val="2BD34E7F"/>
    <w:rsid w:val="2E510CFA"/>
    <w:rsid w:val="2E7D6008"/>
    <w:rsid w:val="2F0372D3"/>
    <w:rsid w:val="2FCE56AC"/>
    <w:rsid w:val="31466485"/>
    <w:rsid w:val="32AA191B"/>
    <w:rsid w:val="32FB44C9"/>
    <w:rsid w:val="33525999"/>
    <w:rsid w:val="33F63D38"/>
    <w:rsid w:val="348155AD"/>
    <w:rsid w:val="35D83DA9"/>
    <w:rsid w:val="35E70129"/>
    <w:rsid w:val="36402AD0"/>
    <w:rsid w:val="36444B34"/>
    <w:rsid w:val="3682019D"/>
    <w:rsid w:val="38125513"/>
    <w:rsid w:val="395714A0"/>
    <w:rsid w:val="3B1B254C"/>
    <w:rsid w:val="3DD339DE"/>
    <w:rsid w:val="3E0C7EDA"/>
    <w:rsid w:val="3F6E7A6B"/>
    <w:rsid w:val="41FD487E"/>
    <w:rsid w:val="42B45D65"/>
    <w:rsid w:val="47DF46F8"/>
    <w:rsid w:val="49A91765"/>
    <w:rsid w:val="4BBE6DBA"/>
    <w:rsid w:val="4C660364"/>
    <w:rsid w:val="4E783F12"/>
    <w:rsid w:val="4E8A5B90"/>
    <w:rsid w:val="4F626B0C"/>
    <w:rsid w:val="4FA365AE"/>
    <w:rsid w:val="5064772C"/>
    <w:rsid w:val="51037E7B"/>
    <w:rsid w:val="52FF4109"/>
    <w:rsid w:val="55E5239E"/>
    <w:rsid w:val="57FE63ED"/>
    <w:rsid w:val="58827087"/>
    <w:rsid w:val="58D14468"/>
    <w:rsid w:val="5AB16482"/>
    <w:rsid w:val="5C346840"/>
    <w:rsid w:val="5D7828E6"/>
    <w:rsid w:val="5E3F6EB8"/>
    <w:rsid w:val="5F0223ED"/>
    <w:rsid w:val="60E16920"/>
    <w:rsid w:val="61AF5561"/>
    <w:rsid w:val="6544632F"/>
    <w:rsid w:val="68DD3C63"/>
    <w:rsid w:val="690579AC"/>
    <w:rsid w:val="6D2B3E12"/>
    <w:rsid w:val="6D3B0FD5"/>
    <w:rsid w:val="6F2A116E"/>
    <w:rsid w:val="6FA36908"/>
    <w:rsid w:val="72A06204"/>
    <w:rsid w:val="745C7D6C"/>
    <w:rsid w:val="75E160A8"/>
    <w:rsid w:val="797A0159"/>
    <w:rsid w:val="7B4E008A"/>
    <w:rsid w:val="7B7A6E08"/>
    <w:rsid w:val="7CBF4A99"/>
    <w:rsid w:val="7F071BF9"/>
    <w:rsid w:val="E97E9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0"/>
      <w:outlineLvl w:val="0"/>
    </w:pPr>
    <w:rPr>
      <w:rFonts w:ascii="Times New Roman" w:hAnsi="Times New Roman" w:eastAsia="黑体" w:cs="Microsoft JhengHei"/>
      <w:bCs/>
      <w:szCs w:val="32"/>
      <w:lang w:val="zh-CN" w:bidi="zh-CN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qFormat/>
    <w:uiPriority w:val="0"/>
    <w:pPr>
      <w:ind w:firstLine="640"/>
    </w:pPr>
    <w:rPr>
      <w:rFonts w:ascii="Times New Roman" w:hAnsi="Times New Roman" w:eastAsia="宋体" w:cs="Times New Roman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15"/>
    <w:basedOn w:val="1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WWO_wpscloud_20230920110637-dec0f19faa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2022-02-14T15:50:00Z</dcterms:created>
  <dc:creator>凌海涛</dc:creator>
  <cp:lastModifiedBy>办公室公用01</cp:lastModifiedBy>
  <cp:lastPrinted>2024-06-07T16:06:00Z</cp:lastPrinted>
  <dcterms:modified xsi:type="dcterms:W3CDTF">2024-10-24T10:55:59Z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CA24C8877FF94C65918827E18C3D1AC5</vt:lpwstr>
  </property>
</Properties>
</file>