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B1AC0">
      <w:pPr>
        <w:adjustRightInd w:val="0"/>
        <w:snapToGrid w:val="0"/>
        <w:spacing w:line="560" w:lineRule="atLeast"/>
        <w:jc w:val="both"/>
        <w:rPr>
          <w:rFonts w:hint="default" w:eastAsia="方正小标宋_GBK"/>
          <w:b w:val="0"/>
          <w:bCs/>
          <w:kern w:val="0"/>
          <w:sz w:val="32"/>
          <w:szCs w:val="32"/>
          <w:lang w:val="en-US" w:eastAsia="zh-CN"/>
        </w:rPr>
      </w:pPr>
    </w:p>
    <w:p w14:paraId="6E6798F4">
      <w:pPr>
        <w:adjustRightInd w:val="0"/>
        <w:snapToGrid w:val="0"/>
        <w:spacing w:line="560" w:lineRule="atLeast"/>
        <w:jc w:val="center"/>
        <w:rPr>
          <w:rFonts w:hint="eastAsia" w:eastAsia="方正小标宋_GBK"/>
          <w:b/>
          <w:kern w:val="0"/>
          <w:sz w:val="44"/>
          <w:szCs w:val="44"/>
        </w:rPr>
      </w:pPr>
    </w:p>
    <w:p w14:paraId="01CB17FA">
      <w:pPr>
        <w:adjustRightInd w:val="0"/>
        <w:snapToGrid w:val="0"/>
        <w:spacing w:line="560" w:lineRule="atLeast"/>
        <w:jc w:val="center"/>
        <w:rPr>
          <w:rFonts w:hint="eastAsia" w:eastAsia="方正小标宋_GBK"/>
          <w:b/>
          <w:kern w:val="0"/>
          <w:sz w:val="44"/>
          <w:szCs w:val="44"/>
        </w:rPr>
      </w:pPr>
    </w:p>
    <w:p w14:paraId="7A347EB0">
      <w:pPr>
        <w:shd w:val="clear"/>
        <w:adjustRightInd w:val="0"/>
        <w:snapToGrid w:val="0"/>
        <w:spacing w:line="560" w:lineRule="atLeast"/>
        <w:jc w:val="center"/>
        <w:rPr>
          <w:rFonts w:hint="eastAsia" w:eastAsia="方正小标宋_GBK"/>
          <w:b/>
          <w:kern w:val="0"/>
          <w:sz w:val="44"/>
          <w:szCs w:val="44"/>
          <w:highlight w:val="none"/>
        </w:rPr>
      </w:pPr>
    </w:p>
    <w:p w14:paraId="2C9285E3">
      <w:pPr>
        <w:shd w:val="clear"/>
        <w:adjustRightInd w:val="0"/>
        <w:snapToGrid w:val="0"/>
        <w:spacing w:line="560" w:lineRule="atLeast"/>
        <w:jc w:val="center"/>
        <w:rPr>
          <w:rFonts w:hint="eastAsia" w:ascii="方正小标宋简体" w:hAnsi="方正小标宋简体" w:eastAsia="方正小标宋简体" w:cs="方正小标宋简体"/>
          <w:b/>
          <w:kern w:val="0"/>
          <w:sz w:val="44"/>
          <w:szCs w:val="44"/>
          <w:highlight w:val="none"/>
        </w:rPr>
      </w:pPr>
      <w:r>
        <w:rPr>
          <w:rFonts w:hint="eastAsia" w:ascii="方正小标宋简体" w:hAnsi="方正小标宋简体" w:eastAsia="方正小标宋简体" w:cs="方正小标宋简体"/>
          <w:b/>
          <w:kern w:val="0"/>
          <w:sz w:val="44"/>
          <w:szCs w:val="44"/>
          <w:highlight w:val="none"/>
          <w:lang w:val="en-US" w:eastAsia="zh-CN"/>
        </w:rPr>
        <w:t>产业扶持-</w:t>
      </w:r>
      <w:r>
        <w:rPr>
          <w:rFonts w:hint="eastAsia" w:ascii="方正小标宋简体" w:hAnsi="方正小标宋简体" w:eastAsia="方正小标宋简体" w:cs="方正小标宋简体"/>
          <w:b/>
          <w:kern w:val="0"/>
          <w:sz w:val="44"/>
          <w:szCs w:val="44"/>
          <w:highlight w:val="none"/>
        </w:rPr>
        <w:t>金融服务业发展扶持资金项目</w:t>
      </w:r>
    </w:p>
    <w:p w14:paraId="1BF3E770">
      <w:pPr>
        <w:shd w:val="clear"/>
        <w:adjustRightInd w:val="0"/>
        <w:snapToGrid w:val="0"/>
        <w:spacing w:line="560" w:lineRule="atLeast"/>
        <w:jc w:val="center"/>
        <w:rPr>
          <w:rFonts w:hint="eastAsia" w:ascii="方正小标宋简体" w:hAnsi="方正小标宋简体" w:eastAsia="方正小标宋简体" w:cs="方正小标宋简体"/>
          <w:b/>
          <w:kern w:val="0"/>
          <w:sz w:val="44"/>
          <w:szCs w:val="44"/>
          <w:highlight w:val="none"/>
        </w:rPr>
      </w:pPr>
      <w:r>
        <w:rPr>
          <w:rFonts w:hint="eastAsia" w:ascii="方正小标宋简体" w:hAnsi="方正小标宋简体" w:eastAsia="方正小标宋简体" w:cs="方正小标宋简体"/>
          <w:b/>
          <w:kern w:val="0"/>
          <w:sz w:val="44"/>
          <w:szCs w:val="44"/>
          <w:highlight w:val="none"/>
        </w:rPr>
        <w:t>绩效评价报告</w:t>
      </w:r>
    </w:p>
    <w:p w14:paraId="0B0FF98F">
      <w:pPr>
        <w:shd w:val="clear"/>
        <w:rPr>
          <w:rFonts w:eastAsia="仿宋_GB2312"/>
          <w:snapToGrid w:val="0"/>
          <w:kern w:val="0"/>
          <w:sz w:val="32"/>
          <w:szCs w:val="32"/>
          <w:highlight w:val="none"/>
        </w:rPr>
      </w:pPr>
    </w:p>
    <w:p w14:paraId="0CC84248">
      <w:pPr>
        <w:shd w:val="clear"/>
        <w:rPr>
          <w:rFonts w:eastAsia="仿宋_GB2312"/>
          <w:snapToGrid w:val="0"/>
          <w:kern w:val="0"/>
          <w:sz w:val="32"/>
          <w:szCs w:val="32"/>
          <w:highlight w:val="none"/>
        </w:rPr>
      </w:pPr>
    </w:p>
    <w:p w14:paraId="2AA0EDFA">
      <w:pPr>
        <w:shd w:val="clear"/>
        <w:rPr>
          <w:rFonts w:eastAsia="仿宋_GB2312"/>
          <w:snapToGrid w:val="0"/>
          <w:kern w:val="0"/>
          <w:sz w:val="32"/>
          <w:szCs w:val="32"/>
          <w:highlight w:val="none"/>
        </w:rPr>
      </w:pPr>
    </w:p>
    <w:p w14:paraId="74097AE8">
      <w:pPr>
        <w:shd w:val="clear"/>
        <w:rPr>
          <w:rFonts w:hint="eastAsia" w:eastAsia="仿宋_GB2312"/>
          <w:snapToGrid w:val="0"/>
          <w:kern w:val="0"/>
          <w:sz w:val="32"/>
          <w:szCs w:val="32"/>
          <w:highlight w:val="none"/>
        </w:rPr>
      </w:pPr>
    </w:p>
    <w:p w14:paraId="7528B0E5">
      <w:pPr>
        <w:shd w:val="clear"/>
        <w:rPr>
          <w:rFonts w:hint="eastAsia" w:eastAsia="仿宋_GB2312"/>
          <w:snapToGrid w:val="0"/>
          <w:kern w:val="0"/>
          <w:sz w:val="32"/>
          <w:szCs w:val="32"/>
          <w:highlight w:val="none"/>
        </w:rPr>
      </w:pPr>
    </w:p>
    <w:p w14:paraId="03854242">
      <w:pPr>
        <w:shd w:val="clear"/>
        <w:rPr>
          <w:rFonts w:hint="eastAsia" w:eastAsia="仿宋_GB2312"/>
          <w:snapToGrid w:val="0"/>
          <w:kern w:val="0"/>
          <w:sz w:val="32"/>
          <w:szCs w:val="32"/>
          <w:highlight w:val="none"/>
        </w:rPr>
      </w:pPr>
    </w:p>
    <w:p w14:paraId="0E3F4B9D">
      <w:pPr>
        <w:shd w:val="clear"/>
        <w:rPr>
          <w:rFonts w:hint="eastAsia" w:eastAsia="仿宋_GB2312"/>
          <w:snapToGrid w:val="0"/>
          <w:kern w:val="0"/>
          <w:sz w:val="32"/>
          <w:szCs w:val="32"/>
          <w:highlight w:val="none"/>
        </w:rPr>
      </w:pPr>
    </w:p>
    <w:p w14:paraId="170A2AE7">
      <w:pPr>
        <w:shd w:val="clear"/>
        <w:rPr>
          <w:rFonts w:hint="eastAsia" w:eastAsia="仿宋_GB2312"/>
          <w:snapToGrid w:val="0"/>
          <w:kern w:val="0"/>
          <w:sz w:val="32"/>
          <w:szCs w:val="32"/>
          <w:highlight w:val="none"/>
        </w:rPr>
      </w:pPr>
    </w:p>
    <w:p w14:paraId="3220A1CC">
      <w:pPr>
        <w:shd w:val="clear"/>
        <w:rPr>
          <w:rFonts w:hint="eastAsia" w:eastAsia="仿宋_GB2312"/>
          <w:snapToGrid w:val="0"/>
          <w:kern w:val="0"/>
          <w:sz w:val="32"/>
          <w:szCs w:val="32"/>
          <w:highlight w:val="none"/>
        </w:rPr>
      </w:pPr>
    </w:p>
    <w:p w14:paraId="0F150E58">
      <w:pPr>
        <w:shd w:val="clear"/>
        <w:rPr>
          <w:rFonts w:hint="eastAsia" w:eastAsia="仿宋_GB2312"/>
          <w:snapToGrid w:val="0"/>
          <w:kern w:val="0"/>
          <w:sz w:val="32"/>
          <w:szCs w:val="32"/>
          <w:highlight w:val="none"/>
        </w:rPr>
      </w:pPr>
    </w:p>
    <w:p w14:paraId="1969DCB3">
      <w:pPr>
        <w:shd w:val="clear"/>
        <w:rPr>
          <w:rFonts w:hint="eastAsia" w:eastAsia="仿宋_GB2312"/>
          <w:snapToGrid w:val="0"/>
          <w:kern w:val="0"/>
          <w:sz w:val="32"/>
          <w:szCs w:val="32"/>
          <w:highlight w:val="none"/>
        </w:rPr>
      </w:pPr>
      <w:r>
        <w:rPr>
          <w:rFonts w:hint="eastAsia" w:eastAsia="仿宋_GB2312"/>
          <w:snapToGrid w:val="0"/>
          <w:kern w:val="0"/>
          <w:sz w:val="32"/>
          <w:szCs w:val="32"/>
          <w:highlight w:val="none"/>
        </w:rPr>
        <w:t>评价机构：</w:t>
      </w:r>
      <w:r>
        <w:rPr>
          <w:rFonts w:hint="eastAsia" w:eastAsia="仿宋_GB2312"/>
          <w:snapToGrid w:val="0"/>
          <w:kern w:val="0"/>
          <w:sz w:val="32"/>
          <w:szCs w:val="32"/>
          <w:highlight w:val="none"/>
          <w:lang w:eastAsia="zh-CN"/>
        </w:rPr>
        <w:t>广州南沙经济技术开发区金融工作局</w:t>
      </w:r>
    </w:p>
    <w:p w14:paraId="308D3F3B">
      <w:pPr>
        <w:shd w:val="clear"/>
        <w:rPr>
          <w:rFonts w:hint="eastAsia" w:eastAsia="仿宋_GB2312"/>
          <w:snapToGrid w:val="0"/>
          <w:kern w:val="0"/>
          <w:sz w:val="32"/>
          <w:szCs w:val="32"/>
          <w:highlight w:val="none"/>
        </w:rPr>
      </w:pPr>
    </w:p>
    <w:p w14:paraId="61FFA46F">
      <w:pPr>
        <w:shd w:val="clear"/>
        <w:jc w:val="center"/>
        <w:rPr>
          <w:rFonts w:hint="default" w:eastAsia="仿宋_GB2312"/>
          <w:snapToGrid w:val="0"/>
          <w:kern w:val="0"/>
          <w:sz w:val="32"/>
          <w:szCs w:val="32"/>
          <w:highlight w:val="none"/>
          <w:lang w:val="en-US" w:eastAsia="zh-CN"/>
        </w:rPr>
      </w:pPr>
      <w:r>
        <w:rPr>
          <w:rFonts w:hint="eastAsia" w:eastAsia="仿宋_GB2312"/>
          <w:snapToGrid w:val="0"/>
          <w:kern w:val="0"/>
          <w:sz w:val="32"/>
          <w:szCs w:val="32"/>
          <w:highlight w:val="none"/>
          <w:lang w:val="en-US" w:eastAsia="zh-CN"/>
        </w:rPr>
        <w:t>2024</w:t>
      </w:r>
      <w:r>
        <w:rPr>
          <w:rFonts w:hint="eastAsia" w:eastAsia="仿宋_GB2312"/>
          <w:snapToGrid w:val="0"/>
          <w:kern w:val="0"/>
          <w:sz w:val="32"/>
          <w:szCs w:val="32"/>
          <w:highlight w:val="none"/>
        </w:rPr>
        <w:t>年</w:t>
      </w:r>
      <w:r>
        <w:rPr>
          <w:rFonts w:hint="eastAsia" w:eastAsia="仿宋_GB2312"/>
          <w:snapToGrid w:val="0"/>
          <w:kern w:val="0"/>
          <w:sz w:val="32"/>
          <w:szCs w:val="32"/>
          <w:highlight w:val="none"/>
          <w:lang w:val="en-US" w:eastAsia="zh-CN"/>
        </w:rPr>
        <w:t>10月</w:t>
      </w:r>
    </w:p>
    <w:p w14:paraId="1227F555">
      <w:pPr>
        <w:shd w:val="clear"/>
        <w:rPr>
          <w:rFonts w:hint="eastAsia" w:eastAsia="仿宋_GB2312"/>
          <w:snapToGrid w:val="0"/>
          <w:kern w:val="0"/>
          <w:sz w:val="32"/>
          <w:szCs w:val="32"/>
          <w:highlight w:val="none"/>
        </w:rPr>
      </w:pPr>
    </w:p>
    <w:p w14:paraId="2930F75D">
      <w:pPr>
        <w:shd w:val="clear"/>
        <w:rPr>
          <w:rFonts w:hint="eastAsia" w:eastAsia="仿宋_GB2312"/>
          <w:snapToGrid w:val="0"/>
          <w:kern w:val="0"/>
          <w:sz w:val="32"/>
          <w:szCs w:val="32"/>
          <w:highlight w:val="none"/>
        </w:rPr>
      </w:pPr>
    </w:p>
    <w:p w14:paraId="5FED3B26">
      <w:pPr>
        <w:shd w:val="clear"/>
        <w:rPr>
          <w:rFonts w:hint="eastAsia" w:eastAsia="仿宋_GB2312"/>
          <w:snapToGrid w:val="0"/>
          <w:kern w:val="0"/>
          <w:sz w:val="32"/>
          <w:szCs w:val="32"/>
          <w:highlight w:val="none"/>
        </w:rPr>
      </w:pPr>
    </w:p>
    <w:p w14:paraId="4A548FA5">
      <w:pPr>
        <w:keepNext w:val="0"/>
        <w:keepLines w:val="0"/>
        <w:pageBreakBefore w:val="0"/>
        <w:shd w:val="clear"/>
        <w:kinsoku/>
        <w:wordWrap/>
        <w:overflowPunct/>
        <w:topLinePunct w:val="0"/>
        <w:autoSpaceDE/>
        <w:autoSpaceDN/>
        <w:bidi w:val="0"/>
        <w:snapToGrid/>
        <w:spacing w:beforeAutospacing="0" w:afterAutospacing="0" w:line="560" w:lineRule="exact"/>
        <w:ind w:firstLine="640" w:firstLineChars="200"/>
        <w:textAlignment w:val="auto"/>
        <w:rPr>
          <w:rFonts w:hint="eastAsia" w:ascii="黑体" w:hAnsi="黑体" w:eastAsia="黑体" w:cs="黑体"/>
          <w:b w:val="0"/>
          <w:bCs/>
          <w:snapToGrid w:val="0"/>
          <w:kern w:val="0"/>
          <w:sz w:val="32"/>
          <w:szCs w:val="32"/>
          <w:highlight w:val="none"/>
        </w:rPr>
        <w:sectPr>
          <w:pgSz w:w="11906" w:h="16838"/>
          <w:pgMar w:top="1440" w:right="1800" w:bottom="1440" w:left="1800" w:header="851" w:footer="992" w:gutter="0"/>
          <w:cols w:space="720" w:num="1"/>
          <w:docGrid w:type="lines" w:linePitch="312" w:charSpace="0"/>
        </w:sectPr>
      </w:pPr>
    </w:p>
    <w:p w14:paraId="6986D220">
      <w:pPr>
        <w:keepNext w:val="0"/>
        <w:keepLines w:val="0"/>
        <w:pageBreakBefore w:val="0"/>
        <w:shd w:val="clear"/>
        <w:kinsoku/>
        <w:wordWrap/>
        <w:overflowPunct/>
        <w:topLinePunct w:val="0"/>
        <w:autoSpaceDE/>
        <w:autoSpaceDN/>
        <w:bidi w:val="0"/>
        <w:snapToGrid/>
        <w:spacing w:beforeAutospacing="0" w:afterAutospacing="0" w:line="560" w:lineRule="exact"/>
        <w:ind w:firstLine="640" w:firstLineChars="200"/>
        <w:textAlignment w:val="auto"/>
        <w:rPr>
          <w:rFonts w:hint="eastAsia" w:ascii="黑体" w:hAnsi="黑体" w:eastAsia="黑体" w:cs="黑体"/>
          <w:b w:val="0"/>
          <w:bCs/>
          <w:snapToGrid w:val="0"/>
          <w:kern w:val="0"/>
          <w:sz w:val="32"/>
          <w:szCs w:val="32"/>
          <w:highlight w:val="none"/>
          <w:lang w:eastAsia="zh-CN"/>
        </w:rPr>
      </w:pPr>
      <w:r>
        <w:rPr>
          <w:rFonts w:hint="eastAsia" w:ascii="黑体" w:hAnsi="黑体" w:eastAsia="黑体" w:cs="黑体"/>
          <w:b w:val="0"/>
          <w:bCs/>
          <w:snapToGrid w:val="0"/>
          <w:kern w:val="0"/>
          <w:sz w:val="32"/>
          <w:szCs w:val="32"/>
          <w:highlight w:val="none"/>
        </w:rPr>
        <w:t>一、评价项目</w:t>
      </w:r>
      <w:r>
        <w:rPr>
          <w:rFonts w:hint="eastAsia" w:ascii="黑体" w:hAnsi="黑体" w:eastAsia="黑体" w:cs="黑体"/>
          <w:b w:val="0"/>
          <w:bCs/>
          <w:snapToGrid w:val="0"/>
          <w:kern w:val="0"/>
          <w:sz w:val="32"/>
          <w:szCs w:val="32"/>
          <w:highlight w:val="none"/>
          <w:lang w:eastAsia="zh-CN"/>
        </w:rPr>
        <w:t>概述</w:t>
      </w:r>
    </w:p>
    <w:p w14:paraId="185748E9">
      <w:pPr>
        <w:keepNext w:val="0"/>
        <w:keepLines w:val="0"/>
        <w:pageBreakBefore w:val="0"/>
        <w:shd w:val="clear"/>
        <w:kinsoku/>
        <w:wordWrap/>
        <w:overflowPunct/>
        <w:topLinePunct w:val="0"/>
        <w:autoSpaceDE/>
        <w:autoSpaceDN/>
        <w:bidi w:val="0"/>
        <w:snapToGrid/>
        <w:spacing w:beforeAutospacing="0" w:afterAutospacing="0" w:line="560" w:lineRule="exact"/>
        <w:ind w:firstLine="640" w:firstLineChars="200"/>
        <w:textAlignment w:val="auto"/>
        <w:rPr>
          <w:rFonts w:hint="eastAsia" w:eastAsia="仿宋_GB2312"/>
          <w:snapToGrid w:val="0"/>
          <w:kern w:val="0"/>
          <w:sz w:val="32"/>
          <w:szCs w:val="32"/>
          <w:highlight w:val="none"/>
        </w:rPr>
      </w:pPr>
      <w:r>
        <w:rPr>
          <w:rFonts w:hint="eastAsia" w:eastAsia="仿宋_GB2312"/>
          <w:snapToGrid w:val="0"/>
          <w:kern w:val="0"/>
          <w:sz w:val="32"/>
          <w:szCs w:val="32"/>
          <w:highlight w:val="none"/>
        </w:rPr>
        <w:t>（一）项目背景</w:t>
      </w:r>
    </w:p>
    <w:p w14:paraId="7723A3AC">
      <w:pPr>
        <w:keepNext w:val="0"/>
        <w:keepLines w:val="0"/>
        <w:pageBreakBefore w:val="0"/>
        <w:numPr>
          <w:ilvl w:val="0"/>
          <w:numId w:val="0"/>
        </w:numPr>
        <w:shd w:val="clear"/>
        <w:kinsoku/>
        <w:wordWrap/>
        <w:overflowPunct/>
        <w:topLinePunct w:val="0"/>
        <w:autoSpaceDE/>
        <w:autoSpaceDN/>
        <w:bidi w:val="0"/>
        <w:snapToGrid/>
        <w:spacing w:beforeAutospacing="0" w:afterAutospacing="0" w:line="560" w:lineRule="exact"/>
        <w:ind w:firstLine="640" w:firstLineChars="200"/>
        <w:textAlignment w:val="auto"/>
        <w:rPr>
          <w:rFonts w:hint="default"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shd w:val="clear" w:color="auto"/>
          <w:lang w:eastAsia="zh-CN"/>
        </w:rPr>
        <w:t>按照</w:t>
      </w:r>
      <w:r>
        <w:rPr>
          <w:rFonts w:hint="eastAsia" w:ascii="仿宋_GB2312" w:hAnsi="仿宋_GB2312" w:eastAsia="仿宋_GB2312" w:cs="仿宋_GB2312"/>
          <w:snapToGrid w:val="0"/>
          <w:kern w:val="0"/>
          <w:sz w:val="32"/>
          <w:szCs w:val="32"/>
          <w:highlight w:val="none"/>
          <w:shd w:val="clear" w:color="auto"/>
        </w:rPr>
        <w:t>《关于优化提升广州南沙新区（自贸片区）“1+1+10”产业政策体系文件之金融服务业发展扶持办法的实施细则》（穗南开金融规字〔2020〕1号）</w:t>
      </w:r>
      <w:r>
        <w:rPr>
          <w:rFonts w:hint="eastAsia" w:ascii="仿宋_GB2312" w:hAnsi="仿宋_GB2312" w:eastAsia="仿宋_GB2312" w:cs="仿宋_GB2312"/>
          <w:snapToGrid w:val="0"/>
          <w:kern w:val="0"/>
          <w:sz w:val="32"/>
          <w:szCs w:val="32"/>
          <w:highlight w:val="none"/>
          <w:shd w:val="clear" w:color="auto"/>
          <w:lang w:eastAsia="zh-CN"/>
        </w:rPr>
        <w:t>、《广州南沙新区（自贸片区）促进金融服务业发展扶持办法实施细则（2020年8月修订版）》（穗南开金融规字〔2020〕3号）、《关于印发广州市南沙区帮扶企业纾困解难若干措施的通知》(穗南开管办规〔202</w:t>
      </w:r>
      <w:r>
        <w:rPr>
          <w:rFonts w:hint="eastAsia" w:ascii="仿宋_GB2312" w:hAnsi="仿宋_GB2312" w:eastAsia="仿宋_GB2312" w:cs="仿宋_GB2312"/>
          <w:snapToGrid w:val="0"/>
          <w:kern w:val="0"/>
          <w:sz w:val="32"/>
          <w:szCs w:val="32"/>
          <w:highlight w:val="none"/>
          <w:shd w:val="clear" w:color="auto"/>
          <w:lang w:val="en-US" w:eastAsia="zh-CN"/>
        </w:rPr>
        <w:t>2</w:t>
      </w:r>
      <w:r>
        <w:rPr>
          <w:rFonts w:hint="eastAsia" w:ascii="仿宋_GB2312" w:hAnsi="仿宋_GB2312" w:eastAsia="仿宋_GB2312" w:cs="仿宋_GB2312"/>
          <w:snapToGrid w:val="0"/>
          <w:kern w:val="0"/>
          <w:sz w:val="32"/>
          <w:szCs w:val="32"/>
          <w:highlight w:val="none"/>
          <w:shd w:val="clear" w:color="auto"/>
          <w:lang w:eastAsia="zh-CN"/>
        </w:rPr>
        <w:t>〕2号)</w:t>
      </w:r>
      <w:r>
        <w:rPr>
          <w:rFonts w:hint="eastAsia" w:ascii="仿宋_GB2312" w:hAnsi="仿宋_GB2312" w:eastAsia="仿宋_GB2312" w:cs="仿宋_GB2312"/>
          <w:sz w:val="32"/>
          <w:szCs w:val="32"/>
          <w:highlight w:val="none"/>
          <w:u w:val="none"/>
          <w:shd w:val="clear" w:color="auto"/>
          <w:lang w:val="en-US" w:eastAsia="zh-CN"/>
        </w:rPr>
        <w:t>及一企一策重点项目协议等</w:t>
      </w:r>
      <w:r>
        <w:rPr>
          <w:rFonts w:hint="eastAsia" w:ascii="仿宋_GB2312" w:hAnsi="仿宋_GB2312" w:eastAsia="仿宋_GB2312" w:cs="仿宋_GB2312"/>
          <w:snapToGrid w:val="0"/>
          <w:kern w:val="0"/>
          <w:sz w:val="32"/>
          <w:szCs w:val="32"/>
          <w:highlight w:val="none"/>
          <w:shd w:val="clear" w:color="auto"/>
          <w:lang w:eastAsia="zh-CN"/>
        </w:rPr>
        <w:t>相关文件规定，我局每年安排金融服务业发展扶持资金，对符合相关条件的重点持牌法人金融机构、重点</w:t>
      </w:r>
      <w:r>
        <w:rPr>
          <w:rFonts w:hint="eastAsia" w:ascii="仿宋_GB2312" w:hAnsi="仿宋_GB2312" w:eastAsia="仿宋_GB2312" w:cs="仿宋_GB2312"/>
          <w:snapToGrid w:val="0"/>
          <w:kern w:val="0"/>
          <w:sz w:val="32"/>
          <w:szCs w:val="32"/>
          <w:highlight w:val="none"/>
          <w:shd w:val="clear" w:color="auto"/>
          <w:lang w:val="en-US" w:eastAsia="zh-CN"/>
        </w:rPr>
        <w:t>发展金融企业和特色金融企业等，根据企业申报情况兑现落户奖、经营贡献奖和上市奖等奖励。按</w:t>
      </w:r>
      <w:r>
        <w:rPr>
          <w:rFonts w:hint="eastAsia" w:ascii="仿宋_GB2312" w:hAnsi="仿宋_GB2312" w:eastAsia="仿宋_GB2312" w:cs="仿宋_GB2312"/>
          <w:snapToGrid w:val="0"/>
          <w:kern w:val="0"/>
          <w:sz w:val="32"/>
          <w:szCs w:val="32"/>
          <w:highlight w:val="none"/>
          <w:shd w:val="clear" w:color="auto"/>
          <w:lang w:eastAsia="zh-CN"/>
        </w:rPr>
        <w:t>我局与飞机租赁项目和重点扶持项目已签署相关协议约定，每年按企业地方经济贡献情况兑现扶持资金</w:t>
      </w:r>
      <w:r>
        <w:rPr>
          <w:rFonts w:hint="eastAsia" w:ascii="仿宋_GB2312" w:hAnsi="仿宋_GB2312" w:eastAsia="仿宋_GB2312" w:cs="仿宋_GB2312"/>
          <w:snapToGrid w:val="0"/>
          <w:kern w:val="0"/>
          <w:sz w:val="32"/>
          <w:szCs w:val="32"/>
          <w:highlight w:val="none"/>
          <w:shd w:val="clear"/>
          <w:lang w:eastAsia="zh-CN"/>
        </w:rPr>
        <w:t>。为落实</w:t>
      </w:r>
      <w:r>
        <w:rPr>
          <w:rFonts w:hint="eastAsia" w:ascii="仿宋_GB2312" w:hAnsi="仿宋_GB2312" w:eastAsia="仿宋_GB2312" w:cs="仿宋_GB2312"/>
          <w:snapToGrid w:val="0"/>
          <w:kern w:val="0"/>
          <w:sz w:val="32"/>
          <w:szCs w:val="32"/>
          <w:highlight w:val="none"/>
          <w:shd w:val="clear" w:color="auto"/>
          <w:lang w:eastAsia="zh-CN"/>
        </w:rPr>
        <w:t>《广州市人民政府关于支持广州期货交易所落户的函》，南沙区配合省、市政府承担起为广期所提供后勤保障、办公场地等重要工作任务，对广期所项目进行扶持</w:t>
      </w:r>
      <w:r>
        <w:rPr>
          <w:rFonts w:hint="eastAsia" w:ascii="仿宋_GB2312" w:hAnsi="仿宋_GB2312" w:eastAsia="仿宋_GB2312" w:cs="仿宋_GB2312"/>
          <w:snapToGrid w:val="0"/>
          <w:kern w:val="0"/>
          <w:sz w:val="32"/>
          <w:szCs w:val="32"/>
          <w:highlight w:val="none"/>
          <w:shd w:val="clear"/>
          <w:lang w:eastAsia="zh-CN"/>
        </w:rPr>
        <w:t>。根据省、市工作部署，为支持广期所尽快开展业务，由南沙区为广期所提供开业办公场地。市场科经公开招标并按程序通过局内会议审议，我局与万科项目公司广州市万鑫商业管理有限公司于2021年12月15日签订完成《期货重点项目珠江新城办公物业租赁服务项目合同书》，为期</w:t>
      </w:r>
      <w:r>
        <w:rPr>
          <w:rFonts w:hint="eastAsia" w:ascii="仿宋_GB2312" w:hAnsi="仿宋_GB2312" w:eastAsia="仿宋_GB2312" w:cs="仿宋_GB2312"/>
          <w:snapToGrid w:val="0"/>
          <w:kern w:val="0"/>
          <w:sz w:val="32"/>
          <w:szCs w:val="32"/>
          <w:highlight w:val="none"/>
          <w:shd w:val="clear"/>
          <w:lang w:val="en-US" w:eastAsia="zh-CN"/>
        </w:rPr>
        <w:t>3年。自广期</w:t>
      </w:r>
      <w:r>
        <w:rPr>
          <w:rFonts w:hint="eastAsia" w:ascii="仿宋_GB2312" w:hAnsi="仿宋_GB2312" w:eastAsia="仿宋_GB2312" w:cs="仿宋_GB2312"/>
          <w:snapToGrid w:val="0"/>
          <w:kern w:val="0"/>
          <w:sz w:val="32"/>
          <w:szCs w:val="32"/>
          <w:highlight w:val="none"/>
          <w:lang w:val="en-US" w:eastAsia="zh-CN"/>
        </w:rPr>
        <w:t>所开业运营以来，已于22年12月、23年分别上市工业硅、碳酸锂期货、期权。工业硅期货和期权、碳酸锂期货和期权自上市以来运行平稳，运行质量持续提升。规模稳步增长。截至2024年</w:t>
      </w:r>
      <w:r>
        <w:rPr>
          <w:rFonts w:hint="eastAsia" w:ascii="仿宋_GB2312" w:hAnsi="仿宋_GB2312" w:eastAsia="仿宋_GB2312" w:cs="仿宋_GB2312"/>
          <w:snapToGrid w:val="0"/>
          <w:kern w:val="0"/>
          <w:sz w:val="32"/>
          <w:szCs w:val="32"/>
          <w:highlight w:val="none"/>
          <w:shd w:val="clear"/>
          <w:lang w:val="en-US" w:eastAsia="zh-CN"/>
        </w:rPr>
        <w:t>4月，两个品种总成交超1亿手，成交额8.93万亿元。</w:t>
      </w:r>
      <w:r>
        <w:rPr>
          <w:rFonts w:hint="eastAsia" w:ascii="仿宋_GB2312" w:hAnsi="仿宋_GB2312" w:eastAsia="仿宋_GB2312" w:cs="仿宋_GB2312"/>
          <w:sz w:val="32"/>
          <w:szCs w:val="32"/>
          <w:highlight w:val="none"/>
          <w:shd w:val="clear" w:color="auto"/>
        </w:rPr>
        <w:t>为充分完善和发挥金融集聚优势</w:t>
      </w:r>
      <w:r>
        <w:rPr>
          <w:rFonts w:hint="eastAsia" w:ascii="仿宋_GB2312" w:hAnsi="仿宋_GB2312" w:eastAsia="仿宋_GB2312" w:cs="仿宋_GB2312"/>
          <w:sz w:val="32"/>
          <w:szCs w:val="32"/>
          <w:highlight w:val="none"/>
          <w:shd w:val="clear" w:color="auto"/>
          <w:lang w:eastAsia="zh-CN"/>
        </w:rPr>
        <w:t>，</w:t>
      </w:r>
      <w:r>
        <w:rPr>
          <w:rFonts w:hint="eastAsia" w:ascii="仿宋_GB2312" w:hAnsi="仿宋_GB2312" w:eastAsia="仿宋_GB2312" w:cs="仿宋_GB2312"/>
          <w:sz w:val="32"/>
          <w:szCs w:val="32"/>
          <w:highlight w:val="none"/>
          <w:shd w:val="clear" w:color="auto"/>
        </w:rPr>
        <w:t>提升金融服务实体经济高质量发展能力</w:t>
      </w:r>
      <w:r>
        <w:rPr>
          <w:rFonts w:hint="eastAsia" w:ascii="仿宋_GB2312" w:hAnsi="仿宋_GB2312" w:eastAsia="仿宋_GB2312" w:cs="仿宋_GB2312"/>
          <w:sz w:val="32"/>
          <w:szCs w:val="32"/>
          <w:highlight w:val="none"/>
          <w:shd w:val="clear" w:color="auto"/>
          <w:lang w:eastAsia="zh-CN"/>
        </w:rPr>
        <w:t>，</w:t>
      </w:r>
      <w:r>
        <w:rPr>
          <w:rFonts w:hint="eastAsia" w:ascii="仿宋_GB2312" w:hAnsi="仿宋_GB2312" w:eastAsia="仿宋_GB2312" w:cs="仿宋_GB2312"/>
          <w:sz w:val="32"/>
          <w:szCs w:val="32"/>
          <w:highlight w:val="none"/>
          <w:shd w:val="clear" w:color="auto"/>
        </w:rPr>
        <w:t>助力南沙</w:t>
      </w:r>
      <w:r>
        <w:rPr>
          <w:rFonts w:hint="eastAsia" w:ascii="仿宋_GB2312" w:hAnsi="仿宋_GB2312" w:eastAsia="仿宋_GB2312" w:cs="仿宋_GB2312"/>
          <w:sz w:val="32"/>
          <w:szCs w:val="32"/>
          <w:highlight w:val="none"/>
          <w:shd w:val="clear" w:color="auto"/>
          <w:lang w:eastAsia="zh-CN"/>
        </w:rPr>
        <w:t>“</w:t>
      </w:r>
      <w:r>
        <w:rPr>
          <w:rFonts w:hint="eastAsia" w:ascii="仿宋_GB2312" w:hAnsi="仿宋_GB2312" w:eastAsia="仿宋_GB2312" w:cs="仿宋_GB2312"/>
          <w:sz w:val="32"/>
          <w:szCs w:val="32"/>
          <w:highlight w:val="none"/>
          <w:shd w:val="clear" w:color="auto"/>
        </w:rPr>
        <w:t>三区一中心</w:t>
      </w:r>
      <w:r>
        <w:rPr>
          <w:rFonts w:hint="eastAsia" w:ascii="仿宋_GB2312" w:hAnsi="仿宋_GB2312" w:eastAsia="仿宋_GB2312" w:cs="仿宋_GB2312"/>
          <w:sz w:val="32"/>
          <w:szCs w:val="32"/>
          <w:highlight w:val="none"/>
          <w:shd w:val="clear" w:color="auto"/>
          <w:lang w:eastAsia="zh-CN"/>
        </w:rPr>
        <w:t>”</w:t>
      </w:r>
      <w:r>
        <w:rPr>
          <w:rFonts w:hint="eastAsia" w:ascii="仿宋_GB2312" w:hAnsi="仿宋_GB2312" w:eastAsia="仿宋_GB2312" w:cs="仿宋_GB2312"/>
          <w:sz w:val="32"/>
          <w:szCs w:val="32"/>
          <w:highlight w:val="none"/>
          <w:shd w:val="clear" w:color="auto"/>
        </w:rPr>
        <w:t>建设</w:t>
      </w:r>
      <w:r>
        <w:rPr>
          <w:rFonts w:hint="eastAsia" w:ascii="仿宋_GB2312" w:hAnsi="仿宋_GB2312" w:eastAsia="仿宋_GB2312" w:cs="仿宋_GB2312"/>
          <w:sz w:val="32"/>
          <w:szCs w:val="32"/>
          <w:highlight w:val="none"/>
          <w:shd w:val="clear" w:color="auto"/>
          <w:lang w:eastAsia="zh-CN"/>
        </w:rPr>
        <w:t>，</w:t>
      </w:r>
      <w:r>
        <w:rPr>
          <w:rFonts w:hint="eastAsia" w:ascii="仿宋_GB2312" w:hAnsi="仿宋_GB2312" w:eastAsia="仿宋_GB2312" w:cs="仿宋_GB2312"/>
          <w:sz w:val="32"/>
          <w:szCs w:val="32"/>
          <w:highlight w:val="none"/>
          <w:shd w:val="clear" w:color="auto"/>
        </w:rPr>
        <w:t>我局</w:t>
      </w:r>
      <w:r>
        <w:rPr>
          <w:rFonts w:hint="eastAsia" w:ascii="仿宋_GB2312" w:hAnsi="仿宋_GB2312" w:eastAsia="仿宋_GB2312" w:cs="仿宋_GB2312"/>
          <w:sz w:val="32"/>
          <w:szCs w:val="32"/>
          <w:highlight w:val="none"/>
          <w:shd w:val="clear" w:color="auto"/>
          <w:lang w:val="en-US" w:eastAsia="zh-CN"/>
        </w:rPr>
        <w:t>根据区主要领导批示，开展明珠金融创新集聚区项目建设。2021年3月，明珠金融创新服务集聚区办公用房租赁项目以公开招投标的形式确定了</w:t>
      </w:r>
      <w:r>
        <w:rPr>
          <w:rFonts w:hint="eastAsia" w:ascii="仿宋_GB2312" w:hAnsi="仿宋_GB2312" w:eastAsia="仿宋_GB2312" w:cs="仿宋_GB2312"/>
          <w:sz w:val="32"/>
          <w:szCs w:val="32"/>
          <w:highlight w:val="none"/>
          <w:shd w:val="clear" w:color="auto"/>
        </w:rPr>
        <w:t>中交城投商业管理</w:t>
      </w:r>
      <w:r>
        <w:rPr>
          <w:rFonts w:hint="eastAsia" w:ascii="仿宋_GB2312" w:hAnsi="仿宋_GB2312" w:eastAsia="仿宋_GB2312" w:cs="仿宋_GB2312"/>
          <w:sz w:val="32"/>
          <w:szCs w:val="32"/>
          <w:highlight w:val="none"/>
          <w:shd w:val="clear" w:color="auto"/>
          <w:lang w:eastAsia="zh-CN"/>
        </w:rPr>
        <w:t>（</w:t>
      </w:r>
      <w:r>
        <w:rPr>
          <w:rFonts w:hint="eastAsia" w:ascii="仿宋_GB2312" w:hAnsi="仿宋_GB2312" w:eastAsia="仿宋_GB2312" w:cs="仿宋_GB2312"/>
          <w:sz w:val="32"/>
          <w:szCs w:val="32"/>
          <w:highlight w:val="none"/>
          <w:shd w:val="clear" w:color="auto"/>
        </w:rPr>
        <w:t>广东</w:t>
      </w:r>
      <w:r>
        <w:rPr>
          <w:rFonts w:hint="eastAsia" w:ascii="仿宋_GB2312" w:hAnsi="仿宋_GB2312" w:eastAsia="仿宋_GB2312" w:cs="仿宋_GB2312"/>
          <w:sz w:val="32"/>
          <w:szCs w:val="32"/>
          <w:highlight w:val="none"/>
          <w:shd w:val="clear" w:color="auto"/>
          <w:lang w:eastAsia="zh-CN"/>
        </w:rPr>
        <w:t>）</w:t>
      </w:r>
      <w:r>
        <w:rPr>
          <w:rFonts w:hint="eastAsia" w:ascii="仿宋_GB2312" w:hAnsi="仿宋_GB2312" w:eastAsia="仿宋_GB2312" w:cs="仿宋_GB2312"/>
          <w:sz w:val="32"/>
          <w:szCs w:val="32"/>
          <w:highlight w:val="none"/>
          <w:shd w:val="clear" w:color="auto"/>
        </w:rPr>
        <w:t>有限公司</w:t>
      </w:r>
      <w:r>
        <w:rPr>
          <w:rFonts w:hint="eastAsia" w:ascii="仿宋_GB2312" w:hAnsi="仿宋_GB2312" w:eastAsia="仿宋_GB2312" w:cs="仿宋_GB2312"/>
          <w:sz w:val="32"/>
          <w:szCs w:val="32"/>
          <w:highlight w:val="none"/>
          <w:shd w:val="clear" w:color="auto"/>
          <w:lang w:eastAsia="zh-CN"/>
        </w:rPr>
        <w:t>（</w:t>
      </w:r>
      <w:r>
        <w:rPr>
          <w:rFonts w:hint="eastAsia" w:ascii="仿宋_GB2312" w:hAnsi="仿宋_GB2312" w:eastAsia="仿宋_GB2312" w:cs="仿宋_GB2312"/>
          <w:sz w:val="32"/>
          <w:szCs w:val="32"/>
          <w:highlight w:val="none"/>
          <w:shd w:val="clear" w:color="auto"/>
        </w:rPr>
        <w:t>原名</w:t>
      </w:r>
      <w:r>
        <w:rPr>
          <w:rFonts w:hint="eastAsia" w:ascii="仿宋_GB2312" w:hAnsi="仿宋_GB2312" w:eastAsia="仿宋_GB2312" w:cs="仿宋_GB2312"/>
          <w:sz w:val="32"/>
          <w:szCs w:val="32"/>
          <w:highlight w:val="none"/>
          <w:shd w:val="clear" w:color="auto"/>
          <w:lang w:eastAsia="zh-CN"/>
        </w:rPr>
        <w:t>：</w:t>
      </w:r>
      <w:r>
        <w:rPr>
          <w:rFonts w:hint="eastAsia" w:ascii="仿宋_GB2312" w:hAnsi="仿宋_GB2312" w:eastAsia="仿宋_GB2312" w:cs="仿宋_GB2312"/>
          <w:sz w:val="32"/>
          <w:szCs w:val="32"/>
          <w:highlight w:val="none"/>
          <w:shd w:val="clear" w:color="auto"/>
        </w:rPr>
        <w:t>广州汇嘉园林装饰工程有限公司</w:t>
      </w:r>
      <w:r>
        <w:rPr>
          <w:rFonts w:hint="eastAsia" w:ascii="仿宋_GB2312" w:hAnsi="仿宋_GB2312" w:eastAsia="仿宋_GB2312" w:cs="仿宋_GB2312"/>
          <w:sz w:val="32"/>
          <w:szCs w:val="32"/>
          <w:highlight w:val="none"/>
          <w:shd w:val="clear" w:color="auto"/>
          <w:lang w:eastAsia="zh-CN"/>
        </w:rPr>
        <w:t>）</w:t>
      </w:r>
      <w:r>
        <w:rPr>
          <w:rFonts w:hint="eastAsia" w:ascii="仿宋_GB2312" w:hAnsi="仿宋_GB2312" w:eastAsia="仿宋_GB2312" w:cs="仿宋_GB2312"/>
          <w:sz w:val="32"/>
          <w:szCs w:val="32"/>
          <w:highlight w:val="none"/>
          <w:shd w:val="clear" w:color="auto"/>
          <w:lang w:val="en-US" w:eastAsia="zh-CN"/>
        </w:rPr>
        <w:t>为中标单位。</w:t>
      </w:r>
      <w:r>
        <w:rPr>
          <w:rFonts w:hint="eastAsia" w:ascii="仿宋_GB2312" w:hAnsi="仿宋_GB2312" w:eastAsia="仿宋_GB2312" w:cs="仿宋_GB2312"/>
          <w:sz w:val="32"/>
          <w:szCs w:val="32"/>
          <w:highlight w:val="none"/>
          <w:shd w:val="clear" w:color="auto"/>
        </w:rPr>
        <w:t>经局党组会审议通过</w:t>
      </w:r>
      <w:r>
        <w:rPr>
          <w:rFonts w:hint="eastAsia" w:ascii="仿宋_GB2312" w:hAnsi="仿宋_GB2312" w:eastAsia="仿宋_GB2312" w:cs="仿宋_GB2312"/>
          <w:sz w:val="32"/>
          <w:szCs w:val="32"/>
          <w:highlight w:val="none"/>
          <w:shd w:val="clear" w:color="auto"/>
          <w:lang w:eastAsia="zh-CN"/>
        </w:rPr>
        <w:t>，</w:t>
      </w:r>
      <w:r>
        <w:rPr>
          <w:rFonts w:hint="eastAsia" w:ascii="仿宋_GB2312" w:hAnsi="仿宋_GB2312" w:eastAsia="仿宋_GB2312" w:cs="仿宋_GB2312"/>
          <w:sz w:val="32"/>
          <w:szCs w:val="32"/>
          <w:highlight w:val="none"/>
          <w:shd w:val="clear" w:color="auto"/>
        </w:rPr>
        <w:t>我局于2021年4月与中交公司签订《明珠金融创新服务集聚区办公用房租赁合同》</w:t>
      </w:r>
      <w:r>
        <w:rPr>
          <w:rFonts w:hint="eastAsia" w:ascii="仿宋_GB2312" w:hAnsi="仿宋_GB2312" w:eastAsia="仿宋_GB2312" w:cs="仿宋_GB2312"/>
          <w:sz w:val="32"/>
          <w:szCs w:val="32"/>
          <w:highlight w:val="none"/>
          <w:shd w:val="clear" w:color="auto"/>
          <w:lang w:eastAsia="zh-CN"/>
        </w:rPr>
        <w:t>，</w:t>
      </w:r>
      <w:r>
        <w:rPr>
          <w:rFonts w:hint="eastAsia" w:ascii="仿宋_GB2312" w:hAnsi="仿宋_GB2312" w:eastAsia="仿宋_GB2312" w:cs="仿宋_GB2312"/>
          <w:sz w:val="32"/>
          <w:szCs w:val="32"/>
          <w:highlight w:val="none"/>
          <w:shd w:val="clear" w:color="auto"/>
          <w:lang w:val="en-US" w:eastAsia="zh-CN"/>
        </w:rPr>
        <w:t>并于2021年10月签订补充协议，按照每平方米每月租金50元的标准租赁中交汇通中心C3栋28-35楼（8层，共19982.1328平方米）作为金融企业落户载体，打造明珠金融创新集聚区，由我局统筹招商，租赁期限为3年</w:t>
      </w:r>
      <w:r>
        <w:rPr>
          <w:rFonts w:hint="eastAsia"/>
          <w:highlight w:val="none"/>
          <w:shd w:val="clear"/>
          <w:lang w:eastAsia="zh-CN"/>
        </w:rPr>
        <w:t>。</w:t>
      </w:r>
      <w:r>
        <w:rPr>
          <w:rFonts w:hint="eastAsia" w:ascii="仿宋_GB2312" w:hAnsi="仿宋_GB2312" w:eastAsia="仿宋_GB2312" w:cs="仿宋_GB2312"/>
          <w:sz w:val="32"/>
          <w:szCs w:val="32"/>
          <w:highlight w:val="none"/>
          <w:shd w:val="clear"/>
          <w:lang w:val="en-US" w:eastAsia="zh-CN"/>
        </w:rPr>
        <w:t>目前，</w:t>
      </w:r>
      <w:r>
        <w:rPr>
          <w:rFonts w:hint="eastAsia" w:ascii="仿宋_GB2312" w:eastAsia="仿宋_GB2312"/>
          <w:sz w:val="32"/>
          <w:szCs w:val="32"/>
          <w:highlight w:val="none"/>
          <w:shd w:val="clear"/>
        </w:rPr>
        <w:t>通过搭建平台、优化环境、推介政策、强化服务等</w:t>
      </w:r>
      <w:r>
        <w:rPr>
          <w:rFonts w:hint="eastAsia" w:ascii="仿宋_GB2312" w:eastAsia="仿宋_GB2312"/>
          <w:sz w:val="32"/>
          <w:szCs w:val="32"/>
          <w:highlight w:val="none"/>
          <w:shd w:val="clear"/>
          <w:lang w:val="en-US" w:eastAsia="zh-CN"/>
        </w:rPr>
        <w:t>措施</w:t>
      </w:r>
      <w:r>
        <w:rPr>
          <w:rFonts w:hint="eastAsia" w:ascii="仿宋_GB2312" w:eastAsia="仿宋_GB2312"/>
          <w:sz w:val="32"/>
          <w:szCs w:val="32"/>
          <w:highlight w:val="none"/>
          <w:shd w:val="clear"/>
        </w:rPr>
        <w:t>，</w:t>
      </w:r>
      <w:r>
        <w:rPr>
          <w:rFonts w:hint="eastAsia" w:ascii="仿宋_GB2312" w:hAnsi="仿宋_GB2312" w:eastAsia="仿宋_GB2312" w:cs="仿宋_GB2312"/>
          <w:sz w:val="32"/>
          <w:szCs w:val="32"/>
          <w:highlight w:val="none"/>
          <w:shd w:val="clear"/>
          <w:lang w:val="en-US" w:eastAsia="zh-CN"/>
        </w:rPr>
        <w:t>集聚区已成为</w:t>
      </w:r>
      <w:r>
        <w:rPr>
          <w:rFonts w:hint="eastAsia" w:ascii="仿宋_GB2312" w:eastAsia="仿宋_GB2312"/>
          <w:sz w:val="32"/>
          <w:szCs w:val="32"/>
          <w:highlight w:val="none"/>
        </w:rPr>
        <w:t>金融机构集聚、产融对接活跃、投资氛围浓厚的集聚区</w:t>
      </w:r>
      <w:r>
        <w:rPr>
          <w:rFonts w:hint="eastAsia" w:ascii="仿宋_GB2312" w:hAnsi="仿宋_GB2312" w:eastAsia="仿宋_GB2312" w:cs="仿宋_GB2312"/>
          <w:sz w:val="32"/>
          <w:szCs w:val="32"/>
          <w:highlight w:val="none"/>
          <w:lang w:val="en-US" w:eastAsia="zh-CN"/>
        </w:rPr>
        <w:t>，是国家、省、市等上级领导调研《南沙方案》工作落实情况的考察点之一，也是对外展现南沙金融创新成效的重要窗口。</w:t>
      </w:r>
    </w:p>
    <w:p w14:paraId="782B2728">
      <w:pPr>
        <w:keepNext w:val="0"/>
        <w:keepLines w:val="0"/>
        <w:pageBreakBefore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2023年，安排产业扶持-金融服务业发展扶持资金项目预算合计87742.83万元。</w:t>
      </w:r>
    </w:p>
    <w:p w14:paraId="4BC73293">
      <w:pPr>
        <w:keepNext w:val="0"/>
        <w:keepLines w:val="0"/>
        <w:pageBreakBefore w:val="0"/>
        <w:numPr>
          <w:ilvl w:val="0"/>
          <w:numId w:val="0"/>
        </w:numPr>
        <w:shd w:val="clear"/>
        <w:kinsoku/>
        <w:wordWrap/>
        <w:overflowPunct/>
        <w:topLinePunct w:val="0"/>
        <w:autoSpaceDE/>
        <w:autoSpaceDN/>
        <w:bidi w:val="0"/>
        <w:snapToGrid/>
        <w:spacing w:beforeAutospacing="0" w:afterAutospacing="0" w:line="560" w:lineRule="exact"/>
        <w:ind w:firstLine="640" w:firstLineChars="200"/>
        <w:textAlignment w:val="auto"/>
        <w:rPr>
          <w:rFonts w:hint="eastAsia" w:eastAsia="仿宋_GB2312"/>
          <w:snapToGrid w:val="0"/>
          <w:kern w:val="0"/>
          <w:sz w:val="32"/>
          <w:szCs w:val="32"/>
          <w:highlight w:val="none"/>
        </w:rPr>
      </w:pPr>
      <w:r>
        <w:rPr>
          <w:rFonts w:hint="eastAsia" w:eastAsia="仿宋_GB2312"/>
          <w:snapToGrid w:val="0"/>
          <w:kern w:val="0"/>
          <w:sz w:val="32"/>
          <w:szCs w:val="32"/>
          <w:highlight w:val="none"/>
          <w:lang w:eastAsia="zh-CN"/>
        </w:rPr>
        <w:t>（</w:t>
      </w:r>
      <w:r>
        <w:rPr>
          <w:rFonts w:hint="eastAsia" w:eastAsia="仿宋_GB2312"/>
          <w:snapToGrid w:val="0"/>
          <w:kern w:val="0"/>
          <w:sz w:val="32"/>
          <w:szCs w:val="32"/>
          <w:highlight w:val="none"/>
          <w:lang w:val="en-US" w:eastAsia="zh-CN"/>
        </w:rPr>
        <w:t>二</w:t>
      </w:r>
      <w:r>
        <w:rPr>
          <w:rFonts w:hint="eastAsia" w:eastAsia="仿宋_GB2312"/>
          <w:snapToGrid w:val="0"/>
          <w:kern w:val="0"/>
          <w:sz w:val="32"/>
          <w:szCs w:val="32"/>
          <w:highlight w:val="none"/>
          <w:lang w:eastAsia="zh-CN"/>
        </w:rPr>
        <w:t>）</w:t>
      </w:r>
      <w:r>
        <w:rPr>
          <w:rFonts w:hint="eastAsia" w:eastAsia="仿宋_GB2312"/>
          <w:snapToGrid w:val="0"/>
          <w:kern w:val="0"/>
          <w:sz w:val="32"/>
          <w:szCs w:val="32"/>
          <w:highlight w:val="none"/>
        </w:rPr>
        <w:t>项目目标</w:t>
      </w:r>
    </w:p>
    <w:p w14:paraId="480A60AF">
      <w:pPr>
        <w:keepNext w:val="0"/>
        <w:keepLines w:val="0"/>
        <w:pageBreakBefore w:val="0"/>
        <w:numPr>
          <w:ilvl w:val="0"/>
          <w:numId w:val="0"/>
        </w:numPr>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通过开展</w:t>
      </w:r>
      <w:r>
        <w:rPr>
          <w:rFonts w:hint="eastAsia" w:ascii="仿宋_GB2312" w:hAnsi="仿宋_GB2312" w:eastAsia="仿宋_GB2312" w:cs="仿宋_GB2312"/>
          <w:snapToGrid w:val="0"/>
          <w:kern w:val="0"/>
          <w:sz w:val="32"/>
          <w:szCs w:val="32"/>
          <w:highlight w:val="none"/>
          <w:lang w:val="en-US" w:eastAsia="zh-CN"/>
        </w:rPr>
        <w:t>产业扶持-</w:t>
      </w:r>
      <w:r>
        <w:rPr>
          <w:rFonts w:hint="eastAsia" w:ascii="仿宋_GB2312" w:hAnsi="仿宋_GB2312" w:eastAsia="仿宋_GB2312" w:cs="仿宋_GB2312"/>
          <w:snapToGrid w:val="0"/>
          <w:kern w:val="0"/>
          <w:sz w:val="32"/>
          <w:szCs w:val="32"/>
          <w:highlight w:val="none"/>
        </w:rPr>
        <w:t>金融服务业</w:t>
      </w:r>
      <w:r>
        <w:rPr>
          <w:rFonts w:hint="eastAsia" w:ascii="仿宋_GB2312" w:hAnsi="仿宋_GB2312" w:eastAsia="仿宋_GB2312" w:cs="仿宋_GB2312"/>
          <w:snapToGrid w:val="0"/>
          <w:kern w:val="0"/>
          <w:sz w:val="32"/>
          <w:szCs w:val="32"/>
          <w:highlight w:val="none"/>
          <w:lang w:eastAsia="zh-CN"/>
        </w:rPr>
        <w:t>发展</w:t>
      </w:r>
      <w:r>
        <w:rPr>
          <w:rFonts w:hint="eastAsia" w:ascii="仿宋_GB2312" w:hAnsi="仿宋_GB2312" w:eastAsia="仿宋_GB2312" w:cs="仿宋_GB2312"/>
          <w:snapToGrid w:val="0"/>
          <w:kern w:val="0"/>
          <w:sz w:val="32"/>
          <w:szCs w:val="32"/>
          <w:highlight w:val="none"/>
        </w:rPr>
        <w:t>扶持资金项目，为各类金融企业入驻南沙发展提供财政支持，有效推动金融持牌法人，融资租赁、股权投资和商业保理等各类金融企业在南沙集聚，提高金融增加值对南沙区GDP贡献比例，增强金融企业对南沙的信心和归属感，为南沙营商环境做好宣传。</w:t>
      </w:r>
    </w:p>
    <w:p w14:paraId="0E16D9CE">
      <w:pPr>
        <w:keepNext w:val="0"/>
        <w:keepLines w:val="0"/>
        <w:pageBreakBefore w:val="0"/>
        <w:numPr>
          <w:ilvl w:val="0"/>
          <w:numId w:val="0"/>
        </w:numPr>
        <w:kinsoku/>
        <w:wordWrap/>
        <w:overflowPunct/>
        <w:topLinePunct w:val="0"/>
        <w:autoSpaceDE/>
        <w:autoSpaceDN/>
        <w:bidi w:val="0"/>
        <w:snapToGrid/>
        <w:spacing w:beforeAutospacing="0" w:afterAutospacing="0" w:line="560" w:lineRule="exact"/>
        <w:ind w:leftChars="0" w:firstLine="640" w:firstLineChars="200"/>
        <w:textAlignment w:val="auto"/>
        <w:rPr>
          <w:rFonts w:hint="eastAsia" w:eastAsia="仿宋_GB2312"/>
          <w:snapToGrid w:val="0"/>
          <w:kern w:val="0"/>
          <w:sz w:val="32"/>
          <w:szCs w:val="32"/>
        </w:rPr>
      </w:pPr>
      <w:r>
        <w:rPr>
          <w:rFonts w:hint="eastAsia" w:eastAsia="仿宋_GB2312"/>
          <w:snapToGrid w:val="0"/>
          <w:kern w:val="0"/>
          <w:sz w:val="32"/>
          <w:szCs w:val="32"/>
          <w:lang w:eastAsia="zh-CN"/>
        </w:rPr>
        <w:t>（</w:t>
      </w:r>
      <w:r>
        <w:rPr>
          <w:rFonts w:hint="eastAsia" w:eastAsia="仿宋_GB2312"/>
          <w:snapToGrid w:val="0"/>
          <w:kern w:val="0"/>
          <w:sz w:val="32"/>
          <w:szCs w:val="32"/>
          <w:lang w:val="en-US" w:eastAsia="zh-CN"/>
        </w:rPr>
        <w:t>三</w:t>
      </w:r>
      <w:r>
        <w:rPr>
          <w:rFonts w:hint="eastAsia" w:eastAsia="仿宋_GB2312"/>
          <w:snapToGrid w:val="0"/>
          <w:kern w:val="0"/>
          <w:sz w:val="32"/>
          <w:szCs w:val="32"/>
          <w:lang w:eastAsia="zh-CN"/>
        </w:rPr>
        <w:t>）</w:t>
      </w:r>
      <w:r>
        <w:rPr>
          <w:rFonts w:hint="eastAsia" w:eastAsia="仿宋_GB2312"/>
          <w:snapToGrid w:val="0"/>
          <w:kern w:val="0"/>
          <w:sz w:val="32"/>
          <w:szCs w:val="32"/>
        </w:rPr>
        <w:t>项目内容</w:t>
      </w:r>
    </w:p>
    <w:p w14:paraId="1E627041">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贯彻落实促进广州南沙新区（自贸片区）金融服务业发展相关工作，积极建设和完善南沙金融发展营商环境。依据《广州南沙新区（自贸片区）促进金融服务业发展扶持办法实施细则》等相关政策，对符合条件的企业进行扶持，包含“1+1+10+N”政策扶持、期交所项目扶持、明珠金融创新集聚区运营等。</w:t>
      </w:r>
    </w:p>
    <w:p w14:paraId="0CD9B971">
      <w:pPr>
        <w:keepNext w:val="0"/>
        <w:keepLines w:val="0"/>
        <w:pageBreakBefore w:val="0"/>
        <w:numPr>
          <w:ilvl w:val="0"/>
          <w:numId w:val="0"/>
        </w:numPr>
        <w:kinsoku/>
        <w:wordWrap/>
        <w:overflowPunct/>
        <w:topLinePunct w:val="0"/>
        <w:autoSpaceDE/>
        <w:autoSpaceDN/>
        <w:bidi w:val="0"/>
        <w:snapToGrid/>
        <w:spacing w:beforeAutospacing="0" w:afterAutospacing="0" w:line="560" w:lineRule="exact"/>
        <w:ind w:leftChars="0" w:firstLine="640" w:firstLineChars="200"/>
        <w:textAlignment w:val="auto"/>
        <w:rPr>
          <w:rFonts w:hint="eastAsia" w:eastAsia="仿宋_GB2312"/>
          <w:snapToGrid w:val="0"/>
          <w:kern w:val="0"/>
          <w:sz w:val="32"/>
          <w:szCs w:val="32"/>
        </w:rPr>
      </w:pPr>
      <w:r>
        <w:rPr>
          <w:rFonts w:hint="eastAsia" w:eastAsia="仿宋_GB2312"/>
          <w:snapToGrid w:val="0"/>
          <w:kern w:val="0"/>
          <w:sz w:val="32"/>
          <w:szCs w:val="32"/>
          <w:lang w:eastAsia="zh-CN"/>
        </w:rPr>
        <w:t>（</w:t>
      </w:r>
      <w:r>
        <w:rPr>
          <w:rFonts w:hint="eastAsia" w:eastAsia="仿宋_GB2312"/>
          <w:snapToGrid w:val="0"/>
          <w:kern w:val="0"/>
          <w:sz w:val="32"/>
          <w:szCs w:val="32"/>
          <w:lang w:val="en-US" w:eastAsia="zh-CN"/>
        </w:rPr>
        <w:t>四</w:t>
      </w:r>
      <w:r>
        <w:rPr>
          <w:rFonts w:hint="eastAsia" w:eastAsia="仿宋_GB2312"/>
          <w:snapToGrid w:val="0"/>
          <w:kern w:val="0"/>
          <w:sz w:val="32"/>
          <w:szCs w:val="32"/>
          <w:lang w:eastAsia="zh-CN"/>
        </w:rPr>
        <w:t>）</w:t>
      </w:r>
      <w:r>
        <w:rPr>
          <w:rFonts w:hint="eastAsia" w:eastAsia="仿宋_GB2312"/>
          <w:snapToGrid w:val="0"/>
          <w:kern w:val="0"/>
          <w:sz w:val="32"/>
          <w:szCs w:val="32"/>
        </w:rPr>
        <w:t>项目实施情况</w:t>
      </w:r>
    </w:p>
    <w:p w14:paraId="4D17CE7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eastAsia="仿宋_GB2312"/>
          <w:snapToGrid w:val="0"/>
          <w:kern w:val="0"/>
          <w:sz w:val="32"/>
          <w:szCs w:val="32"/>
        </w:rPr>
      </w:pPr>
      <w:r>
        <w:rPr>
          <w:rFonts w:hint="eastAsia" w:ascii="仿宋_GB2312" w:hAnsi="仿宋_GB2312" w:eastAsia="仿宋_GB2312" w:cs="仿宋_GB2312"/>
          <w:snapToGrid w:val="0"/>
          <w:kern w:val="0"/>
          <w:sz w:val="32"/>
          <w:szCs w:val="32"/>
          <w:highlight w:val="none"/>
          <w:lang w:val="en-US" w:eastAsia="zh-CN"/>
        </w:rPr>
        <w:t>2023年，使用</w:t>
      </w:r>
      <w:r>
        <w:rPr>
          <w:rFonts w:hint="eastAsia" w:ascii="仿宋_GB2312" w:hAnsi="仿宋_GB2312" w:eastAsia="仿宋_GB2312" w:cs="仿宋_GB2312"/>
          <w:snapToGrid w:val="0"/>
          <w:kern w:val="0"/>
          <w:sz w:val="32"/>
          <w:szCs w:val="32"/>
          <w:highlight w:val="none"/>
        </w:rPr>
        <w:t>金融服务业</w:t>
      </w:r>
      <w:r>
        <w:rPr>
          <w:rFonts w:hint="eastAsia" w:ascii="仿宋_GB2312" w:hAnsi="仿宋_GB2312" w:eastAsia="仿宋_GB2312" w:cs="仿宋_GB2312"/>
          <w:snapToGrid w:val="0"/>
          <w:kern w:val="0"/>
          <w:sz w:val="32"/>
          <w:szCs w:val="32"/>
          <w:highlight w:val="none"/>
          <w:lang w:eastAsia="zh-CN"/>
        </w:rPr>
        <w:t>发展</w:t>
      </w:r>
      <w:r>
        <w:rPr>
          <w:rFonts w:hint="eastAsia" w:ascii="仿宋_GB2312" w:hAnsi="仿宋_GB2312" w:eastAsia="仿宋_GB2312" w:cs="仿宋_GB2312"/>
          <w:snapToGrid w:val="0"/>
          <w:kern w:val="0"/>
          <w:sz w:val="32"/>
          <w:szCs w:val="32"/>
          <w:highlight w:val="none"/>
        </w:rPr>
        <w:t>扶持资金</w:t>
      </w:r>
      <w:r>
        <w:rPr>
          <w:rFonts w:hint="eastAsia" w:ascii="仿宋_GB2312" w:hAnsi="仿宋_GB2312" w:eastAsia="仿宋_GB2312" w:cs="仿宋_GB2312"/>
          <w:snapToGrid w:val="0"/>
          <w:kern w:val="0"/>
          <w:sz w:val="32"/>
          <w:szCs w:val="32"/>
          <w:highlight w:val="none"/>
          <w:lang w:eastAsia="zh-CN"/>
        </w:rPr>
        <w:t>项目预算</w:t>
      </w:r>
      <w:r>
        <w:rPr>
          <w:rFonts w:hint="eastAsia" w:ascii="仿宋_GB2312" w:hAnsi="仿宋_GB2312" w:eastAsia="仿宋_GB2312" w:cs="仿宋_GB2312"/>
          <w:snapToGrid w:val="0"/>
          <w:kern w:val="0"/>
          <w:sz w:val="32"/>
          <w:szCs w:val="32"/>
          <w:highlight w:val="none"/>
          <w:lang w:val="en-US" w:eastAsia="zh-CN"/>
        </w:rPr>
        <w:t>87742.83万元，普惠政策扶持企业24家、一企一策扶持企业6家、飞机租赁（SPV）60家、疫情暖企财政补贴企业114家。同时，对国际金融论坛、期交所项目提供后勤保障、工商注册、临时、开业办公场地、选址建</w:t>
      </w:r>
      <w:r>
        <w:rPr>
          <w:rFonts w:hint="eastAsia" w:ascii="仿宋_GB2312" w:hAnsi="仿宋_GB2312" w:eastAsia="仿宋_GB2312" w:cs="仿宋_GB2312"/>
          <w:snapToGrid w:val="0"/>
          <w:kern w:val="0"/>
          <w:sz w:val="32"/>
          <w:szCs w:val="32"/>
          <w:highlight w:val="none"/>
          <w:shd w:val="clear"/>
          <w:lang w:val="en-US" w:eastAsia="zh-CN"/>
        </w:rPr>
        <w:t>设技术中心及落实一揽子人才政策等重要工作任务及资金支持。</w:t>
      </w:r>
      <w:r>
        <w:rPr>
          <w:rFonts w:hint="eastAsia" w:ascii="仿宋_GB2312" w:hAnsi="仿宋_GB2312" w:eastAsia="仿宋_GB2312" w:cs="仿宋_GB2312"/>
          <w:snapToGrid w:val="0"/>
          <w:kern w:val="0"/>
          <w:sz w:val="32"/>
          <w:szCs w:val="32"/>
          <w:highlight w:val="none"/>
          <w:shd w:val="clear" w:color="auto"/>
          <w:lang w:val="en-US" w:eastAsia="zh-CN"/>
        </w:rPr>
        <w:t>此外，通过公开招标方式采购明珠金融创新服务集聚区办公用房租赁服务为符合条件企业提供办公场地服务，2023年新增入驻企业5家，整体入驻51家，定期举办主题沙龙和招商推介会，密切对接服务企业。</w:t>
      </w:r>
    </w:p>
    <w:p w14:paraId="19A3CADA">
      <w:pPr>
        <w:keepNext w:val="0"/>
        <w:keepLines w:val="0"/>
        <w:pageBreakBefore w:val="0"/>
        <w:shd w:val="clear"/>
        <w:kinsoku/>
        <w:wordWrap/>
        <w:overflowPunct/>
        <w:topLinePunct w:val="0"/>
        <w:autoSpaceDE/>
        <w:autoSpaceDN/>
        <w:bidi w:val="0"/>
        <w:snapToGrid/>
        <w:spacing w:beforeAutospacing="0" w:afterAutospacing="0" w:line="560" w:lineRule="exact"/>
        <w:ind w:firstLine="640" w:firstLineChars="200"/>
        <w:textAlignment w:val="auto"/>
        <w:rPr>
          <w:rFonts w:hint="eastAsia" w:ascii="黑体" w:hAnsi="黑体" w:eastAsia="黑体" w:cs="黑体"/>
          <w:b w:val="0"/>
          <w:bCs/>
          <w:snapToGrid w:val="0"/>
          <w:kern w:val="0"/>
          <w:sz w:val="32"/>
          <w:szCs w:val="32"/>
          <w:highlight w:val="none"/>
        </w:rPr>
      </w:pPr>
      <w:r>
        <w:rPr>
          <w:rFonts w:hint="eastAsia" w:ascii="黑体" w:hAnsi="黑体" w:eastAsia="黑体" w:cs="黑体"/>
          <w:b w:val="0"/>
          <w:bCs/>
          <w:snapToGrid w:val="0"/>
          <w:kern w:val="0"/>
          <w:sz w:val="32"/>
          <w:szCs w:val="32"/>
          <w:highlight w:val="none"/>
        </w:rPr>
        <w:t>二、绩效评价概述</w:t>
      </w:r>
    </w:p>
    <w:p w14:paraId="5C5E6A3F">
      <w:pPr>
        <w:keepNext w:val="0"/>
        <w:keepLines w:val="0"/>
        <w:pageBreakBefore w:val="0"/>
        <w:kinsoku/>
        <w:wordWrap/>
        <w:overflowPunct/>
        <w:topLinePunct w:val="0"/>
        <w:autoSpaceDE/>
        <w:autoSpaceDN/>
        <w:bidi w:val="0"/>
        <w:snapToGrid/>
        <w:spacing w:beforeAutospacing="0" w:afterAutospacing="0" w:line="560" w:lineRule="exact"/>
        <w:ind w:firstLine="640" w:firstLineChars="200"/>
        <w:textAlignment w:val="auto"/>
        <w:rPr>
          <w:rFonts w:hint="eastAsia" w:eastAsia="仿宋_GB2312"/>
          <w:snapToGrid w:val="0"/>
          <w:kern w:val="0"/>
          <w:sz w:val="32"/>
          <w:szCs w:val="32"/>
        </w:rPr>
      </w:pPr>
      <w:r>
        <w:rPr>
          <w:rFonts w:hint="eastAsia" w:eastAsia="仿宋_GB2312"/>
          <w:snapToGrid w:val="0"/>
          <w:kern w:val="0"/>
          <w:sz w:val="32"/>
          <w:szCs w:val="32"/>
          <w:lang w:eastAsia="zh-CN"/>
        </w:rPr>
        <w:t>（</w:t>
      </w:r>
      <w:r>
        <w:rPr>
          <w:rFonts w:hint="eastAsia" w:eastAsia="仿宋_GB2312"/>
          <w:snapToGrid w:val="0"/>
          <w:kern w:val="0"/>
          <w:sz w:val="32"/>
          <w:szCs w:val="32"/>
          <w:lang w:val="en-US" w:eastAsia="zh-CN"/>
        </w:rPr>
        <w:t>一</w:t>
      </w:r>
      <w:r>
        <w:rPr>
          <w:rFonts w:hint="eastAsia" w:eastAsia="仿宋_GB2312"/>
          <w:snapToGrid w:val="0"/>
          <w:kern w:val="0"/>
          <w:sz w:val="32"/>
          <w:szCs w:val="32"/>
          <w:lang w:eastAsia="zh-CN"/>
        </w:rPr>
        <w:t>）</w:t>
      </w:r>
      <w:r>
        <w:rPr>
          <w:rFonts w:hint="eastAsia" w:eastAsia="仿宋_GB2312"/>
          <w:snapToGrid w:val="0"/>
          <w:kern w:val="0"/>
          <w:sz w:val="32"/>
          <w:szCs w:val="32"/>
        </w:rPr>
        <w:t>评价目的</w:t>
      </w:r>
    </w:p>
    <w:p w14:paraId="1AB9C68D">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eastAsia="仿宋_GB2312"/>
          <w:snapToGrid w:val="0"/>
          <w:kern w:val="0"/>
          <w:sz w:val="32"/>
          <w:szCs w:val="32"/>
          <w:highlight w:val="none"/>
        </w:rPr>
      </w:pPr>
      <w:r>
        <w:rPr>
          <w:rFonts w:hint="eastAsia" w:eastAsia="仿宋_GB2312"/>
          <w:snapToGrid w:val="0"/>
          <w:kern w:val="0"/>
          <w:sz w:val="32"/>
          <w:szCs w:val="32"/>
          <w:highlight w:val="none"/>
          <w:shd w:val="clear"/>
        </w:rPr>
        <w:t>为及时评估</w:t>
      </w:r>
      <w:r>
        <w:rPr>
          <w:rFonts w:hint="eastAsia" w:ascii="仿宋_GB2312" w:hAnsi="仿宋_GB2312" w:eastAsia="仿宋_GB2312" w:cs="仿宋_GB2312"/>
          <w:snapToGrid w:val="0"/>
          <w:kern w:val="0"/>
          <w:sz w:val="32"/>
          <w:szCs w:val="32"/>
          <w:highlight w:val="none"/>
          <w:shd w:val="clear" w:color="auto"/>
        </w:rPr>
        <w:t>《关于优化提升广州南沙新区（自贸片区）“1+1+10”产业政策体系文件之金融服务业发展扶持办法的实施细则》（穗南开金融规字〔2020〕1号）</w:t>
      </w:r>
      <w:r>
        <w:rPr>
          <w:rFonts w:hint="eastAsia" w:ascii="仿宋_GB2312" w:hAnsi="仿宋_GB2312" w:eastAsia="仿宋_GB2312" w:cs="仿宋_GB2312"/>
          <w:snapToGrid w:val="0"/>
          <w:kern w:val="0"/>
          <w:sz w:val="32"/>
          <w:szCs w:val="32"/>
          <w:highlight w:val="none"/>
          <w:shd w:val="clear" w:color="auto"/>
          <w:lang w:eastAsia="zh-CN"/>
        </w:rPr>
        <w:t>、《广州南沙新区（自贸片区）促进金融服务业发展扶持办法实施细则（2020年8月修订版）》（穗南开金融规字〔2020〕3号）、《关于印发广州市南沙区帮扶企业纾困解难若干措施的通知》(穗南开管办规〔202</w:t>
      </w:r>
      <w:r>
        <w:rPr>
          <w:rFonts w:hint="eastAsia" w:ascii="仿宋_GB2312" w:hAnsi="仿宋_GB2312" w:eastAsia="仿宋_GB2312" w:cs="仿宋_GB2312"/>
          <w:snapToGrid w:val="0"/>
          <w:kern w:val="0"/>
          <w:sz w:val="32"/>
          <w:szCs w:val="32"/>
          <w:highlight w:val="none"/>
          <w:shd w:val="clear" w:color="auto"/>
          <w:lang w:val="en-US" w:eastAsia="zh-CN"/>
        </w:rPr>
        <w:t>2</w:t>
      </w:r>
      <w:r>
        <w:rPr>
          <w:rFonts w:hint="eastAsia" w:ascii="仿宋_GB2312" w:hAnsi="仿宋_GB2312" w:eastAsia="仿宋_GB2312" w:cs="仿宋_GB2312"/>
          <w:snapToGrid w:val="0"/>
          <w:kern w:val="0"/>
          <w:sz w:val="32"/>
          <w:szCs w:val="32"/>
          <w:highlight w:val="none"/>
          <w:shd w:val="clear" w:color="auto"/>
          <w:lang w:eastAsia="zh-CN"/>
        </w:rPr>
        <w:t>〕2号)</w:t>
      </w:r>
      <w:r>
        <w:rPr>
          <w:rFonts w:hint="eastAsia" w:ascii="仿宋_GB2312" w:hAnsi="仿宋_GB2312" w:eastAsia="仿宋_GB2312" w:cs="仿宋_GB2312"/>
          <w:sz w:val="32"/>
          <w:szCs w:val="32"/>
          <w:highlight w:val="none"/>
          <w:u w:val="none"/>
          <w:shd w:val="clear" w:color="auto"/>
          <w:lang w:val="en-US" w:eastAsia="zh-CN"/>
        </w:rPr>
        <w:t>及一企一策重点项目协议等</w:t>
      </w:r>
      <w:r>
        <w:rPr>
          <w:rFonts w:hint="eastAsia" w:ascii="仿宋_GB2312" w:hAnsi="仿宋_GB2312" w:eastAsia="仿宋_GB2312" w:cs="仿宋_GB2312"/>
          <w:snapToGrid w:val="0"/>
          <w:kern w:val="0"/>
          <w:sz w:val="32"/>
          <w:szCs w:val="32"/>
          <w:highlight w:val="none"/>
          <w:shd w:val="clear" w:color="auto"/>
          <w:lang w:eastAsia="zh-CN"/>
        </w:rPr>
        <w:t>相关文件</w:t>
      </w:r>
      <w:r>
        <w:rPr>
          <w:rFonts w:hint="eastAsia" w:eastAsia="仿宋_GB2312"/>
          <w:snapToGrid w:val="0"/>
          <w:kern w:val="0"/>
          <w:sz w:val="32"/>
          <w:szCs w:val="32"/>
          <w:highlight w:val="none"/>
          <w:shd w:val="clear"/>
        </w:rPr>
        <w:t>的实施效果</w:t>
      </w:r>
      <w:r>
        <w:rPr>
          <w:rFonts w:hint="eastAsia" w:eastAsia="仿宋_GB2312"/>
          <w:snapToGrid w:val="0"/>
          <w:kern w:val="0"/>
          <w:sz w:val="32"/>
          <w:szCs w:val="32"/>
          <w:highlight w:val="none"/>
          <w:shd w:val="clear"/>
          <w:lang w:eastAsia="zh-CN"/>
        </w:rPr>
        <w:t>，</w:t>
      </w:r>
      <w:r>
        <w:rPr>
          <w:rFonts w:hint="eastAsia" w:ascii="Times New Roman" w:hAnsi="Times New Roman" w:eastAsia="仿宋_GB2312"/>
          <w:kern w:val="0"/>
          <w:sz w:val="32"/>
          <w:szCs w:val="32"/>
          <w:highlight w:val="none"/>
          <w:shd w:val="clear"/>
        </w:rPr>
        <w:t>积极协调，紧密配合，切实按照分工做好</w:t>
      </w:r>
      <w:r>
        <w:rPr>
          <w:rFonts w:hint="eastAsia" w:ascii="Times New Roman" w:hAnsi="Times New Roman" w:eastAsia="仿宋_GB2312"/>
          <w:kern w:val="0"/>
          <w:sz w:val="32"/>
          <w:szCs w:val="32"/>
          <w:highlight w:val="none"/>
          <w:shd w:val="clear"/>
          <w:lang w:val="en-US" w:eastAsia="zh-CN"/>
        </w:rPr>
        <w:t>普惠政策、飞机租赁及一企一策奖补兑现相关工作，做好</w:t>
      </w:r>
      <w:r>
        <w:rPr>
          <w:rFonts w:hint="eastAsia" w:ascii="Times New Roman" w:hAnsi="Times New Roman" w:eastAsia="仿宋_GB2312"/>
          <w:kern w:val="0"/>
          <w:sz w:val="32"/>
          <w:szCs w:val="32"/>
          <w:highlight w:val="none"/>
          <w:shd w:val="clear"/>
        </w:rPr>
        <w:t>广期所开业所需的相关保障工作，大力支持广州期货交易所信息产业园建设、配合广州期货交易所做好开业办公场地搬迁入住等工作</w:t>
      </w:r>
      <w:r>
        <w:rPr>
          <w:rFonts w:hint="eastAsia" w:ascii="Times New Roman" w:hAnsi="Times New Roman" w:eastAsia="仿宋_GB2312"/>
          <w:kern w:val="0"/>
          <w:sz w:val="32"/>
          <w:szCs w:val="32"/>
          <w:highlight w:val="none"/>
          <w:shd w:val="clear"/>
          <w:lang w:eastAsia="zh-CN"/>
        </w:rPr>
        <w:t>，</w:t>
      </w:r>
      <w:r>
        <w:rPr>
          <w:rFonts w:hint="eastAsia" w:eastAsia="仿宋_GB2312"/>
          <w:snapToGrid w:val="0"/>
          <w:kern w:val="0"/>
          <w:sz w:val="32"/>
          <w:szCs w:val="32"/>
          <w:highlight w:val="none"/>
          <w:shd w:val="clear"/>
        </w:rPr>
        <w:t>了解掌握我区金融类金融企业的发展情况，进一步发挥金融支持实体经济的作用，确保扶持政策资金取得应有效益。</w:t>
      </w:r>
      <w:r>
        <w:rPr>
          <w:rFonts w:hint="eastAsia" w:eastAsia="仿宋_GB2312"/>
          <w:snapToGrid w:val="0"/>
          <w:kern w:val="0"/>
          <w:sz w:val="32"/>
          <w:szCs w:val="32"/>
          <w:highlight w:val="none"/>
        </w:rPr>
        <w:t xml:space="preserve"> </w:t>
      </w:r>
    </w:p>
    <w:p w14:paraId="44C4E3A5">
      <w:pPr>
        <w:keepNext w:val="0"/>
        <w:keepLines w:val="0"/>
        <w:pageBreakBefore w:val="0"/>
        <w:numPr>
          <w:ilvl w:val="0"/>
          <w:numId w:val="0"/>
        </w:numPr>
        <w:kinsoku/>
        <w:wordWrap/>
        <w:overflowPunct/>
        <w:topLinePunct w:val="0"/>
        <w:autoSpaceDE/>
        <w:autoSpaceDN/>
        <w:bidi w:val="0"/>
        <w:snapToGrid/>
        <w:spacing w:beforeAutospacing="0" w:afterAutospacing="0" w:line="560" w:lineRule="exact"/>
        <w:ind w:firstLine="640" w:firstLineChars="200"/>
        <w:textAlignment w:val="auto"/>
        <w:rPr>
          <w:rFonts w:hint="eastAsia" w:eastAsia="仿宋_GB2312"/>
          <w:snapToGrid w:val="0"/>
          <w:kern w:val="0"/>
          <w:sz w:val="32"/>
          <w:szCs w:val="32"/>
        </w:rPr>
      </w:pPr>
      <w:r>
        <w:rPr>
          <w:rFonts w:hint="eastAsia" w:eastAsia="仿宋_GB2312"/>
          <w:snapToGrid w:val="0"/>
          <w:kern w:val="0"/>
          <w:sz w:val="32"/>
          <w:szCs w:val="32"/>
          <w:lang w:eastAsia="zh-CN"/>
        </w:rPr>
        <w:t>（</w:t>
      </w:r>
      <w:r>
        <w:rPr>
          <w:rFonts w:hint="eastAsia" w:eastAsia="仿宋_GB2312"/>
          <w:snapToGrid w:val="0"/>
          <w:kern w:val="0"/>
          <w:sz w:val="32"/>
          <w:szCs w:val="32"/>
          <w:lang w:val="en-US" w:eastAsia="zh-CN"/>
        </w:rPr>
        <w:t>二</w:t>
      </w:r>
      <w:r>
        <w:rPr>
          <w:rFonts w:hint="eastAsia" w:eastAsia="仿宋_GB2312"/>
          <w:snapToGrid w:val="0"/>
          <w:kern w:val="0"/>
          <w:sz w:val="32"/>
          <w:szCs w:val="32"/>
          <w:lang w:eastAsia="zh-CN"/>
        </w:rPr>
        <w:t>）</w:t>
      </w:r>
      <w:r>
        <w:rPr>
          <w:rFonts w:hint="eastAsia" w:eastAsia="仿宋_GB2312"/>
          <w:snapToGrid w:val="0"/>
          <w:kern w:val="0"/>
          <w:sz w:val="32"/>
          <w:szCs w:val="32"/>
        </w:rPr>
        <w:t>评价设计与实施</w:t>
      </w:r>
    </w:p>
    <w:p w14:paraId="6818EA9B">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val="0"/>
          <w:bCs w:val="0"/>
          <w:snapToGrid w:val="0"/>
          <w:color w:val="auto"/>
          <w:kern w:val="0"/>
          <w:sz w:val="32"/>
          <w:szCs w:val="32"/>
          <w:lang w:val="en-US" w:eastAsia="zh-CN"/>
        </w:rPr>
        <w:t>我局按照《关于印发2024年广州市南沙区财政资金支出绩效评价工作方案的通知》（穗南区财字〔2024〕40号）的有关要求，对2023年部门重点项目政策情况、资金管理和使用情况、相关管理制度办法健全及执行情况、项目实现的产出和取得的效益等情况开展部门重点绩效自评，会相关业务处室收集数据，并撰写绩效评价报告。</w:t>
      </w:r>
    </w:p>
    <w:p w14:paraId="7B96AD4A">
      <w:pPr>
        <w:keepNext w:val="0"/>
        <w:keepLines w:val="0"/>
        <w:pageBreakBefore w:val="0"/>
        <w:kinsoku/>
        <w:wordWrap/>
        <w:overflowPunct/>
        <w:topLinePunct w:val="0"/>
        <w:autoSpaceDE/>
        <w:autoSpaceDN/>
        <w:bidi w:val="0"/>
        <w:snapToGrid/>
        <w:spacing w:beforeAutospacing="0" w:afterAutospacing="0" w:line="560" w:lineRule="exact"/>
        <w:ind w:firstLine="640" w:firstLineChars="200"/>
        <w:textAlignment w:val="auto"/>
        <w:rPr>
          <w:rFonts w:hint="eastAsia" w:eastAsia="仿宋_GB2312"/>
          <w:snapToGrid w:val="0"/>
          <w:kern w:val="0"/>
          <w:sz w:val="32"/>
          <w:szCs w:val="32"/>
        </w:rPr>
      </w:pPr>
      <w:r>
        <w:rPr>
          <w:rFonts w:hint="eastAsia" w:eastAsia="仿宋_GB2312"/>
          <w:snapToGrid w:val="0"/>
          <w:kern w:val="0"/>
          <w:sz w:val="32"/>
          <w:szCs w:val="32"/>
          <w:lang w:eastAsia="zh-CN"/>
        </w:rPr>
        <w:t>（</w:t>
      </w:r>
      <w:r>
        <w:rPr>
          <w:rFonts w:hint="eastAsia" w:eastAsia="仿宋_GB2312"/>
          <w:snapToGrid w:val="0"/>
          <w:kern w:val="0"/>
          <w:sz w:val="32"/>
          <w:szCs w:val="32"/>
          <w:lang w:val="en-US" w:eastAsia="zh-CN"/>
        </w:rPr>
        <w:t>三</w:t>
      </w:r>
      <w:r>
        <w:rPr>
          <w:rFonts w:hint="eastAsia" w:eastAsia="仿宋_GB2312"/>
          <w:snapToGrid w:val="0"/>
          <w:kern w:val="0"/>
          <w:sz w:val="32"/>
          <w:szCs w:val="32"/>
          <w:lang w:eastAsia="zh-CN"/>
        </w:rPr>
        <w:t>）</w:t>
      </w:r>
      <w:r>
        <w:rPr>
          <w:rFonts w:hint="eastAsia" w:eastAsia="仿宋_GB2312"/>
          <w:snapToGrid w:val="0"/>
          <w:kern w:val="0"/>
          <w:sz w:val="32"/>
          <w:szCs w:val="32"/>
        </w:rPr>
        <w:t>绩效评价</w:t>
      </w:r>
      <w:r>
        <w:rPr>
          <w:rFonts w:hint="eastAsia" w:eastAsia="仿宋_GB2312"/>
          <w:snapToGrid w:val="0"/>
          <w:kern w:val="0"/>
          <w:sz w:val="32"/>
          <w:szCs w:val="32"/>
          <w:lang w:eastAsia="zh-CN"/>
        </w:rPr>
        <w:t>指标体系</w:t>
      </w:r>
    </w:p>
    <w:p w14:paraId="440126E1">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bCs/>
          <w:snapToGrid w:val="0"/>
          <w:color w:val="auto"/>
          <w:kern w:val="0"/>
          <w:sz w:val="32"/>
          <w:szCs w:val="32"/>
          <w:lang w:eastAsia="zh-CN"/>
        </w:rPr>
      </w:pPr>
      <w:r>
        <w:rPr>
          <w:rFonts w:hint="eastAsia" w:ascii="仿宋_GB2312" w:hAnsi="仿宋_GB2312" w:eastAsia="仿宋_GB2312" w:cs="仿宋_GB2312"/>
          <w:b w:val="0"/>
          <w:bCs w:val="0"/>
          <w:snapToGrid w:val="0"/>
          <w:color w:val="auto"/>
          <w:kern w:val="0"/>
          <w:sz w:val="32"/>
          <w:szCs w:val="32"/>
          <w:lang w:eastAsia="zh-CN"/>
        </w:rPr>
        <w:t>我局针对</w:t>
      </w:r>
      <w:r>
        <w:rPr>
          <w:rFonts w:hint="eastAsia" w:ascii="仿宋_GB2312" w:hAnsi="仿宋_GB2312" w:eastAsia="仿宋_GB2312" w:cs="仿宋_GB2312"/>
          <w:sz w:val="32"/>
          <w:szCs w:val="32"/>
        </w:rPr>
        <w:t>金融服务业发展扶持资金</w:t>
      </w:r>
      <w:r>
        <w:rPr>
          <w:rFonts w:hint="eastAsia" w:ascii="仿宋_GB2312" w:hAnsi="仿宋_GB2312" w:eastAsia="仿宋_GB2312" w:cs="仿宋_GB2312"/>
          <w:b w:val="0"/>
          <w:bCs w:val="0"/>
          <w:snapToGrid w:val="0"/>
          <w:color w:val="auto"/>
          <w:kern w:val="0"/>
          <w:sz w:val="32"/>
          <w:szCs w:val="32"/>
          <w:lang w:eastAsia="zh-CN"/>
        </w:rPr>
        <w:t>项目设置三个类型的一级绩效指标，分别是：产出指标、效益指标、满意度指标。</w:t>
      </w:r>
    </w:p>
    <w:p w14:paraId="0070AA32">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b/>
          <w:bCs/>
          <w:snapToGrid w:val="0"/>
          <w:color w:val="auto"/>
          <w:kern w:val="0"/>
          <w:sz w:val="32"/>
          <w:szCs w:val="32"/>
          <w:lang w:eastAsia="zh-CN"/>
        </w:rPr>
        <w:t>一是</w:t>
      </w:r>
      <w:r>
        <w:rPr>
          <w:rFonts w:hint="eastAsia" w:ascii="仿宋_GB2312" w:hAnsi="仿宋_GB2312" w:eastAsia="仿宋_GB2312" w:cs="仿宋_GB2312"/>
          <w:snapToGrid w:val="0"/>
          <w:color w:val="auto"/>
          <w:kern w:val="0"/>
          <w:sz w:val="32"/>
          <w:szCs w:val="32"/>
          <w:lang w:eastAsia="zh-CN"/>
        </w:rPr>
        <w:t>产出指标，包含数量指标、质量指标、时效指标及成本指标</w:t>
      </w:r>
      <w:r>
        <w:rPr>
          <w:rFonts w:hint="eastAsia" w:ascii="仿宋_GB2312" w:hAnsi="仿宋_GB2312" w:eastAsia="仿宋_GB2312" w:cs="仿宋_GB2312"/>
          <w:snapToGrid w:val="0"/>
          <w:color w:val="auto"/>
          <w:kern w:val="0"/>
          <w:sz w:val="32"/>
          <w:szCs w:val="32"/>
          <w:lang w:val="en-US" w:eastAsia="zh-CN"/>
        </w:rPr>
        <w:t>4个维度的二级</w:t>
      </w:r>
      <w:r>
        <w:rPr>
          <w:rFonts w:hint="eastAsia" w:ascii="仿宋_GB2312" w:hAnsi="仿宋_GB2312" w:eastAsia="仿宋_GB2312" w:cs="仿宋_GB2312"/>
          <w:snapToGrid w:val="0"/>
          <w:color w:val="auto"/>
          <w:kern w:val="0"/>
          <w:sz w:val="32"/>
          <w:szCs w:val="32"/>
          <w:highlight w:val="none"/>
          <w:lang w:val="en-US" w:eastAsia="zh-CN"/>
        </w:rPr>
        <w:t>指标</w:t>
      </w:r>
      <w:r>
        <w:rPr>
          <w:rFonts w:hint="eastAsia" w:ascii="仿宋_GB2312" w:hAnsi="仿宋_GB2312" w:eastAsia="仿宋_GB2312" w:cs="仿宋_GB2312"/>
          <w:snapToGrid w:val="0"/>
          <w:color w:val="auto"/>
          <w:kern w:val="0"/>
          <w:sz w:val="32"/>
          <w:szCs w:val="32"/>
          <w:highlight w:val="none"/>
          <w:lang w:eastAsia="zh-CN"/>
        </w:rPr>
        <w:t>。细化指标包括扶持当年度符合扶持奖励条件的企业数量、补贴当年度符合扶持补贴条件的SPV公司数量、补贴当年度符合扶持补贴条件的金融企业高管人才数量、扶持奖励足额发放率、企业申报扶持奖励材料受理及时率及成本控制率、明珠金融创新集聚区</w:t>
      </w:r>
      <w:r>
        <w:rPr>
          <w:rFonts w:hint="eastAsia" w:ascii="仿宋_GB2312" w:hAnsi="仿宋_GB2312" w:eastAsia="仿宋_GB2312" w:cs="仿宋_GB2312"/>
          <w:snapToGrid w:val="0"/>
          <w:color w:val="auto"/>
          <w:kern w:val="0"/>
          <w:sz w:val="32"/>
          <w:szCs w:val="32"/>
          <w:highlight w:val="none"/>
          <w:lang w:val="en-US" w:eastAsia="zh-CN"/>
        </w:rPr>
        <w:t>入驻</w:t>
      </w:r>
      <w:r>
        <w:rPr>
          <w:rFonts w:hint="eastAsia" w:ascii="仿宋_GB2312" w:hAnsi="仿宋_GB2312" w:eastAsia="仿宋_GB2312" w:cs="仿宋_GB2312"/>
          <w:snapToGrid w:val="0"/>
          <w:color w:val="auto"/>
          <w:kern w:val="0"/>
          <w:sz w:val="32"/>
          <w:szCs w:val="32"/>
          <w:highlight w:val="none"/>
          <w:lang w:eastAsia="zh-CN"/>
        </w:rPr>
        <w:t>企业数量</w:t>
      </w:r>
      <w:r>
        <w:rPr>
          <w:rFonts w:hint="eastAsia" w:ascii="仿宋_GB2312" w:hAnsi="仿宋_GB2312" w:eastAsia="仿宋_GB2312" w:cs="仿宋_GB2312"/>
          <w:snapToGrid w:val="0"/>
          <w:color w:val="auto"/>
          <w:kern w:val="0"/>
          <w:sz w:val="32"/>
          <w:szCs w:val="32"/>
          <w:lang w:eastAsia="zh-CN"/>
        </w:rPr>
        <w:t>等。</w:t>
      </w:r>
    </w:p>
    <w:p w14:paraId="4BAE6597">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b/>
          <w:bCs/>
          <w:snapToGrid w:val="0"/>
          <w:color w:val="auto"/>
          <w:kern w:val="0"/>
          <w:sz w:val="32"/>
          <w:szCs w:val="32"/>
          <w:lang w:eastAsia="zh-CN"/>
        </w:rPr>
        <w:t>二是</w:t>
      </w:r>
      <w:r>
        <w:rPr>
          <w:rFonts w:hint="eastAsia" w:ascii="仿宋_GB2312" w:hAnsi="仿宋_GB2312" w:eastAsia="仿宋_GB2312" w:cs="仿宋_GB2312"/>
          <w:snapToGrid w:val="0"/>
          <w:color w:val="auto"/>
          <w:kern w:val="0"/>
          <w:sz w:val="32"/>
          <w:szCs w:val="32"/>
          <w:lang w:eastAsia="zh-CN"/>
        </w:rPr>
        <w:t>效益指标，包含社会效</w:t>
      </w:r>
      <w:r>
        <w:rPr>
          <w:rFonts w:hint="eastAsia" w:ascii="仿宋_GB2312" w:hAnsi="仿宋_GB2312" w:eastAsia="仿宋_GB2312" w:cs="仿宋_GB2312"/>
          <w:snapToGrid w:val="0"/>
          <w:color w:val="auto"/>
          <w:kern w:val="0"/>
          <w:sz w:val="32"/>
          <w:szCs w:val="32"/>
          <w:highlight w:val="none"/>
          <w:lang w:eastAsia="zh-CN"/>
        </w:rPr>
        <w:t>益、经济效益和可持续影响</w:t>
      </w:r>
      <w:r>
        <w:rPr>
          <w:rFonts w:hint="eastAsia" w:ascii="仿宋_GB2312" w:hAnsi="仿宋_GB2312" w:eastAsia="仿宋_GB2312" w:cs="仿宋_GB2312"/>
          <w:snapToGrid w:val="0"/>
          <w:color w:val="auto"/>
          <w:kern w:val="0"/>
          <w:sz w:val="32"/>
          <w:szCs w:val="32"/>
          <w:highlight w:val="none"/>
          <w:lang w:val="en-US" w:eastAsia="zh-CN"/>
        </w:rPr>
        <w:t>3个维度的二级指标。细化指标包括金融企业累计落户数、受扶持企业对政策知晓率、金融业税收增长率、是否推动国内外高端金融要素资源集聚、档案管理机制健全性等。</w:t>
      </w:r>
    </w:p>
    <w:p w14:paraId="74AC1579">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eastAsia="仿宋_GB2312"/>
          <w:snapToGrid w:val="0"/>
          <w:kern w:val="0"/>
          <w:sz w:val="32"/>
          <w:szCs w:val="32"/>
          <w:lang w:eastAsia="zh-CN"/>
        </w:rPr>
      </w:pPr>
      <w:r>
        <w:rPr>
          <w:rFonts w:hint="eastAsia" w:ascii="仿宋_GB2312" w:hAnsi="仿宋_GB2312" w:eastAsia="仿宋_GB2312" w:cs="仿宋_GB2312"/>
          <w:b/>
          <w:bCs/>
          <w:snapToGrid w:val="0"/>
          <w:color w:val="auto"/>
          <w:kern w:val="0"/>
          <w:sz w:val="32"/>
          <w:szCs w:val="32"/>
          <w:highlight w:val="none"/>
          <w:lang w:val="en-US" w:eastAsia="zh-CN"/>
        </w:rPr>
        <w:t>三是</w:t>
      </w:r>
      <w:r>
        <w:rPr>
          <w:rFonts w:hint="eastAsia" w:ascii="仿宋_GB2312" w:hAnsi="仿宋_GB2312" w:eastAsia="仿宋_GB2312" w:cs="仿宋_GB2312"/>
          <w:snapToGrid w:val="0"/>
          <w:color w:val="auto"/>
          <w:kern w:val="0"/>
          <w:sz w:val="32"/>
          <w:szCs w:val="32"/>
          <w:highlight w:val="none"/>
          <w:lang w:val="en-US" w:eastAsia="zh-CN"/>
        </w:rPr>
        <w:t>满意度指标，指在开展政策兑现申报受理，奖励兑现过程中，通过接收企业线上咨询，</w:t>
      </w:r>
      <w:r>
        <w:rPr>
          <w:rFonts w:hint="eastAsia" w:ascii="仿宋_GB2312" w:hAnsi="仿宋_GB2312" w:eastAsia="仿宋_GB2312" w:cs="仿宋_GB2312"/>
          <w:snapToGrid w:val="0"/>
          <w:color w:val="auto"/>
          <w:kern w:val="0"/>
          <w:sz w:val="32"/>
          <w:szCs w:val="32"/>
          <w:highlight w:val="none"/>
          <w:lang w:eastAsia="zh-CN"/>
        </w:rPr>
        <w:t>邀请区内金融机构线下活动等方式，当面答疑解惑，协助企业申报政策奖励。专项对接重点项目，结合企业实际情况，及时解答企业疑惑，协调相关事项，收益企业对政策兑现服务满意度</w:t>
      </w:r>
      <w:r>
        <w:rPr>
          <w:rFonts w:hint="eastAsia" w:ascii="仿宋_GB2312" w:hAnsi="仿宋_GB2312" w:eastAsia="仿宋_GB2312" w:cs="仿宋_GB2312"/>
          <w:snapToGrid w:val="0"/>
          <w:color w:val="auto"/>
          <w:kern w:val="0"/>
          <w:sz w:val="32"/>
          <w:szCs w:val="32"/>
          <w:lang w:eastAsia="zh-CN"/>
        </w:rPr>
        <w:t>。</w:t>
      </w:r>
    </w:p>
    <w:p w14:paraId="2C93EC19">
      <w:pPr>
        <w:keepNext w:val="0"/>
        <w:keepLines w:val="0"/>
        <w:pageBreakBefore w:val="0"/>
        <w:shd w:val="clear"/>
        <w:kinsoku/>
        <w:wordWrap/>
        <w:overflowPunct/>
        <w:topLinePunct w:val="0"/>
        <w:autoSpaceDE/>
        <w:autoSpaceDN/>
        <w:bidi w:val="0"/>
        <w:snapToGrid/>
        <w:spacing w:beforeAutospacing="0" w:afterAutospacing="0" w:line="560" w:lineRule="exact"/>
        <w:ind w:firstLine="640" w:firstLineChars="200"/>
        <w:textAlignment w:val="auto"/>
        <w:rPr>
          <w:rFonts w:hint="eastAsia" w:ascii="黑体" w:hAnsi="黑体" w:eastAsia="黑体" w:cs="黑体"/>
          <w:b w:val="0"/>
          <w:bCs/>
          <w:snapToGrid w:val="0"/>
          <w:kern w:val="0"/>
          <w:sz w:val="32"/>
          <w:szCs w:val="32"/>
          <w:highlight w:val="none"/>
        </w:rPr>
      </w:pPr>
      <w:r>
        <w:rPr>
          <w:rFonts w:hint="eastAsia" w:ascii="黑体" w:hAnsi="黑体" w:eastAsia="黑体" w:cs="黑体"/>
          <w:b w:val="0"/>
          <w:bCs/>
          <w:snapToGrid w:val="0"/>
          <w:kern w:val="0"/>
          <w:sz w:val="32"/>
          <w:szCs w:val="32"/>
          <w:highlight w:val="none"/>
        </w:rPr>
        <w:t>三、评价结论与绩效分析</w:t>
      </w:r>
    </w:p>
    <w:p w14:paraId="40C0B5F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通过自评发现，南沙区各类金融机构积极了解南沙金融政策，积极申报相关奖励，受理数量及奖励兑现达标企业及高管人才数量，获得扶持资金企业税收增长率均好于年初预期，但在政策兑现审核效率上有待提高，存在少数几家特殊情况企业，需要重点研究明确奖励原则，奖励金支出不够及时影响了效率。</w:t>
      </w:r>
      <w:r>
        <w:rPr>
          <w:rFonts w:hint="eastAsia" w:ascii="仿宋_GB2312" w:hAnsi="仿宋_GB2312" w:eastAsia="仿宋_GB2312" w:cs="仿宋_GB2312"/>
          <w:sz w:val="32"/>
          <w:szCs w:val="32"/>
          <w:highlight w:val="none"/>
        </w:rPr>
        <w:t>经综合分析，金融服务业发展扶持资金</w:t>
      </w:r>
      <w:r>
        <w:rPr>
          <w:rFonts w:hint="eastAsia" w:ascii="仿宋_GB2312" w:hAnsi="仿宋_GB2312" w:eastAsia="仿宋_GB2312" w:cs="仿宋_GB2312"/>
          <w:sz w:val="32"/>
          <w:szCs w:val="32"/>
          <w:highlight w:val="none"/>
          <w:lang w:eastAsia="zh-CN"/>
        </w:rPr>
        <w:t>项目总体绩效评分</w:t>
      </w:r>
      <w:r>
        <w:rPr>
          <w:rFonts w:hint="eastAsia" w:ascii="仿宋_GB2312" w:hAnsi="仿宋_GB2312" w:eastAsia="仿宋_GB2312" w:cs="仿宋_GB2312"/>
          <w:sz w:val="32"/>
          <w:szCs w:val="32"/>
          <w:highlight w:val="none"/>
          <w:lang w:val="en-US" w:eastAsia="zh-CN"/>
        </w:rPr>
        <w:t>97分。</w:t>
      </w:r>
    </w:p>
    <w:p w14:paraId="7DC3518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我局</w:t>
      </w:r>
      <w:r>
        <w:rPr>
          <w:rFonts w:hint="eastAsia" w:ascii="仿宋_GB2312" w:hAnsi="仿宋_GB2312" w:eastAsia="仿宋_GB2312" w:cs="仿宋_GB2312"/>
          <w:sz w:val="32"/>
          <w:szCs w:val="32"/>
          <w:highlight w:val="none"/>
          <w:lang w:val="en-US" w:eastAsia="zh-CN"/>
        </w:rPr>
        <w:t>产业扶持-</w:t>
      </w:r>
      <w:r>
        <w:rPr>
          <w:rFonts w:hint="eastAsia" w:ascii="仿宋_GB2312" w:hAnsi="仿宋_GB2312" w:eastAsia="仿宋_GB2312" w:cs="仿宋_GB2312"/>
          <w:sz w:val="32"/>
          <w:szCs w:val="32"/>
          <w:highlight w:val="none"/>
        </w:rPr>
        <w:t>金融服务业发展扶持资金</w:t>
      </w:r>
      <w:r>
        <w:rPr>
          <w:rFonts w:hint="eastAsia" w:ascii="仿宋_GB2312" w:hAnsi="仿宋_GB2312" w:eastAsia="仿宋_GB2312" w:cs="仿宋_GB2312"/>
          <w:sz w:val="32"/>
          <w:szCs w:val="32"/>
          <w:highlight w:val="none"/>
          <w:lang w:eastAsia="zh-CN"/>
        </w:rPr>
        <w:t>项目“年度预算执行”指标总分值</w:t>
      </w:r>
      <w:r>
        <w:rPr>
          <w:rFonts w:hint="eastAsia" w:ascii="仿宋_GB2312" w:hAnsi="仿宋_GB2312" w:eastAsia="仿宋_GB2312" w:cs="仿宋_GB2312"/>
          <w:sz w:val="32"/>
          <w:szCs w:val="32"/>
          <w:highlight w:val="none"/>
          <w:lang w:val="en-US" w:eastAsia="zh-CN"/>
        </w:rPr>
        <w:t>10分，年度预算数</w:t>
      </w:r>
      <w:r>
        <w:rPr>
          <w:rFonts w:hint="eastAsia" w:ascii="仿宋_GB2312" w:hAnsi="仿宋_GB2312" w:eastAsia="仿宋_GB2312" w:cs="仿宋_GB2312"/>
          <w:snapToGrid w:val="0"/>
          <w:kern w:val="0"/>
          <w:sz w:val="32"/>
          <w:szCs w:val="32"/>
          <w:highlight w:val="none"/>
          <w:lang w:val="en-US" w:eastAsia="zh-CN"/>
        </w:rPr>
        <w:t>87742.83</w:t>
      </w:r>
      <w:r>
        <w:rPr>
          <w:rFonts w:hint="eastAsia" w:ascii="仿宋_GB2312" w:hAnsi="仿宋_GB2312" w:eastAsia="仿宋_GB2312" w:cs="仿宋_GB2312"/>
          <w:sz w:val="32"/>
          <w:szCs w:val="32"/>
          <w:highlight w:val="none"/>
          <w:lang w:val="en-US" w:eastAsia="zh-CN"/>
        </w:rPr>
        <w:t>万元，年度预算执行数</w:t>
      </w:r>
      <w:r>
        <w:rPr>
          <w:rFonts w:hint="eastAsia" w:ascii="仿宋_GB2312" w:hAnsi="仿宋_GB2312" w:eastAsia="仿宋_GB2312" w:cs="仿宋_GB2312"/>
          <w:snapToGrid w:val="0"/>
          <w:kern w:val="0"/>
          <w:sz w:val="32"/>
          <w:szCs w:val="32"/>
          <w:highlight w:val="none"/>
          <w:lang w:val="en-US" w:eastAsia="zh-CN"/>
        </w:rPr>
        <w:t>87572.71</w:t>
      </w:r>
      <w:r>
        <w:rPr>
          <w:rFonts w:hint="eastAsia" w:ascii="仿宋_GB2312" w:hAnsi="仿宋_GB2312" w:eastAsia="仿宋_GB2312" w:cs="仿宋_GB2312"/>
          <w:sz w:val="32"/>
          <w:szCs w:val="32"/>
          <w:highlight w:val="none"/>
          <w:lang w:val="en-US" w:eastAsia="zh-CN"/>
        </w:rPr>
        <w:t>万元，预算执行率为99.81%，得分9.98分。</w:t>
      </w:r>
    </w:p>
    <w:p w14:paraId="2DA86C5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产出指标总分值20分，其中数量指标分值20分，要求完成奖励兑现重点项目数量不少于20个，实际完成24个重点项目奖励兑现；扶持达标企业数量不少于45家，实际扶持达标企业数量64家；补贴达标SPV公司不少于60家，实际补贴达标SPV公司60家。2023年，及时完成上述设定数量指标，完成对符合扶持奖励条件的企业和SPV公司的政策奖励或补贴兑付工作，其中奖励兑现重点项目数量和扶持达标企业数量好于出年初预期，已超额完成指标，得分20分。</w:t>
      </w:r>
    </w:p>
    <w:p w14:paraId="399FA6A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效益指标总分值60分：</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经济效益指标分值20分，</w:t>
      </w:r>
      <w:r>
        <w:rPr>
          <w:rFonts w:hint="eastAsia" w:ascii="仿宋_GB2312" w:hAnsi="仿宋_GB2312" w:eastAsia="仿宋_GB2312" w:cs="仿宋_GB2312"/>
          <w:sz w:val="32"/>
          <w:szCs w:val="32"/>
          <w:highlight w:val="none"/>
        </w:rPr>
        <w:t>享受扶持奖励企业预计产生税收金额</w:t>
      </w:r>
      <w:r>
        <w:rPr>
          <w:rFonts w:hint="eastAsia" w:ascii="仿宋_GB2312" w:hAnsi="仿宋_GB2312" w:eastAsia="仿宋_GB2312" w:cs="仿宋_GB2312"/>
          <w:sz w:val="32"/>
          <w:szCs w:val="32"/>
          <w:highlight w:val="none"/>
          <w:lang w:val="en-US" w:eastAsia="zh-CN"/>
        </w:rPr>
        <w:t>不少于23亿元，实际扶持奖励企业产生税收不少于29亿元，好于出年初预期，已超额完成指标，得分20分。</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sz w:val="32"/>
          <w:szCs w:val="32"/>
          <w:highlight w:val="none"/>
          <w:lang w:val="en-US" w:eastAsia="zh-CN"/>
        </w:rPr>
        <w:t>社会效益指标分值20分，金融企业累计落户数预计不少于6639家，实际金融企业累计落户不少于6874家，好于出年初预期，已超额完成指标，得分20分。</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sz w:val="32"/>
          <w:szCs w:val="32"/>
          <w:highlight w:val="none"/>
          <w:lang w:val="en-US" w:eastAsia="zh-CN"/>
        </w:rPr>
        <w:t>企业满意度指标分值20分，截至目前未收到一家企业对评审结果提出异议，得分20分。</w:t>
      </w:r>
    </w:p>
    <w:p w14:paraId="22667FB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eastAsia="仿宋_GB2312"/>
          <w:snapToGrid w:val="0"/>
          <w:kern w:val="0"/>
          <w:sz w:val="32"/>
          <w:szCs w:val="32"/>
          <w:highlight w:val="cyan"/>
          <w:lang w:val="en-US" w:eastAsia="zh-CN"/>
        </w:rPr>
      </w:pPr>
      <w:r>
        <w:rPr>
          <w:rFonts w:hint="eastAsia" w:ascii="仿宋_GB2312" w:hAnsi="仿宋_GB2312" w:eastAsia="仿宋_GB2312" w:cs="仿宋_GB2312"/>
          <w:sz w:val="32"/>
          <w:szCs w:val="32"/>
          <w:highlight w:val="none"/>
          <w:lang w:val="en-US" w:eastAsia="zh-CN"/>
        </w:rPr>
        <w:t>综上，该</w:t>
      </w:r>
      <w:r>
        <w:rPr>
          <w:rFonts w:hint="eastAsia" w:ascii="仿宋_GB2312" w:hAnsi="仿宋_GB2312" w:eastAsia="仿宋_GB2312" w:cs="仿宋_GB2312"/>
          <w:sz w:val="32"/>
          <w:szCs w:val="32"/>
          <w:highlight w:val="none"/>
          <w:lang w:eastAsia="zh-CN"/>
        </w:rPr>
        <w:t>项目总体绩效得分</w:t>
      </w:r>
      <w:r>
        <w:rPr>
          <w:rFonts w:hint="eastAsia" w:ascii="仿宋_GB2312" w:hAnsi="仿宋_GB2312" w:eastAsia="仿宋_GB2312" w:cs="仿宋_GB2312"/>
          <w:sz w:val="32"/>
          <w:szCs w:val="32"/>
          <w:highlight w:val="none"/>
          <w:lang w:val="en-US" w:eastAsia="zh-CN"/>
        </w:rPr>
        <w:t>97分</w:t>
      </w:r>
      <w:r>
        <w:rPr>
          <w:rFonts w:hint="eastAsia" w:ascii="仿宋" w:hAnsi="仿宋" w:eastAsia="仿宋" w:cs="仿宋"/>
          <w:sz w:val="32"/>
          <w:szCs w:val="32"/>
          <w:highlight w:val="none"/>
          <w:lang w:val="en-US" w:eastAsia="zh-CN"/>
        </w:rPr>
        <w:t>。</w:t>
      </w:r>
    </w:p>
    <w:p w14:paraId="1718372E">
      <w:pPr>
        <w:keepNext w:val="0"/>
        <w:keepLines w:val="0"/>
        <w:pageBreakBefore w:val="0"/>
        <w:shd w:val="clear"/>
        <w:kinsoku/>
        <w:wordWrap/>
        <w:overflowPunct/>
        <w:topLinePunct w:val="0"/>
        <w:autoSpaceDE/>
        <w:autoSpaceDN/>
        <w:bidi w:val="0"/>
        <w:snapToGrid/>
        <w:spacing w:beforeAutospacing="0" w:afterAutospacing="0" w:line="560" w:lineRule="exact"/>
        <w:ind w:firstLine="640" w:firstLineChars="200"/>
        <w:textAlignment w:val="auto"/>
        <w:rPr>
          <w:rFonts w:hint="eastAsia" w:ascii="黑体" w:hAnsi="黑体" w:eastAsia="黑体" w:cs="黑体"/>
          <w:b w:val="0"/>
          <w:bCs/>
          <w:snapToGrid w:val="0"/>
          <w:kern w:val="0"/>
          <w:sz w:val="32"/>
          <w:szCs w:val="32"/>
          <w:highlight w:val="none"/>
          <w:lang w:eastAsia="zh-CN"/>
        </w:rPr>
      </w:pPr>
      <w:r>
        <w:rPr>
          <w:rFonts w:hint="eastAsia" w:ascii="黑体" w:hAnsi="黑体" w:eastAsia="黑体" w:cs="黑体"/>
          <w:b w:val="0"/>
          <w:bCs/>
          <w:snapToGrid w:val="0"/>
          <w:kern w:val="0"/>
          <w:sz w:val="32"/>
          <w:szCs w:val="32"/>
          <w:highlight w:val="none"/>
          <w:lang w:eastAsia="zh-CN"/>
        </w:rPr>
        <w:t>四</w:t>
      </w:r>
      <w:r>
        <w:rPr>
          <w:rFonts w:hint="eastAsia" w:ascii="黑体" w:hAnsi="黑体" w:eastAsia="黑体" w:cs="黑体"/>
          <w:b w:val="0"/>
          <w:bCs/>
          <w:snapToGrid w:val="0"/>
          <w:kern w:val="0"/>
          <w:sz w:val="32"/>
          <w:szCs w:val="32"/>
          <w:highlight w:val="none"/>
        </w:rPr>
        <w:t>、</w:t>
      </w:r>
      <w:r>
        <w:rPr>
          <w:rFonts w:hint="eastAsia" w:ascii="黑体" w:hAnsi="黑体" w:eastAsia="黑体" w:cs="黑体"/>
          <w:b w:val="0"/>
          <w:bCs/>
          <w:snapToGrid w:val="0"/>
          <w:kern w:val="0"/>
          <w:sz w:val="32"/>
          <w:szCs w:val="32"/>
          <w:highlight w:val="none"/>
          <w:lang w:eastAsia="zh-CN"/>
        </w:rPr>
        <w:t>项目</w:t>
      </w:r>
      <w:r>
        <w:rPr>
          <w:rFonts w:hint="eastAsia" w:ascii="黑体" w:hAnsi="黑体" w:eastAsia="黑体" w:cs="黑体"/>
          <w:b w:val="0"/>
          <w:bCs/>
          <w:snapToGrid w:val="0"/>
          <w:kern w:val="0"/>
          <w:sz w:val="32"/>
          <w:szCs w:val="32"/>
          <w:highlight w:val="none"/>
        </w:rPr>
        <w:t>主要绩效</w:t>
      </w:r>
      <w:r>
        <w:rPr>
          <w:rFonts w:hint="eastAsia" w:ascii="黑体" w:hAnsi="黑体" w:eastAsia="黑体" w:cs="黑体"/>
          <w:b w:val="0"/>
          <w:bCs/>
          <w:snapToGrid w:val="0"/>
          <w:kern w:val="0"/>
          <w:sz w:val="32"/>
          <w:szCs w:val="32"/>
          <w:highlight w:val="none"/>
          <w:lang w:eastAsia="zh-CN"/>
        </w:rPr>
        <w:t>或成功经验</w:t>
      </w:r>
    </w:p>
    <w:p w14:paraId="0496CFA1">
      <w:pPr>
        <w:keepNext w:val="0"/>
        <w:keepLines w:val="0"/>
        <w:pageBreakBefore w:val="0"/>
        <w:shd w:val="clear"/>
        <w:kinsoku/>
        <w:wordWrap/>
        <w:overflowPunct/>
        <w:topLinePunct w:val="0"/>
        <w:autoSpaceDE/>
        <w:autoSpaceDN/>
        <w:bidi w:val="0"/>
        <w:snapToGrid/>
        <w:spacing w:beforeAutospacing="0" w:afterAutospacing="0" w:line="56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eastAsia="仿宋_GB2312"/>
          <w:snapToGrid w:val="0"/>
          <w:kern w:val="0"/>
          <w:sz w:val="32"/>
          <w:szCs w:val="32"/>
          <w:highlight w:val="none"/>
        </w:rPr>
        <w:t>（一）</w:t>
      </w:r>
      <w:r>
        <w:rPr>
          <w:rFonts w:hint="eastAsia" w:eastAsia="仿宋_GB2312"/>
          <w:b/>
          <w:bCs/>
          <w:snapToGrid w:val="0"/>
          <w:kern w:val="0"/>
          <w:sz w:val="32"/>
          <w:szCs w:val="32"/>
          <w:highlight w:val="none"/>
        </w:rPr>
        <w:t>金融服务业发展扶持</w:t>
      </w:r>
      <w:r>
        <w:rPr>
          <w:rFonts w:hint="eastAsia" w:eastAsia="仿宋_GB2312"/>
          <w:b/>
          <w:bCs/>
          <w:snapToGrid w:val="0"/>
          <w:kern w:val="0"/>
          <w:sz w:val="32"/>
          <w:szCs w:val="32"/>
          <w:highlight w:val="none"/>
          <w:lang w:eastAsia="zh-CN"/>
        </w:rPr>
        <w:t>项目</w:t>
      </w:r>
      <w:r>
        <w:rPr>
          <w:rFonts w:hint="eastAsia" w:eastAsia="仿宋_GB2312"/>
          <w:b/>
          <w:bCs/>
          <w:snapToGrid w:val="0"/>
          <w:kern w:val="0"/>
          <w:sz w:val="32"/>
          <w:szCs w:val="32"/>
          <w:highlight w:val="none"/>
          <w:lang w:val="en-US" w:eastAsia="zh-CN"/>
        </w:rPr>
        <w:t>全面推动</w:t>
      </w:r>
      <w:r>
        <w:rPr>
          <w:rFonts w:hint="eastAsia" w:eastAsia="仿宋_GB2312"/>
          <w:b/>
          <w:bCs/>
          <w:snapToGrid w:val="0"/>
          <w:kern w:val="0"/>
          <w:sz w:val="32"/>
          <w:szCs w:val="32"/>
          <w:highlight w:val="none"/>
        </w:rPr>
        <w:t>南沙</w:t>
      </w:r>
      <w:r>
        <w:rPr>
          <w:rFonts w:hint="eastAsia" w:eastAsia="仿宋_GB2312"/>
          <w:b/>
          <w:bCs/>
          <w:snapToGrid w:val="0"/>
          <w:kern w:val="0"/>
          <w:sz w:val="32"/>
          <w:szCs w:val="32"/>
          <w:highlight w:val="none"/>
          <w:lang w:val="en-US" w:eastAsia="zh-CN"/>
        </w:rPr>
        <w:t>金融增长</w:t>
      </w:r>
      <w:r>
        <w:rPr>
          <w:rFonts w:hint="eastAsia" w:eastAsia="仿宋_GB2312"/>
          <w:b/>
          <w:bCs/>
          <w:snapToGrid w:val="0"/>
          <w:kern w:val="0"/>
          <w:sz w:val="32"/>
          <w:szCs w:val="32"/>
          <w:highlight w:val="none"/>
        </w:rPr>
        <w:t>。</w:t>
      </w:r>
      <w:r>
        <w:rPr>
          <w:rFonts w:hint="eastAsia" w:eastAsia="仿宋_GB2312"/>
          <w:snapToGrid w:val="0"/>
          <w:kern w:val="0"/>
          <w:sz w:val="32"/>
          <w:szCs w:val="32"/>
          <w:highlight w:val="none"/>
        </w:rPr>
        <w:t>截至2023年底，南沙实现金融业增加值180亿元，同比增长2.6%，占GDP7.8%，全区行业排名第5，拉动GDP增长0.2个百分点；金融业税收为59.53亿元</w:t>
      </w:r>
      <w:r>
        <w:rPr>
          <w:rFonts w:hint="eastAsia" w:eastAsia="仿宋_GB2312"/>
          <w:snapToGrid w:val="0"/>
          <w:kern w:val="0"/>
          <w:sz w:val="32"/>
          <w:szCs w:val="32"/>
          <w:highlight w:val="none"/>
          <w:lang w:eastAsia="zh-CN"/>
        </w:rPr>
        <w:t>；</w:t>
      </w:r>
      <w:r>
        <w:rPr>
          <w:rFonts w:hint="eastAsia" w:eastAsia="仿宋_GB2312"/>
          <w:snapToGrid w:val="0"/>
          <w:kern w:val="0"/>
          <w:sz w:val="32"/>
          <w:szCs w:val="32"/>
          <w:highlight w:val="none"/>
        </w:rPr>
        <w:t>占全区主要企业税收10.85%，同比增长12.02%，其中有9家金融企业税收规模超亿元</w:t>
      </w:r>
      <w:r>
        <w:rPr>
          <w:rFonts w:hint="eastAsia" w:eastAsia="仿宋_GB2312"/>
          <w:snapToGrid w:val="0"/>
          <w:kern w:val="0"/>
          <w:sz w:val="32"/>
          <w:szCs w:val="32"/>
          <w:highlight w:val="none"/>
          <w:lang w:eastAsia="zh-CN"/>
        </w:rPr>
        <w:t>；</w:t>
      </w:r>
      <w:r>
        <w:rPr>
          <w:rFonts w:hint="eastAsia" w:eastAsia="仿宋_GB2312"/>
          <w:snapToGrid w:val="0"/>
          <w:kern w:val="0"/>
          <w:sz w:val="32"/>
          <w:szCs w:val="32"/>
          <w:highlight w:val="none"/>
        </w:rPr>
        <w:t>本外币存款余额为3658.02亿元</w:t>
      </w:r>
      <w:r>
        <w:rPr>
          <w:rFonts w:hint="eastAsia" w:eastAsia="仿宋_GB2312"/>
          <w:snapToGrid w:val="0"/>
          <w:kern w:val="0"/>
          <w:sz w:val="32"/>
          <w:szCs w:val="32"/>
          <w:highlight w:val="none"/>
          <w:lang w:eastAsia="zh-CN"/>
        </w:rPr>
        <w:t>，</w:t>
      </w:r>
      <w:r>
        <w:rPr>
          <w:rFonts w:hint="eastAsia" w:eastAsia="仿宋_GB2312"/>
          <w:snapToGrid w:val="0"/>
          <w:kern w:val="0"/>
          <w:sz w:val="32"/>
          <w:szCs w:val="32"/>
          <w:highlight w:val="none"/>
        </w:rPr>
        <w:t>同比增长 38.1%</w:t>
      </w:r>
      <w:r>
        <w:rPr>
          <w:rFonts w:hint="eastAsia" w:eastAsia="仿宋_GB2312"/>
          <w:snapToGrid w:val="0"/>
          <w:kern w:val="0"/>
          <w:sz w:val="32"/>
          <w:szCs w:val="32"/>
          <w:highlight w:val="none"/>
          <w:lang w:eastAsia="zh-CN"/>
        </w:rPr>
        <w:t>；</w:t>
      </w:r>
      <w:r>
        <w:rPr>
          <w:rFonts w:hint="eastAsia" w:eastAsia="仿宋_GB2312"/>
          <w:snapToGrid w:val="0"/>
          <w:kern w:val="0"/>
          <w:sz w:val="32"/>
          <w:szCs w:val="32"/>
          <w:highlight w:val="none"/>
        </w:rPr>
        <w:t>贷款余额3207.31亿元，同比增长25.3%，增速均高于全省、市。全年新增金融企业 116 家，其中新增 2 家持牌法人机构 (累计17 家，占全市 1/4)</w:t>
      </w:r>
      <w:r>
        <w:rPr>
          <w:rFonts w:hint="eastAsia" w:eastAsia="仿宋_GB2312"/>
          <w:snapToGrid w:val="0"/>
          <w:kern w:val="0"/>
          <w:sz w:val="32"/>
          <w:szCs w:val="32"/>
          <w:highlight w:val="none"/>
          <w:lang w:eastAsia="zh-CN"/>
        </w:rPr>
        <w:t>；</w:t>
      </w:r>
      <w:r>
        <w:rPr>
          <w:rFonts w:hint="eastAsia" w:eastAsia="仿宋_GB2312"/>
          <w:snapToGrid w:val="0"/>
          <w:kern w:val="0"/>
          <w:sz w:val="32"/>
          <w:szCs w:val="32"/>
          <w:highlight w:val="none"/>
        </w:rPr>
        <w:t xml:space="preserve"> 新增 2家上市企业(累计 15 家，总市值超 1300 亿元)；金融企业实现新增进口贡献 31 亿元、固定资产投资约 11 亿元、实际利用外资 1.25 亿美元。</w:t>
      </w:r>
      <w:r>
        <w:rPr>
          <w:rFonts w:hint="eastAsia" w:ascii="FangSong_GB2312" w:hAnsi="FangSong_GB2312" w:eastAsia="FangSong_GB2312" w:cs="FangSong_GB2312"/>
          <w:b/>
          <w:bCs/>
          <w:sz w:val="32"/>
          <w:szCs w:val="32"/>
          <w:highlight w:val="none"/>
          <w:lang w:eastAsia="zh-CN"/>
        </w:rPr>
        <w:t>二是</w:t>
      </w:r>
      <w:r>
        <w:rPr>
          <w:rFonts w:hint="eastAsia" w:ascii="FangSong_GB2312" w:hAnsi="FangSong_GB2312" w:eastAsia="FangSong_GB2312" w:cs="FangSong_GB2312"/>
          <w:b/>
          <w:bCs/>
          <w:sz w:val="32"/>
          <w:szCs w:val="32"/>
          <w:highlight w:val="none"/>
        </w:rPr>
        <w:t>紧抓金融指标助力实体经济提质增效</w:t>
      </w:r>
      <w:r>
        <w:rPr>
          <w:rFonts w:hint="eastAsia" w:ascii="FangSong_GB2312" w:hAnsi="FangSong_GB2312" w:eastAsia="FangSong_GB2312" w:cs="FangSong_GB2312"/>
          <w:b w:val="0"/>
          <w:bCs w:val="0"/>
          <w:sz w:val="32"/>
          <w:szCs w:val="32"/>
          <w:highlight w:val="none"/>
          <w:lang w:eastAsia="zh-CN"/>
        </w:rPr>
        <w:t>。</w:t>
      </w:r>
      <w:r>
        <w:rPr>
          <w:rFonts w:hint="eastAsia" w:ascii="FangSong_GB2312" w:hAnsi="FangSong_GB2312" w:eastAsia="FangSong_GB2312" w:cs="FangSong_GB2312"/>
          <w:sz w:val="32"/>
          <w:szCs w:val="32"/>
          <w:highlight w:val="none"/>
        </w:rPr>
        <w:t>多措并举开展金融业稳增长分析与调度。全年组织区内金融机构召开5场经济形势调度会，并举办银行、融资租赁、商业保理等专题部署会议，围绕今年经济工作目标任务，共商南沙金融稳增长举措。强化产融精准对接。举办“明珠投融荟”“南沙金融沙龙”产融对接品牌活动14场，聚焦重点国企、攻坚拔寨项目、规上工业、商贸服务业等重点领域，精准对接融资需求超250亿元。用好用足信贷补偿机制。落实南沙“助企八条”，加大对获得银行新增贷款的中小微企业按实际支付利息的 30%给予贴息支持，累计114家中小微企业获得补贴奖励资金近 211万元。充分利用南沙信贷风险补偿资金池引导银行提供更多贷款，已送选17家合作金融机构，累计申请入池企业数2296家，实际放款金额约44.5亿元。稳固发展融资租赁产业全年新引进21架飞机(累计265架 )，合同金额累计约165亿美元</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rPr>
        <w:t>新增船舶租赁6艘(累计开展99艘)，合同金额累计超52.33亿元人民币。落地远东宏信融资租赁 (广东) 有限公司及远宏投资(广东)有限公司，总资产已超 100亿元。</w:t>
      </w:r>
      <w:r>
        <w:rPr>
          <w:rFonts w:hint="eastAsia" w:ascii="FangSong_GB2312" w:hAnsi="FangSong_GB2312" w:eastAsia="FangSong_GB2312" w:cs="FangSong_GB2312"/>
          <w:b/>
          <w:bCs/>
          <w:sz w:val="32"/>
          <w:szCs w:val="32"/>
          <w:highlight w:val="none"/>
        </w:rPr>
        <w:t>三是扶持金融重要平台集聚高端资源效应显著。</w:t>
      </w:r>
      <w:r>
        <w:rPr>
          <w:rFonts w:hint="eastAsia" w:ascii="FangSong_GB2312" w:hAnsi="FangSong_GB2312" w:eastAsia="FangSong_GB2312" w:cs="FangSong_GB2312"/>
          <w:sz w:val="32"/>
          <w:szCs w:val="32"/>
          <w:highlight w:val="none"/>
        </w:rPr>
        <w:t>支持推动期货项目建设发展。广州期货交易所已上市工业硅、碳酸</w:t>
      </w:r>
      <w:r>
        <w:rPr>
          <w:rFonts w:hint="eastAsia" w:ascii="FangSong_GB2312" w:hAnsi="FangSong_GB2312" w:eastAsia="FangSong_GB2312" w:cs="FangSong_GB2312"/>
          <w:sz w:val="32"/>
          <w:szCs w:val="32"/>
          <w:highlight w:val="none"/>
          <w:lang w:val="en-US" w:eastAsia="zh-CN"/>
        </w:rPr>
        <w:t>锂</w:t>
      </w:r>
      <w:r>
        <w:rPr>
          <w:rFonts w:hint="eastAsia" w:ascii="FangSong_GB2312" w:hAnsi="FangSong_GB2312" w:eastAsia="FangSong_GB2312" w:cs="FangSong_GB2312"/>
          <w:sz w:val="32"/>
          <w:szCs w:val="32"/>
          <w:highlight w:val="none"/>
        </w:rPr>
        <w:t>两个业务品种，累计成交额超6万亿元。期货产业园项目启动建设，已完成项目设计施工总承包公开招标。二是加快筹建粤港澳大湾区保险服务中心。筹设请示已 上报国务院</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rPr>
        <w:t>做好公司预报名、办公场地、揭牌仪式等属地准备工作，扶持奖励协议已经管委会主任会议审议会议原则通过。正式启用国际金融论坛永久会址。国际金融岛核心及首个项目</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rPr>
        <w:t>国际金融论坛永久会址已落成使用，并圆满承办国际金融论坛 ( IFF ) 2023年全球年会。启动建设粤港澳大湾区(广州南沙)跨境理财和资管中心</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rPr>
        <w:t>资管专项政策正在提请区政策例会审议。推动重点招商引资项目落地。新落户广州市首家券商资管子公司</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rPr>
        <w:t>万联证券资产管理(广东)有限公司、中州期货有限公司总部2 家持牌法人金融机构，广州产业投资母基金有限公司(1500 亿元)、广州创新投资母基金合伙企业(有限合伙 )(500 亿元)、广州市基础设施产业发展基金(2000亿元)3家总计 4000亿元母基金落地南沙助力打造万亿规模产业集群和科创生态体系。新增与6家中信集团子公司及越秀租赁、中信金租、建行广东省分行签署战略合作协议，争取更多银行信贷支持、租赁增量业务落地南沙。</w:t>
      </w:r>
    </w:p>
    <w:p w14:paraId="113AB684">
      <w:pPr>
        <w:keepNext w:val="0"/>
        <w:keepLines w:val="0"/>
        <w:pageBreakBefore w:val="0"/>
        <w:widowControl w:val="0"/>
        <w:shd w:val="clear" w:color="auto"/>
        <w:kinsoku/>
        <w:wordWrap/>
        <w:overflowPunct/>
        <w:topLinePunct w:val="0"/>
        <w:autoSpaceDE/>
        <w:autoSpaceDN/>
        <w:bidi w:val="0"/>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292934"/>
          <w:spacing w:val="0"/>
          <w:sz w:val="32"/>
          <w:szCs w:val="32"/>
        </w:rPr>
      </w:pPr>
      <w:r>
        <w:rPr>
          <w:rFonts w:hint="eastAsia" w:eastAsia="仿宋_GB2312"/>
          <w:snapToGrid w:val="0"/>
          <w:kern w:val="0"/>
          <w:sz w:val="32"/>
          <w:szCs w:val="32"/>
        </w:rPr>
        <w:t>（二）</w:t>
      </w:r>
      <w:r>
        <w:rPr>
          <w:rStyle w:val="10"/>
          <w:rFonts w:hint="eastAsia" w:ascii="仿宋_GB2312" w:hAnsi="仿宋_GB2312" w:eastAsia="仿宋_GB2312" w:cs="仿宋_GB2312"/>
          <w:i w:val="0"/>
          <w:iCs w:val="0"/>
          <w:caps w:val="0"/>
          <w:color w:val="292934"/>
          <w:spacing w:val="0"/>
          <w:sz w:val="32"/>
          <w:szCs w:val="32"/>
          <w:shd w:val="clear" w:color="auto" w:fill="FFFFFF"/>
        </w:rPr>
        <w:t>国内首家混合所有制交易所广州期货交易所成立，粤港澳大湾区迎来了除香港交易所集团、深圳证券交易所以外的第三家国家级重要金融基础设施平台。此外，广期所成功上市首个新能源金属品种工业硅期货期权，均成为粤港澳大湾区建设国际金融枢纽的里程碑事件。</w:t>
      </w:r>
      <w:r>
        <w:rPr>
          <w:rFonts w:hint="eastAsia" w:ascii="仿宋_GB2312" w:hAnsi="仿宋_GB2312" w:eastAsia="仿宋_GB2312" w:cs="仿宋_GB2312"/>
          <w:i w:val="0"/>
          <w:iCs w:val="0"/>
          <w:caps w:val="0"/>
          <w:color w:val="292934"/>
          <w:spacing w:val="0"/>
          <w:sz w:val="32"/>
          <w:szCs w:val="32"/>
          <w:shd w:val="clear" w:color="auto" w:fill="FFFFFF"/>
        </w:rPr>
        <w:t>广期所植根于粤港澳大湾区，主动融入国家发展大局，服务国家发展战略，是广期所一切工作的出发点和落脚点。</w:t>
      </w:r>
      <w:r>
        <w:rPr>
          <w:rFonts w:hint="eastAsia" w:ascii="仿宋_GB2312" w:hAnsi="仿宋_GB2312" w:eastAsia="仿宋_GB2312" w:cs="仿宋_GB2312"/>
          <w:b/>
          <w:bCs/>
          <w:i w:val="0"/>
          <w:iCs w:val="0"/>
          <w:caps w:val="0"/>
          <w:color w:val="292934"/>
          <w:spacing w:val="0"/>
          <w:sz w:val="32"/>
          <w:szCs w:val="32"/>
          <w:shd w:val="clear" w:color="auto" w:fill="FFFFFF"/>
          <w:lang w:val="en-US" w:eastAsia="zh-CN"/>
        </w:rPr>
        <w:t>一是</w:t>
      </w:r>
      <w:r>
        <w:rPr>
          <w:rFonts w:hint="eastAsia" w:ascii="仿宋_GB2312" w:hAnsi="仿宋_GB2312" w:eastAsia="仿宋_GB2312" w:cs="仿宋_GB2312"/>
          <w:i w:val="0"/>
          <w:iCs w:val="0"/>
          <w:caps w:val="0"/>
          <w:color w:val="292934"/>
          <w:spacing w:val="0"/>
          <w:sz w:val="32"/>
          <w:szCs w:val="32"/>
          <w:shd w:val="clear" w:color="auto" w:fill="FFFFFF"/>
        </w:rPr>
        <w:t>加快上市产品，打造“广州”价格，提升粤港澳大湾区的影响力。广期所将结合粤港澳大湾区的产业特点，积极研发上市特色品种，将大湾区实体经济的优势转变成定价权的优势，将“广州价格”变成城市的新名片，提升广州的全球影响力，更好地服务粤港澳大湾区乃至我国先进优势产业的发展。</w:t>
      </w:r>
      <w:r>
        <w:rPr>
          <w:rFonts w:hint="eastAsia" w:ascii="仿宋_GB2312" w:hAnsi="仿宋_GB2312" w:eastAsia="仿宋_GB2312" w:cs="仿宋_GB2312"/>
          <w:b/>
          <w:bCs/>
          <w:i w:val="0"/>
          <w:iCs w:val="0"/>
          <w:caps w:val="0"/>
          <w:color w:val="292934"/>
          <w:spacing w:val="0"/>
          <w:sz w:val="32"/>
          <w:szCs w:val="32"/>
          <w:shd w:val="clear" w:color="auto" w:fill="FFFFFF"/>
          <w:lang w:val="en-US" w:eastAsia="zh-CN"/>
        </w:rPr>
        <w:t>二是</w:t>
      </w:r>
      <w:r>
        <w:rPr>
          <w:rFonts w:hint="eastAsia" w:ascii="仿宋_GB2312" w:hAnsi="仿宋_GB2312" w:eastAsia="仿宋_GB2312" w:cs="仿宋_GB2312"/>
          <w:i w:val="0"/>
          <w:iCs w:val="0"/>
          <w:caps w:val="0"/>
          <w:color w:val="292934"/>
          <w:spacing w:val="0"/>
          <w:sz w:val="32"/>
          <w:szCs w:val="32"/>
          <w:shd w:val="clear" w:color="auto" w:fill="FFFFFF"/>
        </w:rPr>
        <w:t>集聚市场要素，发挥协同效应，构建粤港澳大湾区良性期货生态。《广东省金融改革发展“十四五”规划》首次提出打造完整期货产业链。广州市政府在“十四五”规划中提出，着力加快建设期货市场，打造风险管理中心。广期所的设立以及新品种的陆续推出，将有助于吸引更多的金融机构、人才和资金等市场要素进入粤港澳大湾区，提升期货交易市场氛围，形成期货生态系统。</w:t>
      </w:r>
      <w:r>
        <w:rPr>
          <w:rStyle w:val="10"/>
          <w:rFonts w:hint="eastAsia" w:ascii="仿宋_GB2312" w:hAnsi="仿宋_GB2312" w:eastAsia="仿宋_GB2312" w:cs="仿宋_GB2312"/>
          <w:b w:val="0"/>
          <w:bCs/>
          <w:i w:val="0"/>
          <w:iCs w:val="0"/>
          <w:caps w:val="0"/>
          <w:color w:val="292934"/>
          <w:spacing w:val="0"/>
          <w:sz w:val="32"/>
          <w:szCs w:val="32"/>
          <w:shd w:val="clear" w:color="auto" w:fill="FFFFFF"/>
        </w:rPr>
        <w:t>自2021年广州期货交易所设立至2023年5月期间，广州新设1家期货法人机构、24家期货公司地区总部。目前广期所共有142家期货公司会员，广东期货公司会员在广期所工业硅期货和期权的成交量和持仓量占比分别为39%和26%。此外，期货公司正在围绕广期所的规划品种，逐步扩展业务范围至投资咨询、资产管理、衍生品服务、仓单服务、基差贸易、含权贸易、合作套保、做市等创新业务模式。</w:t>
      </w:r>
      <w:r>
        <w:rPr>
          <w:rStyle w:val="10"/>
          <w:rFonts w:hint="eastAsia" w:ascii="仿宋_GB2312" w:hAnsi="仿宋_GB2312" w:eastAsia="仿宋_GB2312" w:cs="仿宋_GB2312"/>
          <w:i w:val="0"/>
          <w:iCs w:val="0"/>
          <w:caps w:val="0"/>
          <w:color w:val="292934"/>
          <w:spacing w:val="0"/>
          <w:sz w:val="32"/>
          <w:szCs w:val="32"/>
          <w:shd w:val="clear" w:color="auto" w:fill="FFFFFF"/>
          <w:lang w:val="en-US" w:eastAsia="zh-CN"/>
        </w:rPr>
        <w:t>三是</w:t>
      </w:r>
      <w:r>
        <w:rPr>
          <w:rFonts w:hint="eastAsia" w:ascii="仿宋_GB2312" w:hAnsi="仿宋_GB2312" w:eastAsia="仿宋_GB2312" w:cs="仿宋_GB2312"/>
          <w:i w:val="0"/>
          <w:iCs w:val="0"/>
          <w:caps w:val="0"/>
          <w:color w:val="292934"/>
          <w:spacing w:val="0"/>
          <w:sz w:val="32"/>
          <w:szCs w:val="32"/>
          <w:shd w:val="clear" w:color="auto" w:fill="FFFFFF"/>
        </w:rPr>
        <w:t>持续做好产业客户服务，为企业经营保驾护航，助力</w:t>
      </w:r>
      <w:r>
        <w:rPr>
          <w:rFonts w:hint="eastAsia" w:ascii="仿宋_GB2312" w:hAnsi="仿宋_GB2312" w:eastAsia="仿宋_GB2312" w:cs="仿宋_GB2312"/>
          <w:i w:val="0"/>
          <w:iCs w:val="0"/>
          <w:caps w:val="0"/>
          <w:color w:val="292934"/>
          <w:spacing w:val="0"/>
          <w:sz w:val="32"/>
          <w:szCs w:val="32"/>
          <w:shd w:val="clear" w:color="auto" w:fill="FFFFFF"/>
          <w:lang w:val="en-US" w:eastAsia="zh-CN"/>
        </w:rPr>
        <w:t>南沙及</w:t>
      </w:r>
      <w:r>
        <w:rPr>
          <w:rFonts w:hint="eastAsia" w:ascii="仿宋_GB2312" w:hAnsi="仿宋_GB2312" w:eastAsia="仿宋_GB2312" w:cs="仿宋_GB2312"/>
          <w:i w:val="0"/>
          <w:iCs w:val="0"/>
          <w:caps w:val="0"/>
          <w:color w:val="292934"/>
          <w:spacing w:val="0"/>
          <w:sz w:val="32"/>
          <w:szCs w:val="32"/>
          <w:shd w:val="clear" w:color="auto" w:fill="FFFFFF"/>
        </w:rPr>
        <w:t>大湾区实体经济高质量发展。广期所致力于打造的绿色和新能源金属品种板块，为企业管理原材料价格波动风险以及保障生产建设顺利推进提供了有效工具，有利于保障我国新能源产业的健康稳定发展，巩固我国光伏等优势产业的国际领先地位，是服务新能源、绿色环保产业等的新增长引擎。</w:t>
      </w:r>
      <w:r>
        <w:rPr>
          <w:rFonts w:hint="eastAsia" w:ascii="仿宋_GB2312" w:hAnsi="仿宋_GB2312" w:eastAsia="仿宋_GB2312" w:cs="仿宋_GB2312"/>
          <w:i w:val="0"/>
          <w:iCs w:val="0"/>
          <w:caps w:val="0"/>
          <w:color w:val="292934"/>
          <w:spacing w:val="0"/>
          <w:sz w:val="32"/>
          <w:szCs w:val="32"/>
          <w:shd w:val="clear" w:color="auto" w:fill="FFFFFF"/>
          <w:lang w:val="en-US" w:eastAsia="zh-CN"/>
        </w:rPr>
        <w:t>四是</w:t>
      </w:r>
      <w:r>
        <w:rPr>
          <w:rFonts w:hint="eastAsia" w:ascii="仿宋_GB2312" w:hAnsi="仿宋_GB2312" w:eastAsia="仿宋_GB2312" w:cs="仿宋_GB2312"/>
          <w:i w:val="0"/>
          <w:iCs w:val="0"/>
          <w:caps w:val="0"/>
          <w:color w:val="292934"/>
          <w:spacing w:val="0"/>
          <w:sz w:val="32"/>
          <w:szCs w:val="32"/>
          <w:shd w:val="clear" w:color="auto" w:fill="FFFFFF"/>
        </w:rPr>
        <w:t>促进</w:t>
      </w:r>
      <w:r>
        <w:rPr>
          <w:rFonts w:hint="eastAsia" w:ascii="仿宋_GB2312" w:hAnsi="仿宋_GB2312" w:eastAsia="仿宋_GB2312" w:cs="仿宋_GB2312"/>
          <w:i w:val="0"/>
          <w:iCs w:val="0"/>
          <w:caps w:val="0"/>
          <w:color w:val="292934"/>
          <w:spacing w:val="0"/>
          <w:sz w:val="32"/>
          <w:szCs w:val="32"/>
          <w:shd w:val="clear" w:color="auto" w:fill="FFFFFF"/>
          <w:lang w:val="en-US" w:eastAsia="zh-CN"/>
        </w:rPr>
        <w:t>南沙及</w:t>
      </w:r>
      <w:r>
        <w:rPr>
          <w:rFonts w:hint="eastAsia" w:ascii="仿宋_GB2312" w:hAnsi="仿宋_GB2312" w:eastAsia="仿宋_GB2312" w:cs="仿宋_GB2312"/>
          <w:i w:val="0"/>
          <w:iCs w:val="0"/>
          <w:caps w:val="0"/>
          <w:color w:val="292934"/>
          <w:spacing w:val="0"/>
          <w:sz w:val="32"/>
          <w:szCs w:val="32"/>
          <w:shd w:val="clear" w:color="auto" w:fill="FFFFFF"/>
        </w:rPr>
        <w:t>大湾区金融市场的融合，推进高水平对外开放。广期所贯彻粤港澳经济融合发展理念，积极探讨与香港交易所、深圳证券交易所之间的产品与业务合作，促进</w:t>
      </w:r>
      <w:r>
        <w:rPr>
          <w:rFonts w:hint="eastAsia" w:ascii="仿宋_GB2312" w:hAnsi="仿宋_GB2312" w:eastAsia="仿宋_GB2312" w:cs="仿宋_GB2312"/>
          <w:i w:val="0"/>
          <w:iCs w:val="0"/>
          <w:caps w:val="0"/>
          <w:color w:val="292934"/>
          <w:spacing w:val="0"/>
          <w:sz w:val="32"/>
          <w:szCs w:val="32"/>
          <w:shd w:val="clear" w:color="auto" w:fill="FFFFFF"/>
          <w:lang w:val="en-US" w:eastAsia="zh-CN"/>
        </w:rPr>
        <w:t>南沙及</w:t>
      </w:r>
      <w:r>
        <w:rPr>
          <w:rFonts w:hint="eastAsia" w:ascii="仿宋_GB2312" w:hAnsi="仿宋_GB2312" w:eastAsia="仿宋_GB2312" w:cs="仿宋_GB2312"/>
          <w:i w:val="0"/>
          <w:iCs w:val="0"/>
          <w:caps w:val="0"/>
          <w:color w:val="292934"/>
          <w:spacing w:val="0"/>
          <w:sz w:val="32"/>
          <w:szCs w:val="32"/>
          <w:shd w:val="clear" w:color="auto" w:fill="FFFFFF"/>
        </w:rPr>
        <w:t>大湾区内金融市场的融合和资源要素的集聚，提升粤港澳大湾区的市场活力、辐射力和国际竞争力。</w:t>
      </w:r>
    </w:p>
    <w:p w14:paraId="622D2032">
      <w:pPr>
        <w:pStyle w:val="11"/>
        <w:keepNext w:val="0"/>
        <w:keepLines w:val="0"/>
        <w:pageBreakBefore w:val="0"/>
        <w:numPr>
          <w:ilvl w:val="0"/>
          <w:numId w:val="0"/>
        </w:numPr>
        <w:pBdr>
          <w:top w:val="none" w:color="000000" w:sz="0" w:space="0"/>
          <w:left w:val="none" w:color="000000" w:sz="0" w:space="0"/>
          <w:bottom w:val="none" w:color="000000" w:sz="0" w:space="17"/>
          <w:right w:val="none" w:color="000000" w:sz="0" w:space="0"/>
        </w:pBdr>
        <w:shd w:val="clear"/>
        <w:kinsoku/>
        <w:wordWrap/>
        <w:overflowPunct/>
        <w:topLinePunct w:val="0"/>
        <w:autoSpaceDE/>
        <w:autoSpaceDN/>
        <w:bidi w:val="0"/>
        <w:adjustRightInd w:val="0"/>
        <w:snapToGrid/>
        <w:spacing w:beforeAutospacing="0" w:after="0" w:afterAutospacing="0" w:line="560" w:lineRule="exact"/>
        <w:ind w:firstLine="640" w:firstLineChars="200"/>
        <w:textAlignment w:val="auto"/>
        <w:rPr>
          <w:rFonts w:hint="eastAsia" w:ascii="仿宋_GB2312" w:hAnsi="仿宋_GB2312" w:cs="仿宋_GB2312"/>
          <w:color w:val="auto"/>
          <w:sz w:val="32"/>
          <w:szCs w:val="32"/>
          <w:vertAlign w:val="baseline"/>
          <w:lang w:val="en-US" w:eastAsia="zh-CN"/>
        </w:rPr>
      </w:pPr>
      <w:r>
        <w:rPr>
          <w:rFonts w:hint="eastAsia" w:eastAsia="仿宋_GB2312"/>
          <w:snapToGrid w:val="0"/>
          <w:kern w:val="0"/>
          <w:sz w:val="32"/>
          <w:szCs w:val="32"/>
          <w:shd w:val="clear" w:color="auto"/>
        </w:rPr>
        <w:t>（三）</w:t>
      </w:r>
      <w:r>
        <w:rPr>
          <w:rFonts w:hint="eastAsia" w:ascii="仿宋_GB2312" w:hAnsi="仿宋_GB2312" w:eastAsia="仿宋_GB2312" w:cs="仿宋_GB2312"/>
          <w:b/>
          <w:bCs/>
          <w:sz w:val="32"/>
          <w:szCs w:val="32"/>
          <w:shd w:val="clear" w:color="auto"/>
          <w:lang w:val="en-US" w:eastAsia="zh-CN"/>
        </w:rPr>
        <w:t>一是吸引优质金融企业入驻。</w:t>
      </w:r>
      <w:r>
        <w:rPr>
          <w:rFonts w:hint="eastAsia" w:ascii="仿宋_GB2312" w:hAnsi="仿宋_GB2312" w:eastAsia="仿宋_GB2312" w:cs="仿宋_GB2312"/>
          <w:b w:val="0"/>
          <w:bCs w:val="0"/>
          <w:sz w:val="32"/>
          <w:szCs w:val="32"/>
          <w:shd w:val="clear" w:color="auto"/>
          <w:lang w:val="en-US" w:eastAsia="zh-CN"/>
        </w:rPr>
        <w:t>集聚区</w:t>
      </w:r>
      <w:r>
        <w:rPr>
          <w:rFonts w:hint="eastAsia" w:ascii="仿宋_GB2312" w:hAnsi="仿宋_GB2312" w:cs="仿宋_GB2312"/>
          <w:b w:val="0"/>
          <w:bCs w:val="0"/>
          <w:sz w:val="32"/>
          <w:szCs w:val="32"/>
          <w:shd w:val="clear" w:color="auto"/>
          <w:lang w:val="en-US" w:eastAsia="zh-CN"/>
        </w:rPr>
        <w:t>吸引</w:t>
      </w:r>
      <w:r>
        <w:rPr>
          <w:rFonts w:hint="eastAsia" w:ascii="仿宋_GB2312" w:hAnsi="仿宋_GB2312" w:eastAsia="仿宋_GB2312" w:cs="仿宋_GB2312"/>
          <w:b w:val="0"/>
          <w:bCs w:val="0"/>
          <w:sz w:val="32"/>
          <w:szCs w:val="32"/>
          <w:shd w:val="clear" w:color="auto"/>
          <w:lang w:val="en-US" w:eastAsia="zh-CN"/>
        </w:rPr>
        <w:t>私募</w:t>
      </w:r>
      <w:r>
        <w:rPr>
          <w:rFonts w:hint="eastAsia" w:ascii="仿宋_GB2312" w:hAnsi="仿宋_GB2312" w:eastAsia="仿宋_GB2312" w:cs="仿宋_GB2312"/>
          <w:sz w:val="32"/>
          <w:szCs w:val="32"/>
          <w:shd w:val="clear" w:color="auto"/>
          <w:lang w:val="en-US" w:eastAsia="zh-CN"/>
        </w:rPr>
        <w:t>基金</w:t>
      </w:r>
      <w:r>
        <w:rPr>
          <w:rFonts w:hint="eastAsia" w:ascii="仿宋_GB2312" w:hAnsi="仿宋_GB2312" w:eastAsia="仿宋_GB2312" w:cs="仿宋_GB2312"/>
          <w:color w:val="000000"/>
          <w:sz w:val="32"/>
          <w:szCs w:val="32"/>
          <w:highlight w:val="none"/>
          <w:shd w:val="clear" w:color="auto"/>
          <w:lang w:val="en-US" w:eastAsia="zh-CN"/>
        </w:rPr>
        <w:t>、融资租赁、保理保险、金融科技、专业智库等金融企业机构，</w:t>
      </w:r>
      <w:r>
        <w:rPr>
          <w:rFonts w:hint="eastAsia" w:ascii="仿宋_GB2312" w:hAnsi="仿宋_GB2312" w:eastAsia="仿宋_GB2312" w:cs="仿宋_GB2312"/>
          <w:b w:val="0"/>
          <w:bCs w:val="0"/>
          <w:sz w:val="32"/>
          <w:szCs w:val="32"/>
          <w:shd w:val="clear" w:color="auto"/>
          <w:lang w:val="en-US" w:eastAsia="zh-CN"/>
        </w:rPr>
        <w:t>包括</w:t>
      </w:r>
      <w:r>
        <w:rPr>
          <w:rFonts w:hint="eastAsia" w:ascii="仿宋_GB2312" w:hAnsi="仿宋_GB2312" w:eastAsia="仿宋_GB2312" w:cs="仿宋_GB2312"/>
          <w:color w:val="000000"/>
          <w:sz w:val="32"/>
          <w:szCs w:val="32"/>
          <w:highlight w:val="none"/>
          <w:shd w:val="clear" w:color="auto"/>
        </w:rPr>
        <w:t>中邮</w:t>
      </w:r>
      <w:r>
        <w:rPr>
          <w:rFonts w:hint="eastAsia" w:ascii="仿宋_GB2312" w:hAnsi="仿宋_GB2312" w:eastAsia="仿宋_GB2312" w:cs="仿宋_GB2312"/>
          <w:color w:val="000000"/>
          <w:sz w:val="32"/>
          <w:szCs w:val="32"/>
          <w:highlight w:val="none"/>
          <w:shd w:val="clear" w:color="auto"/>
          <w:lang w:val="en-US" w:eastAsia="zh-CN"/>
        </w:rPr>
        <w:t>消费、</w:t>
      </w:r>
      <w:r>
        <w:rPr>
          <w:rFonts w:hint="eastAsia" w:ascii="仿宋_GB2312" w:hAnsi="仿宋_GB2312" w:eastAsia="仿宋_GB2312" w:cs="仿宋_GB2312"/>
          <w:color w:val="000000"/>
          <w:sz w:val="32"/>
          <w:szCs w:val="32"/>
          <w:highlight w:val="none"/>
          <w:shd w:val="clear" w:color="auto"/>
        </w:rPr>
        <w:t>珠江金租、金鹰基金、富荣基金、合利宝、百嘉基金</w:t>
      </w:r>
      <w:r>
        <w:rPr>
          <w:rFonts w:hint="eastAsia" w:ascii="仿宋_GB2312" w:hAnsi="仿宋_GB2312" w:eastAsia="仿宋_GB2312" w:cs="仿宋_GB2312"/>
          <w:color w:val="000000"/>
          <w:sz w:val="32"/>
          <w:szCs w:val="32"/>
          <w:highlight w:val="none"/>
          <w:shd w:val="clear" w:color="auto"/>
          <w:lang w:val="en-US" w:eastAsia="zh-CN"/>
        </w:rPr>
        <w:t>等</w:t>
      </w:r>
      <w:r>
        <w:rPr>
          <w:rFonts w:hint="eastAsia" w:ascii="仿宋_GB2312" w:hAnsi="仿宋_GB2312" w:eastAsia="仿宋_GB2312" w:cs="仿宋_GB2312"/>
          <w:color w:val="000000"/>
          <w:sz w:val="32"/>
          <w:szCs w:val="32"/>
          <w:highlight w:val="none"/>
          <w:shd w:val="clear" w:color="auto"/>
        </w:rPr>
        <w:t>持牌法人金融机构</w:t>
      </w:r>
      <w:r>
        <w:rPr>
          <w:rFonts w:hint="eastAsia" w:ascii="仿宋_GB2312" w:hAnsi="仿宋_GB2312" w:eastAsia="仿宋_GB2312" w:cs="仿宋_GB2312"/>
          <w:color w:val="000000"/>
          <w:sz w:val="32"/>
          <w:szCs w:val="32"/>
          <w:highlight w:val="none"/>
          <w:shd w:val="clear" w:color="auto"/>
          <w:lang w:eastAsia="zh-CN"/>
        </w:rPr>
        <w:t>，</w:t>
      </w:r>
      <w:r>
        <w:rPr>
          <w:rFonts w:hint="eastAsia" w:ascii="仿宋_GB2312" w:hAnsi="仿宋_GB2312" w:eastAsia="仿宋_GB2312" w:cs="仿宋_GB2312"/>
          <w:color w:val="000000"/>
          <w:sz w:val="32"/>
          <w:szCs w:val="32"/>
          <w:highlight w:val="none"/>
          <w:shd w:val="clear" w:color="auto"/>
          <w:lang w:val="en-US" w:eastAsia="zh-CN"/>
        </w:rPr>
        <w:t>南航租赁、中化学保理、广汽资本等服务产业端的专业金融子公司，以及广州中国金融四十人研究院、广州绿色金融研究院等金融业专业智库平台，进一步推动南</w:t>
      </w:r>
      <w:r>
        <w:rPr>
          <w:rFonts w:hint="eastAsia" w:ascii="仿宋_GB2312" w:hAnsi="仿宋_GB2312" w:eastAsia="仿宋_GB2312" w:cs="仿宋_GB2312"/>
          <w:b w:val="0"/>
          <w:bCs w:val="0"/>
          <w:color w:val="000000"/>
          <w:sz w:val="32"/>
          <w:szCs w:val="32"/>
          <w:highlight w:val="none"/>
          <w:shd w:val="clear" w:color="auto"/>
          <w:lang w:val="en-US" w:eastAsia="zh-CN"/>
        </w:rPr>
        <w:t>沙</w:t>
      </w:r>
      <w:r>
        <w:rPr>
          <w:rFonts w:hint="eastAsia" w:ascii="仿宋_GB2312" w:hAnsi="仿宋_GB2312" w:eastAsia="仿宋_GB2312" w:cs="仿宋_GB2312"/>
          <w:b w:val="0"/>
          <w:bCs w:val="0"/>
          <w:sz w:val="32"/>
          <w:szCs w:val="32"/>
          <w:shd w:val="clear" w:color="auto"/>
          <w:lang w:val="en-US" w:eastAsia="zh-CN"/>
        </w:rPr>
        <w:t>特色金融发展壮大</w:t>
      </w:r>
      <w:r>
        <w:rPr>
          <w:rFonts w:hint="eastAsia" w:ascii="仿宋_GB2312" w:hAnsi="仿宋_GB2312" w:eastAsia="仿宋_GB2312" w:cs="仿宋_GB2312"/>
          <w:color w:val="000000"/>
          <w:sz w:val="32"/>
          <w:szCs w:val="32"/>
          <w:highlight w:val="none"/>
          <w:shd w:val="clear" w:color="auto"/>
          <w:lang w:val="en-US" w:eastAsia="zh-CN"/>
        </w:rPr>
        <w:t>。</w:t>
      </w:r>
      <w:r>
        <w:rPr>
          <w:rFonts w:hint="eastAsia" w:ascii="仿宋_GB2312" w:hAnsi="仿宋_GB2312" w:cs="仿宋_GB2312"/>
          <w:sz w:val="32"/>
          <w:szCs w:val="32"/>
          <w:shd w:val="clear" w:color="auto"/>
          <w:lang w:val="en-US" w:eastAsia="zh-CN"/>
        </w:rPr>
        <w:t>2023年</w:t>
      </w:r>
      <w:r>
        <w:rPr>
          <w:rFonts w:hint="eastAsia" w:ascii="仿宋_GB2312" w:hAnsi="仿宋_GB2312" w:eastAsia="仿宋_GB2312" w:cs="仿宋_GB2312"/>
          <w:sz w:val="32"/>
          <w:szCs w:val="32"/>
          <w:shd w:val="clear" w:color="auto"/>
          <w:lang w:val="en-US" w:eastAsia="zh-CN"/>
        </w:rPr>
        <w:t>，集聚区已实现</w:t>
      </w:r>
      <w:r>
        <w:rPr>
          <w:rFonts w:hint="eastAsia" w:ascii="仿宋_GB2312" w:hAnsi="仿宋_GB2312" w:cs="仿宋_GB2312"/>
          <w:sz w:val="32"/>
          <w:szCs w:val="32"/>
          <w:shd w:val="clear" w:color="auto"/>
          <w:lang w:val="en-US" w:eastAsia="zh-CN"/>
        </w:rPr>
        <w:t>51家企业机构</w:t>
      </w:r>
      <w:r>
        <w:rPr>
          <w:rFonts w:hint="eastAsia" w:ascii="仿宋_GB2312" w:hAnsi="仿宋_GB2312" w:eastAsia="仿宋_GB2312" w:cs="仿宋_GB2312"/>
          <w:sz w:val="32"/>
          <w:szCs w:val="32"/>
          <w:shd w:val="clear" w:color="auto"/>
          <w:lang w:val="en-US" w:eastAsia="zh-CN"/>
        </w:rPr>
        <w:t>入驻，实缴资本超189亿，整体营收超</w:t>
      </w:r>
      <w:r>
        <w:rPr>
          <w:rFonts w:hint="eastAsia" w:ascii="仿宋_GB2312" w:hAnsi="仿宋_GB2312" w:cs="仿宋_GB2312"/>
          <w:sz w:val="32"/>
          <w:szCs w:val="32"/>
          <w:shd w:val="clear" w:color="auto"/>
          <w:lang w:val="en-US" w:eastAsia="zh-CN"/>
        </w:rPr>
        <w:t>137</w:t>
      </w:r>
      <w:r>
        <w:rPr>
          <w:rFonts w:hint="eastAsia" w:ascii="仿宋_GB2312" w:hAnsi="仿宋_GB2312" w:eastAsia="仿宋_GB2312" w:cs="仿宋_GB2312"/>
          <w:sz w:val="32"/>
          <w:szCs w:val="32"/>
          <w:shd w:val="clear" w:color="auto"/>
          <w:lang w:val="en-US" w:eastAsia="zh-CN"/>
        </w:rPr>
        <w:t>亿，成为南沙区税收贡献超</w:t>
      </w:r>
      <w:r>
        <w:rPr>
          <w:rFonts w:hint="eastAsia" w:ascii="仿宋_GB2312" w:hAnsi="仿宋_GB2312" w:cs="仿宋_GB2312"/>
          <w:sz w:val="32"/>
          <w:szCs w:val="32"/>
          <w:shd w:val="clear" w:color="auto"/>
          <w:lang w:val="en-US" w:eastAsia="zh-CN"/>
        </w:rPr>
        <w:t>23</w:t>
      </w:r>
      <w:r>
        <w:rPr>
          <w:rFonts w:hint="eastAsia" w:ascii="仿宋_GB2312" w:hAnsi="仿宋_GB2312" w:eastAsia="仿宋_GB2312" w:cs="仿宋_GB2312"/>
          <w:sz w:val="32"/>
          <w:szCs w:val="32"/>
          <w:shd w:val="clear" w:color="auto"/>
          <w:lang w:val="en-US" w:eastAsia="zh-CN"/>
        </w:rPr>
        <w:t>亿的楼宇经济典范。</w:t>
      </w:r>
      <w:r>
        <w:rPr>
          <w:rFonts w:hint="eastAsia" w:ascii="仿宋_GB2312" w:hAnsi="仿宋_GB2312" w:cs="仿宋_GB2312"/>
          <w:b/>
          <w:bCs/>
          <w:color w:val="000000"/>
          <w:kern w:val="0"/>
          <w:sz w:val="32"/>
          <w:szCs w:val="32"/>
          <w:highlight w:val="none"/>
          <w:lang w:val="en-US" w:eastAsia="zh-CN" w:bidi="ar"/>
        </w:rPr>
        <w:t>二</w:t>
      </w:r>
      <w:r>
        <w:rPr>
          <w:rFonts w:hint="eastAsia" w:ascii="仿宋_GB2312" w:hAnsi="仿宋_GB2312" w:eastAsia="仿宋_GB2312" w:cs="仿宋_GB2312"/>
          <w:b/>
          <w:bCs/>
          <w:color w:val="000000"/>
          <w:kern w:val="0"/>
          <w:sz w:val="32"/>
          <w:szCs w:val="32"/>
          <w:highlight w:val="none"/>
          <w:lang w:val="en-US" w:eastAsia="zh-CN" w:bidi="ar"/>
        </w:rPr>
        <w:t>是</w:t>
      </w:r>
      <w:r>
        <w:rPr>
          <w:rFonts w:hint="eastAsia" w:ascii="仿宋_GB2312" w:hAnsi="仿宋_GB2312" w:eastAsia="仿宋_GB2312" w:cs="仿宋_GB2312"/>
          <w:b/>
          <w:bCs/>
          <w:color w:val="000000"/>
          <w:kern w:val="0"/>
          <w:sz w:val="32"/>
          <w:szCs w:val="32"/>
          <w:highlight w:val="none"/>
          <w:lang w:bidi="ar"/>
        </w:rPr>
        <w:t>搭建产融对接</w:t>
      </w:r>
      <w:r>
        <w:rPr>
          <w:rFonts w:hint="eastAsia" w:ascii="仿宋_GB2312" w:hAnsi="仿宋_GB2312" w:cs="仿宋_GB2312"/>
          <w:b/>
          <w:bCs/>
          <w:color w:val="000000"/>
          <w:kern w:val="0"/>
          <w:sz w:val="32"/>
          <w:szCs w:val="32"/>
          <w:highlight w:val="none"/>
          <w:lang w:val="en-US" w:eastAsia="zh-CN" w:bidi="ar"/>
        </w:rPr>
        <w:t>服务平台</w:t>
      </w:r>
      <w:r>
        <w:rPr>
          <w:rFonts w:hint="eastAsia" w:ascii="仿宋_GB2312" w:hAnsi="仿宋_GB2312" w:eastAsia="仿宋_GB2312" w:cs="仿宋_GB2312"/>
          <w:b/>
          <w:bCs/>
          <w:color w:val="000000"/>
          <w:kern w:val="0"/>
          <w:sz w:val="32"/>
          <w:szCs w:val="32"/>
          <w:highlight w:val="none"/>
          <w:lang w:bidi="ar"/>
        </w:rPr>
        <w:t>。</w:t>
      </w:r>
      <w:r>
        <w:rPr>
          <w:rFonts w:hint="eastAsia" w:ascii="仿宋_GB2312" w:hAnsi="仿宋_GB2312" w:eastAsia="仿宋_GB2312" w:cs="仿宋_GB2312"/>
          <w:color w:val="000000"/>
          <w:kern w:val="0"/>
          <w:sz w:val="32"/>
          <w:szCs w:val="32"/>
          <w:highlight w:val="none"/>
          <w:lang w:bidi="ar"/>
        </w:rPr>
        <w:t>打造集聚区运营</w:t>
      </w:r>
      <w:r>
        <w:rPr>
          <w:rFonts w:hint="eastAsia" w:ascii="仿宋_GB2312" w:hAnsi="仿宋_GB2312" w:eastAsia="仿宋_GB2312" w:cs="仿宋_GB2312"/>
          <w:color w:val="000000"/>
          <w:kern w:val="0"/>
          <w:sz w:val="32"/>
          <w:szCs w:val="32"/>
          <w:highlight w:val="none"/>
          <w:lang w:val="en-US" w:eastAsia="zh-CN" w:bidi="ar"/>
        </w:rPr>
        <w:t>服务</w:t>
      </w:r>
      <w:r>
        <w:rPr>
          <w:rFonts w:hint="eastAsia" w:ascii="仿宋_GB2312" w:hAnsi="仿宋_GB2312" w:eastAsia="仿宋_GB2312" w:cs="仿宋_GB2312"/>
          <w:color w:val="000000"/>
          <w:kern w:val="0"/>
          <w:sz w:val="32"/>
          <w:szCs w:val="32"/>
          <w:highlight w:val="none"/>
          <w:lang w:bidi="ar"/>
        </w:rPr>
        <w:t>中心</w:t>
      </w:r>
      <w:r>
        <w:rPr>
          <w:rFonts w:hint="eastAsia" w:ascii="仿宋_GB2312" w:hAnsi="仿宋_GB2312" w:cs="仿宋_GB2312"/>
          <w:color w:val="000000"/>
          <w:kern w:val="0"/>
          <w:sz w:val="32"/>
          <w:szCs w:val="32"/>
          <w:highlight w:val="none"/>
          <w:lang w:eastAsia="zh-CN" w:bidi="ar"/>
        </w:rPr>
        <w:t>，</w:t>
      </w:r>
      <w:r>
        <w:rPr>
          <w:rFonts w:hint="eastAsia" w:ascii="仿宋_GB2312" w:hAnsi="仿宋_GB2312" w:eastAsia="仿宋_GB2312" w:cs="仿宋_GB2312"/>
          <w:color w:val="000000"/>
          <w:kern w:val="0"/>
          <w:sz w:val="32"/>
          <w:szCs w:val="32"/>
          <w:highlight w:val="none"/>
          <w:lang w:bidi="ar"/>
        </w:rPr>
        <w:t>联合行业协会、国内外高校、银行机构等深化产学研合作，常态化举办沙龙、峰会、论坛、路演等重要活动。2021年7月至</w:t>
      </w:r>
      <w:r>
        <w:rPr>
          <w:rFonts w:hint="eastAsia" w:ascii="仿宋_GB2312" w:hAnsi="仿宋_GB2312" w:eastAsia="仿宋_GB2312" w:cs="仿宋_GB2312"/>
          <w:color w:val="000000"/>
          <w:kern w:val="0"/>
          <w:sz w:val="32"/>
          <w:szCs w:val="32"/>
          <w:highlight w:val="none"/>
          <w:lang w:val="en-US" w:eastAsia="zh-CN" w:bidi="ar"/>
        </w:rPr>
        <w:t>今共接待9</w:t>
      </w:r>
      <w:r>
        <w:rPr>
          <w:rFonts w:hint="eastAsia" w:ascii="仿宋_GB2312" w:hAnsi="仿宋_GB2312" w:eastAsia="仿宋_GB2312" w:cs="仿宋_GB2312"/>
          <w:color w:val="000000"/>
          <w:kern w:val="0"/>
          <w:sz w:val="32"/>
          <w:szCs w:val="32"/>
          <w:highlight w:val="none"/>
          <w:lang w:eastAsia="zh-CN" w:bidi="ar"/>
        </w:rPr>
        <w:t>00</w:t>
      </w:r>
      <w:r>
        <w:rPr>
          <w:rFonts w:hint="eastAsia" w:ascii="仿宋_GB2312" w:hAnsi="仿宋_GB2312" w:eastAsia="仿宋_GB2312" w:cs="仿宋_GB2312"/>
          <w:color w:val="000000"/>
          <w:kern w:val="0"/>
          <w:sz w:val="32"/>
          <w:szCs w:val="32"/>
          <w:highlight w:val="none"/>
          <w:lang w:val="en-US" w:eastAsia="zh-CN" w:bidi="ar"/>
        </w:rPr>
        <w:t>余家企业近3500人次产业政策咨询，举办活动</w:t>
      </w:r>
      <w:r>
        <w:rPr>
          <w:rFonts w:hint="eastAsia" w:ascii="仿宋_GB2312" w:hAnsi="仿宋_GB2312" w:eastAsia="仿宋_GB2312" w:cs="仿宋_GB2312"/>
          <w:color w:val="000000"/>
          <w:kern w:val="0"/>
          <w:sz w:val="32"/>
          <w:szCs w:val="32"/>
          <w:highlight w:val="none"/>
          <w:lang w:eastAsia="zh-CN" w:bidi="ar"/>
        </w:rPr>
        <w:t>100</w:t>
      </w:r>
      <w:r>
        <w:rPr>
          <w:rFonts w:hint="eastAsia" w:ascii="仿宋_GB2312" w:hAnsi="仿宋_GB2312" w:eastAsia="仿宋_GB2312" w:cs="仿宋_GB2312"/>
          <w:color w:val="000000"/>
          <w:kern w:val="0"/>
          <w:sz w:val="32"/>
          <w:szCs w:val="32"/>
          <w:highlight w:val="none"/>
          <w:lang w:val="en-US" w:eastAsia="zh-CN" w:bidi="ar"/>
        </w:rPr>
        <w:t>余场，参与人数超6000人次，</w:t>
      </w:r>
      <w:r>
        <w:rPr>
          <w:rFonts w:hint="eastAsia" w:ascii="仿宋_GB2312" w:hAnsi="仿宋_GB2312" w:eastAsia="仿宋_GB2312" w:cs="仿宋_GB2312"/>
          <w:color w:val="000000"/>
          <w:kern w:val="0"/>
          <w:sz w:val="32"/>
          <w:szCs w:val="32"/>
          <w:highlight w:val="none"/>
          <w:lang w:bidi="ar"/>
        </w:rPr>
        <w:t>包括但不限于南沙金融人才政策专场宣讲活动、上市企业交流活动、高校人才引进活动等，为金融机构分享金融前沿趋势，营造浓厚投资氛围，集聚区整体活力不断提升。</w:t>
      </w:r>
      <w:r>
        <w:rPr>
          <w:rFonts w:hint="eastAsia" w:ascii="仿宋_GB2312" w:hAnsi="仿宋_GB2312" w:eastAsia="仿宋_GB2312" w:cs="仿宋_GB2312"/>
          <w:b/>
          <w:bCs/>
          <w:color w:val="000000"/>
          <w:kern w:val="0"/>
          <w:sz w:val="32"/>
          <w:szCs w:val="32"/>
          <w:highlight w:val="none"/>
          <w:lang w:val="en-US" w:eastAsia="zh-CN" w:bidi="ar"/>
        </w:rPr>
        <w:t>三是</w:t>
      </w:r>
      <w:r>
        <w:rPr>
          <w:rFonts w:hint="eastAsia" w:ascii="仿宋_GB2312" w:hAnsi="仿宋_GB2312" w:eastAsia="仿宋_GB2312" w:cs="仿宋_GB2312"/>
          <w:b/>
          <w:bCs/>
          <w:color w:val="auto"/>
          <w:sz w:val="32"/>
          <w:szCs w:val="32"/>
          <w:shd w:val="clear" w:color="auto" w:fill="FFFFFF"/>
          <w:vertAlign w:val="baseline"/>
          <w:lang w:val="en-US" w:eastAsia="zh-CN"/>
        </w:rPr>
        <w:t>建立高校人才合作阵地</w:t>
      </w:r>
      <w:r>
        <w:rPr>
          <w:rFonts w:hint="eastAsia" w:ascii="楷体" w:hAnsi="楷体" w:eastAsia="楷体" w:cs="楷体"/>
          <w:color w:val="auto"/>
          <w:sz w:val="32"/>
          <w:szCs w:val="32"/>
          <w:shd w:val="clear" w:color="auto" w:fill="FFFFFF"/>
          <w:vertAlign w:val="baseline"/>
          <w:lang w:val="en-US" w:eastAsia="zh-CN"/>
        </w:rPr>
        <w:t>。</w:t>
      </w:r>
      <w:r>
        <w:rPr>
          <w:rFonts w:hint="eastAsia" w:ascii="仿宋_GB2312" w:hAnsi="仿宋_GB2312" w:eastAsia="仿宋_GB2312" w:cs="仿宋_GB2312"/>
          <w:color w:val="auto"/>
          <w:sz w:val="32"/>
          <w:szCs w:val="32"/>
          <w:shd w:val="clear" w:color="auto" w:fill="FFFFFF"/>
          <w:lang w:eastAsia="zh-CN"/>
        </w:rPr>
        <w:t>依托</w:t>
      </w:r>
      <w:r>
        <w:rPr>
          <w:rFonts w:hint="eastAsia" w:ascii="仿宋_GB2312" w:hAnsi="仿宋_GB2312" w:eastAsia="仿宋_GB2312" w:cs="仿宋_GB2312"/>
          <w:color w:val="auto"/>
          <w:sz w:val="32"/>
          <w:szCs w:val="32"/>
          <w:shd w:val="clear" w:color="auto" w:fill="FFFFFF"/>
        </w:rPr>
        <w:t>“金桥党建红链”</w:t>
      </w:r>
      <w:r>
        <w:rPr>
          <w:rFonts w:hint="eastAsia" w:ascii="仿宋_GB2312" w:hAnsi="仿宋_GB2312" w:eastAsia="仿宋_GB2312" w:cs="仿宋_GB2312"/>
          <w:color w:val="auto"/>
          <w:sz w:val="32"/>
          <w:szCs w:val="32"/>
          <w:shd w:val="clear" w:color="auto" w:fill="FFFFFF"/>
          <w:lang w:eastAsia="zh-CN"/>
        </w:rPr>
        <w:t>品牌</w:t>
      </w:r>
      <w:r>
        <w:rPr>
          <w:rFonts w:hint="eastAsia" w:ascii="仿宋_GB2312" w:hAnsi="仿宋_GB2312" w:eastAsia="仿宋_GB2312" w:cs="仿宋_GB2312"/>
          <w:color w:val="auto"/>
          <w:sz w:val="32"/>
          <w:szCs w:val="32"/>
          <w:shd w:val="clear" w:color="auto" w:fill="FFFFFF"/>
        </w:rPr>
        <w:t>，</w:t>
      </w:r>
      <w:r>
        <w:rPr>
          <w:rFonts w:hint="eastAsia" w:ascii="仿宋_GB2312" w:hAnsi="仿宋_GB2312" w:cs="仿宋_GB2312"/>
          <w:color w:val="auto"/>
          <w:sz w:val="32"/>
          <w:szCs w:val="32"/>
          <w:vertAlign w:val="baseline"/>
          <w:lang w:val="en-US" w:eastAsia="zh-CN"/>
        </w:rPr>
        <w:t>通过组织开展校园宣讲会、专场招才会等</w:t>
      </w:r>
      <w:r>
        <w:rPr>
          <w:rFonts w:hint="eastAsia" w:ascii="仿宋_GB2312" w:hAnsi="仿宋_GB2312" w:eastAsia="仿宋_GB2312" w:cs="仿宋_GB2312"/>
          <w:b w:val="0"/>
          <w:bCs w:val="0"/>
          <w:color w:val="auto"/>
          <w:sz w:val="32"/>
          <w:szCs w:val="32"/>
          <w:shd w:val="clear" w:color="auto" w:fill="FFFFFF"/>
          <w:lang w:val="en-US" w:eastAsia="zh-CN"/>
        </w:rPr>
        <w:t>系列活动，</w:t>
      </w:r>
      <w:r>
        <w:rPr>
          <w:rFonts w:hint="eastAsia" w:ascii="仿宋_GB2312" w:hAnsi="仿宋_GB2312" w:cs="仿宋_GB2312"/>
          <w:color w:val="auto"/>
          <w:sz w:val="32"/>
          <w:szCs w:val="32"/>
          <w:vertAlign w:val="baseline"/>
          <w:lang w:val="en-US" w:eastAsia="zh-CN"/>
        </w:rPr>
        <w:t>精准“链”接明珠金融创新集聚区各企业单位用人需求，</w:t>
      </w:r>
      <w:r>
        <w:rPr>
          <w:rFonts w:hint="eastAsia" w:ascii="仿宋_GB2312" w:hAnsi="仿宋_GB2312" w:eastAsia="仿宋_GB2312" w:cs="仿宋_GB2312"/>
          <w:color w:val="auto"/>
          <w:sz w:val="32"/>
          <w:szCs w:val="32"/>
          <w:vertAlign w:val="baseline"/>
          <w:lang w:val="en-US" w:eastAsia="zh-CN"/>
        </w:rPr>
        <w:t>让企业高效零成本找到</w:t>
      </w:r>
      <w:r>
        <w:rPr>
          <w:rFonts w:hint="eastAsia" w:ascii="仿宋_GB2312" w:hAnsi="仿宋_GB2312" w:cs="仿宋_GB2312"/>
          <w:color w:val="auto"/>
          <w:sz w:val="32"/>
          <w:szCs w:val="32"/>
          <w:vertAlign w:val="baseline"/>
          <w:lang w:val="en-US" w:eastAsia="zh-CN"/>
        </w:rPr>
        <w:t>与岗位</w:t>
      </w:r>
      <w:r>
        <w:rPr>
          <w:rFonts w:hint="eastAsia" w:ascii="仿宋_GB2312" w:hAnsi="仿宋_GB2312" w:eastAsia="仿宋_GB2312" w:cs="仿宋_GB2312"/>
          <w:color w:val="auto"/>
          <w:sz w:val="32"/>
          <w:szCs w:val="32"/>
          <w:vertAlign w:val="baseline"/>
          <w:lang w:val="en-US" w:eastAsia="zh-CN"/>
        </w:rPr>
        <w:t>匹配的优秀人才</w:t>
      </w:r>
      <w:r>
        <w:rPr>
          <w:rFonts w:hint="eastAsia" w:ascii="仿宋_GB2312" w:hAnsi="仿宋_GB2312" w:cs="仿宋_GB2312"/>
          <w:color w:val="auto"/>
          <w:sz w:val="32"/>
          <w:szCs w:val="32"/>
          <w:vertAlign w:val="baseline"/>
          <w:lang w:val="en-US" w:eastAsia="zh-CN"/>
        </w:rPr>
        <w:t>，</w:t>
      </w:r>
      <w:r>
        <w:rPr>
          <w:rFonts w:hint="eastAsia" w:ascii="仿宋_GB2312" w:hAnsi="仿宋_GB2312" w:eastAsia="仿宋_GB2312" w:cs="仿宋_GB2312"/>
          <w:i w:val="0"/>
          <w:iCs w:val="0"/>
          <w:caps w:val="0"/>
          <w:color w:val="auto"/>
          <w:spacing w:val="0"/>
          <w:sz w:val="32"/>
          <w:szCs w:val="32"/>
          <w:shd w:val="clear" w:color="auto" w:fill="auto"/>
        </w:rPr>
        <w:t>打通人才</w:t>
      </w:r>
      <w:r>
        <w:rPr>
          <w:rFonts w:hint="eastAsia" w:ascii="仿宋_GB2312" w:hAnsi="仿宋_GB2312" w:cs="仿宋_GB2312"/>
          <w:i w:val="0"/>
          <w:iCs w:val="0"/>
          <w:caps w:val="0"/>
          <w:color w:val="auto"/>
          <w:spacing w:val="0"/>
          <w:sz w:val="32"/>
          <w:szCs w:val="32"/>
          <w:shd w:val="clear" w:color="auto" w:fill="auto"/>
          <w:lang w:val="en-US" w:eastAsia="zh-CN"/>
        </w:rPr>
        <w:t>在南沙</w:t>
      </w:r>
      <w:r>
        <w:rPr>
          <w:rFonts w:hint="eastAsia" w:ascii="仿宋_GB2312" w:hAnsi="仿宋_GB2312" w:eastAsia="仿宋_GB2312" w:cs="仿宋_GB2312"/>
          <w:i w:val="0"/>
          <w:iCs w:val="0"/>
          <w:caps w:val="0"/>
          <w:color w:val="auto"/>
          <w:spacing w:val="0"/>
          <w:sz w:val="32"/>
          <w:szCs w:val="32"/>
          <w:shd w:val="clear" w:color="auto" w:fill="auto"/>
          <w:lang w:eastAsia="zh-CN"/>
        </w:rPr>
        <w:t>发展</w:t>
      </w:r>
      <w:r>
        <w:rPr>
          <w:rFonts w:hint="eastAsia" w:ascii="仿宋_GB2312" w:hAnsi="仿宋_GB2312" w:cs="仿宋_GB2312"/>
          <w:i w:val="0"/>
          <w:iCs w:val="0"/>
          <w:caps w:val="0"/>
          <w:color w:val="auto"/>
          <w:spacing w:val="0"/>
          <w:sz w:val="32"/>
          <w:szCs w:val="32"/>
          <w:shd w:val="clear" w:color="auto" w:fill="auto"/>
          <w:lang w:val="en-US" w:eastAsia="zh-CN"/>
        </w:rPr>
        <w:t>的</w:t>
      </w:r>
      <w:r>
        <w:rPr>
          <w:rFonts w:hint="eastAsia" w:ascii="仿宋_GB2312" w:hAnsi="仿宋_GB2312" w:eastAsia="仿宋_GB2312" w:cs="仿宋_GB2312"/>
          <w:i w:val="0"/>
          <w:iCs w:val="0"/>
          <w:caps w:val="0"/>
          <w:color w:val="auto"/>
          <w:spacing w:val="0"/>
          <w:sz w:val="32"/>
          <w:szCs w:val="32"/>
          <w:shd w:val="clear" w:color="auto" w:fill="auto"/>
        </w:rPr>
        <w:t>“最后一公里”</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cs="仿宋_GB2312"/>
          <w:color w:val="auto"/>
          <w:sz w:val="32"/>
          <w:szCs w:val="32"/>
          <w:vertAlign w:val="baseline"/>
          <w:lang w:val="en-US" w:eastAsia="zh-CN"/>
        </w:rPr>
        <w:t>已吸引华南理工大学、广州大学、广东财经大学、广东外语外贸大学、广东金融学院等高校本科、硕士应届生近千人次线下参与，</w:t>
      </w:r>
      <w:r>
        <w:rPr>
          <w:rFonts w:hint="eastAsia" w:ascii="仿宋_GB2312" w:hAnsi="仿宋_GB2312" w:cs="仿宋_GB2312"/>
          <w:b w:val="0"/>
          <w:bCs w:val="0"/>
          <w:color w:val="auto"/>
          <w:sz w:val="32"/>
          <w:szCs w:val="32"/>
          <w:shd w:val="clear" w:color="auto" w:fill="FFFFFF"/>
          <w:lang w:val="en-US" w:eastAsia="zh-CN"/>
        </w:rPr>
        <w:t>储备4000余名金融专才，对接2500余名人才发展需求，共收到简历1600余份，</w:t>
      </w:r>
      <w:r>
        <w:rPr>
          <w:rFonts w:hint="eastAsia" w:ascii="仿宋_GB2312" w:hAnsi="仿宋_GB2312" w:cs="仿宋_GB2312"/>
          <w:color w:val="auto"/>
          <w:sz w:val="32"/>
          <w:szCs w:val="32"/>
          <w:vertAlign w:val="baseline"/>
          <w:lang w:val="en-US" w:eastAsia="zh-CN"/>
        </w:rPr>
        <w:t>已助力高校订单式输送金融人才300余人，协助集聚区企业建立内部人才供应链，帮助</w:t>
      </w:r>
      <w:r>
        <w:rPr>
          <w:rFonts w:hint="eastAsia" w:ascii="仿宋_GB2312" w:hAnsi="仿宋_GB2312" w:eastAsia="仿宋_GB2312" w:cs="仿宋_GB2312"/>
          <w:color w:val="auto"/>
          <w:sz w:val="32"/>
          <w:szCs w:val="32"/>
          <w:vertAlign w:val="baseline"/>
          <w:lang w:val="en-US" w:eastAsia="zh-CN"/>
        </w:rPr>
        <w:t>栈略数据、佛铝租赁、中科汇智、长城保险等企业弥补至少50名实习、</w:t>
      </w:r>
      <w:r>
        <w:rPr>
          <w:rFonts w:hint="eastAsia" w:ascii="仿宋_GB2312" w:hAnsi="仿宋_GB2312" w:cs="仿宋_GB2312"/>
          <w:color w:val="auto"/>
          <w:sz w:val="32"/>
          <w:szCs w:val="32"/>
          <w:vertAlign w:val="baseline"/>
          <w:lang w:val="en-US" w:eastAsia="zh-CN"/>
        </w:rPr>
        <w:t xml:space="preserve">就业岗位空缺，进一步推动入驻企业扎根南沙，发展壮大。      </w:t>
      </w:r>
    </w:p>
    <w:p w14:paraId="5821C3E0">
      <w:pPr>
        <w:pStyle w:val="11"/>
        <w:keepNext w:val="0"/>
        <w:keepLines w:val="0"/>
        <w:pageBreakBefore w:val="0"/>
        <w:numPr>
          <w:ilvl w:val="0"/>
          <w:numId w:val="0"/>
        </w:numPr>
        <w:pBdr>
          <w:top w:val="none" w:color="000000" w:sz="0" w:space="0"/>
          <w:left w:val="none" w:color="000000" w:sz="0" w:space="0"/>
          <w:bottom w:val="none" w:color="000000" w:sz="0" w:space="17"/>
          <w:right w:val="none" w:color="000000" w:sz="0" w:space="0"/>
        </w:pBdr>
        <w:shd w:val="clear"/>
        <w:kinsoku/>
        <w:wordWrap/>
        <w:overflowPunct/>
        <w:topLinePunct w:val="0"/>
        <w:autoSpaceDE/>
        <w:autoSpaceDN/>
        <w:bidi w:val="0"/>
        <w:adjustRightInd w:val="0"/>
        <w:snapToGrid/>
        <w:spacing w:beforeAutospacing="0" w:after="0" w:afterAutospacing="0" w:line="560" w:lineRule="exact"/>
        <w:ind w:firstLine="640" w:firstLineChars="200"/>
        <w:textAlignment w:val="auto"/>
        <w:rPr>
          <w:rFonts w:hint="eastAsia" w:ascii="黑体" w:hAnsi="黑体" w:eastAsia="黑体" w:cs="黑体"/>
          <w:b w:val="0"/>
          <w:bCs/>
          <w:snapToGrid w:val="0"/>
          <w:kern w:val="0"/>
          <w:sz w:val="32"/>
          <w:szCs w:val="32"/>
          <w:highlight w:val="none"/>
          <w:lang w:eastAsia="zh-CN"/>
        </w:rPr>
      </w:pPr>
      <w:r>
        <w:rPr>
          <w:rFonts w:hint="eastAsia" w:ascii="黑体" w:hAnsi="黑体" w:eastAsia="黑体" w:cs="黑体"/>
          <w:b w:val="0"/>
          <w:bCs/>
          <w:snapToGrid w:val="0"/>
          <w:kern w:val="0"/>
          <w:sz w:val="32"/>
          <w:szCs w:val="32"/>
          <w:highlight w:val="none"/>
          <w:lang w:val="en-US" w:eastAsia="zh-CN"/>
        </w:rPr>
        <w:t>五</w:t>
      </w:r>
      <w:r>
        <w:rPr>
          <w:rFonts w:hint="eastAsia" w:ascii="黑体" w:hAnsi="黑体" w:eastAsia="黑体" w:cs="黑体"/>
          <w:b w:val="0"/>
          <w:bCs/>
          <w:snapToGrid w:val="0"/>
          <w:kern w:val="0"/>
          <w:sz w:val="32"/>
          <w:szCs w:val="32"/>
          <w:highlight w:val="none"/>
        </w:rPr>
        <w:t>、存在问题</w:t>
      </w:r>
      <w:r>
        <w:rPr>
          <w:rFonts w:hint="eastAsia" w:ascii="黑体" w:hAnsi="黑体" w:eastAsia="黑体" w:cs="黑体"/>
          <w:b w:val="0"/>
          <w:bCs/>
          <w:snapToGrid w:val="0"/>
          <w:kern w:val="0"/>
          <w:sz w:val="32"/>
          <w:szCs w:val="32"/>
          <w:highlight w:val="none"/>
          <w:lang w:eastAsia="zh-CN"/>
        </w:rPr>
        <w:t>或不足</w:t>
      </w:r>
    </w:p>
    <w:p w14:paraId="4C6C2AEC">
      <w:pPr>
        <w:pStyle w:val="11"/>
        <w:keepNext w:val="0"/>
        <w:keepLines w:val="0"/>
        <w:pageBreakBefore w:val="0"/>
        <w:numPr>
          <w:ilvl w:val="0"/>
          <w:numId w:val="0"/>
        </w:numPr>
        <w:pBdr>
          <w:top w:val="none" w:color="000000" w:sz="0" w:space="0"/>
          <w:left w:val="none" w:color="000000" w:sz="0" w:space="0"/>
          <w:bottom w:val="none" w:color="000000" w:sz="0" w:space="17"/>
          <w:right w:val="none" w:color="000000" w:sz="0" w:space="0"/>
        </w:pBdr>
        <w:shd w:val="clear"/>
        <w:kinsoku/>
        <w:wordWrap/>
        <w:overflowPunct/>
        <w:topLinePunct w:val="0"/>
        <w:autoSpaceDE/>
        <w:autoSpaceDN/>
        <w:bidi w:val="0"/>
        <w:adjustRightInd w:val="0"/>
        <w:snapToGrid/>
        <w:spacing w:beforeAutospacing="0" w:after="0" w:afterAutospacing="0" w:line="560" w:lineRule="exact"/>
        <w:ind w:firstLine="640" w:firstLineChars="200"/>
        <w:textAlignment w:val="auto"/>
        <w:rPr>
          <w:rFonts w:hint="eastAsia" w:ascii="Times New Roman" w:hAnsi="Times New Roman" w:eastAsia="仿宋_GB2312" w:cs="Times New Roman"/>
          <w:b w:val="0"/>
          <w:bCs w:val="0"/>
          <w:snapToGrid w:val="0"/>
          <w:kern w:val="0"/>
          <w:sz w:val="32"/>
          <w:szCs w:val="32"/>
          <w:highlight w:val="none"/>
          <w:lang w:val="en-US" w:eastAsia="zh-CN"/>
        </w:rPr>
      </w:pPr>
      <w:r>
        <w:rPr>
          <w:rFonts w:hint="eastAsia" w:eastAsia="仿宋_GB2312"/>
          <w:snapToGrid w:val="0"/>
          <w:kern w:val="0"/>
          <w:sz w:val="32"/>
          <w:szCs w:val="32"/>
          <w:highlight w:val="none"/>
        </w:rPr>
        <w:t>（一）</w:t>
      </w:r>
      <w:r>
        <w:rPr>
          <w:rFonts w:hint="eastAsia" w:eastAsia="仿宋_GB2312"/>
          <w:b/>
          <w:bCs/>
          <w:snapToGrid w:val="0"/>
          <w:kern w:val="0"/>
          <w:sz w:val="32"/>
          <w:szCs w:val="32"/>
          <w:highlight w:val="none"/>
          <w:lang w:val="en-US" w:eastAsia="zh-CN"/>
        </w:rPr>
        <w:t>兑现审核过程加强</w:t>
      </w:r>
      <w:r>
        <w:rPr>
          <w:rFonts w:hint="eastAsia" w:eastAsia="仿宋_GB2312"/>
          <w:b/>
          <w:bCs/>
          <w:snapToGrid w:val="0"/>
          <w:kern w:val="0"/>
          <w:sz w:val="32"/>
          <w:szCs w:val="32"/>
          <w:highlight w:val="none"/>
          <w:lang w:eastAsia="zh-CN"/>
        </w:rPr>
        <w:t>政策效益评估。</w:t>
      </w:r>
      <w:r>
        <w:rPr>
          <w:rFonts w:hint="eastAsia" w:ascii="Times New Roman" w:hAnsi="Times New Roman" w:eastAsia="仿宋_GB2312" w:cs="Times New Roman"/>
          <w:b w:val="0"/>
          <w:bCs w:val="0"/>
          <w:snapToGrid w:val="0"/>
          <w:kern w:val="0"/>
          <w:sz w:val="32"/>
          <w:szCs w:val="32"/>
          <w:highlight w:val="none"/>
          <w:lang w:val="en-US" w:eastAsia="zh-CN"/>
        </w:rPr>
        <w:t>2023年，为确保扶持资金取得相应的效果，</w:t>
      </w:r>
      <w:r>
        <w:rPr>
          <w:rFonts w:hint="eastAsia" w:ascii="Times New Roman" w:hAnsi="Times New Roman" w:eastAsia="仿宋_GB2312" w:cs="Times New Roman"/>
          <w:snapToGrid w:val="0"/>
          <w:kern w:val="0"/>
          <w:sz w:val="32"/>
          <w:szCs w:val="32"/>
          <w:highlight w:val="none"/>
          <w:lang w:eastAsia="zh-CN"/>
        </w:rPr>
        <w:t>需</w:t>
      </w:r>
      <w:r>
        <w:rPr>
          <w:rFonts w:hint="eastAsia" w:ascii="Times New Roman" w:hAnsi="Times New Roman" w:eastAsia="仿宋_GB2312" w:cs="Times New Roman"/>
          <w:b w:val="0"/>
          <w:bCs w:val="0"/>
          <w:snapToGrid w:val="0"/>
          <w:kern w:val="0"/>
          <w:sz w:val="32"/>
          <w:szCs w:val="32"/>
          <w:highlight w:val="none"/>
          <w:lang w:val="en-US" w:eastAsia="zh-CN"/>
        </w:rPr>
        <w:t>通过实地走访、约见会谈等方式了解企业在我区实际运营情况，综合研判企业质量、奖励兑现情况，确保企业对我区经济效益基础上，推进兑现工作，进一步加强政策效益评估。</w:t>
      </w:r>
    </w:p>
    <w:p w14:paraId="3EF5E7CD">
      <w:pPr>
        <w:pStyle w:val="11"/>
        <w:keepNext w:val="0"/>
        <w:keepLines w:val="0"/>
        <w:pageBreakBefore w:val="0"/>
        <w:numPr>
          <w:ilvl w:val="0"/>
          <w:numId w:val="0"/>
        </w:numPr>
        <w:pBdr>
          <w:top w:val="none" w:color="000000" w:sz="0" w:space="0"/>
          <w:left w:val="none" w:color="000000" w:sz="0" w:space="0"/>
          <w:bottom w:val="none" w:color="000000" w:sz="0" w:space="17"/>
          <w:right w:val="none" w:color="000000" w:sz="0" w:space="0"/>
        </w:pBdr>
        <w:shd w:val="clear"/>
        <w:kinsoku/>
        <w:wordWrap/>
        <w:overflowPunct/>
        <w:topLinePunct w:val="0"/>
        <w:autoSpaceDE/>
        <w:autoSpaceDN/>
        <w:bidi w:val="0"/>
        <w:adjustRightInd w:val="0"/>
        <w:snapToGrid/>
        <w:spacing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highlight w:val="none"/>
          <w:shd w:val="clear" w:color="auto"/>
          <w:lang w:val="en-US" w:eastAsia="zh-CN"/>
        </w:rPr>
      </w:pPr>
      <w:r>
        <w:rPr>
          <w:rFonts w:hint="eastAsia" w:eastAsia="仿宋_GB2312"/>
          <w:snapToGrid w:val="0"/>
          <w:kern w:val="0"/>
          <w:sz w:val="32"/>
          <w:szCs w:val="32"/>
          <w:shd w:val="clear" w:color="auto"/>
        </w:rPr>
        <w:t>（</w:t>
      </w:r>
      <w:r>
        <w:rPr>
          <w:rFonts w:hint="eastAsia" w:eastAsia="仿宋_GB2312"/>
          <w:snapToGrid w:val="0"/>
          <w:kern w:val="0"/>
          <w:sz w:val="32"/>
          <w:szCs w:val="32"/>
          <w:shd w:val="clear" w:color="auto"/>
          <w:lang w:val="en-US" w:eastAsia="zh-CN"/>
        </w:rPr>
        <w:t>二</w:t>
      </w:r>
      <w:r>
        <w:rPr>
          <w:rFonts w:hint="eastAsia" w:eastAsia="仿宋_GB2312"/>
          <w:snapToGrid w:val="0"/>
          <w:kern w:val="0"/>
          <w:sz w:val="32"/>
          <w:szCs w:val="32"/>
          <w:shd w:val="clear" w:color="auto"/>
        </w:rPr>
        <w:t>）</w:t>
      </w:r>
      <w:r>
        <w:rPr>
          <w:rFonts w:hint="eastAsia" w:ascii="仿宋_GB2312" w:hAnsi="仿宋_GB2312" w:eastAsia="仿宋_GB2312" w:cs="仿宋_GB2312"/>
          <w:b w:val="0"/>
          <w:kern w:val="2"/>
          <w:sz w:val="32"/>
          <w:szCs w:val="32"/>
          <w:highlight w:val="none"/>
          <w:shd w:val="clear" w:color="auto"/>
          <w:lang w:val="en-US" w:eastAsia="zh-CN" w:bidi="ar"/>
        </w:rPr>
        <w:t>明珠湾起步区灵山岛尖区域正加快推动基础设施开发，为南沙金融集聚区的建设提供了有力支撑。目前该区域正处于起步阶段，集聚区楼宇周边配套设施如交通、餐饮、生活娱乐等方面仍有待完善，一定程度上增加了企业入驻办公、用人成本，导致企业在人才招聘、规模扩张等方面进度缓慢，部分入驻集聚区的企业单位</w:t>
      </w:r>
      <w:r>
        <w:rPr>
          <w:rFonts w:hint="eastAsia" w:ascii="仿宋_GB2312" w:hAnsi="仿宋_GB2312" w:eastAsia="仿宋_GB2312" w:cs="仿宋_GB2312"/>
          <w:b w:val="0"/>
          <w:kern w:val="2"/>
          <w:sz w:val="32"/>
          <w:szCs w:val="32"/>
          <w:highlight w:val="none"/>
          <w:shd w:val="clear" w:color="auto"/>
          <w:lang w:eastAsia="zh-CN" w:bidi="ar"/>
        </w:rPr>
        <w:t>实地办</w:t>
      </w:r>
      <w:r>
        <w:rPr>
          <w:rFonts w:hint="eastAsia" w:ascii="仿宋_GB2312" w:hAnsi="仿宋_GB2312" w:eastAsia="仿宋_GB2312" w:cs="仿宋_GB2312"/>
          <w:color w:val="000000"/>
          <w:sz w:val="32"/>
          <w:szCs w:val="32"/>
          <w:highlight w:val="none"/>
          <w:shd w:val="clear" w:color="auto"/>
          <w:lang w:val="en-US" w:eastAsia="zh-CN"/>
        </w:rPr>
        <w:t>公人员不足，集聚区集聚效应有待进一步发挥。</w:t>
      </w:r>
    </w:p>
    <w:p w14:paraId="560CA29E">
      <w:pPr>
        <w:pStyle w:val="11"/>
        <w:keepNext w:val="0"/>
        <w:keepLines w:val="0"/>
        <w:pageBreakBefore w:val="0"/>
        <w:numPr>
          <w:ilvl w:val="0"/>
          <w:numId w:val="0"/>
        </w:numPr>
        <w:pBdr>
          <w:top w:val="none" w:color="000000" w:sz="0" w:space="0"/>
          <w:left w:val="none" w:color="000000" w:sz="0" w:space="0"/>
          <w:bottom w:val="none" w:color="000000" w:sz="0" w:space="17"/>
          <w:right w:val="none" w:color="000000" w:sz="0" w:space="0"/>
        </w:pBdr>
        <w:shd w:val="clear"/>
        <w:kinsoku/>
        <w:wordWrap/>
        <w:overflowPunct/>
        <w:topLinePunct w:val="0"/>
        <w:autoSpaceDE/>
        <w:autoSpaceDN/>
        <w:bidi w:val="0"/>
        <w:adjustRightInd w:val="0"/>
        <w:snapToGrid/>
        <w:spacing w:beforeAutospacing="0" w:after="0" w:afterAutospacing="0" w:line="560" w:lineRule="exact"/>
        <w:ind w:firstLine="640" w:firstLineChars="200"/>
        <w:textAlignment w:val="auto"/>
        <w:rPr>
          <w:rFonts w:hint="eastAsia" w:ascii="黑体" w:hAnsi="黑体" w:eastAsia="黑体" w:cs="黑体"/>
          <w:b w:val="0"/>
          <w:bCs/>
          <w:snapToGrid w:val="0"/>
          <w:kern w:val="0"/>
          <w:sz w:val="32"/>
          <w:szCs w:val="32"/>
          <w:highlight w:val="none"/>
        </w:rPr>
      </w:pPr>
      <w:r>
        <w:rPr>
          <w:rFonts w:hint="eastAsia" w:ascii="黑体" w:hAnsi="黑体" w:eastAsia="黑体" w:cs="黑体"/>
          <w:b w:val="0"/>
          <w:bCs/>
          <w:snapToGrid w:val="0"/>
          <w:kern w:val="0"/>
          <w:sz w:val="32"/>
          <w:szCs w:val="32"/>
          <w:highlight w:val="none"/>
        </w:rPr>
        <w:t>六、相关建议</w:t>
      </w:r>
    </w:p>
    <w:p w14:paraId="54E7E5AF">
      <w:pPr>
        <w:pStyle w:val="11"/>
        <w:keepNext w:val="0"/>
        <w:keepLines w:val="0"/>
        <w:pageBreakBefore w:val="0"/>
        <w:numPr>
          <w:ilvl w:val="0"/>
          <w:numId w:val="0"/>
        </w:numPr>
        <w:pBdr>
          <w:top w:val="none" w:color="000000" w:sz="0" w:space="0"/>
          <w:left w:val="none" w:color="000000" w:sz="0" w:space="0"/>
          <w:bottom w:val="none" w:color="000000" w:sz="0" w:space="17"/>
          <w:right w:val="none" w:color="000000" w:sz="0" w:space="0"/>
        </w:pBdr>
        <w:shd w:val="clear"/>
        <w:kinsoku/>
        <w:wordWrap/>
        <w:overflowPunct/>
        <w:topLinePunct w:val="0"/>
        <w:autoSpaceDE/>
        <w:autoSpaceDN/>
        <w:bidi w:val="0"/>
        <w:adjustRightInd w:val="0"/>
        <w:snapToGrid/>
        <w:spacing w:beforeAutospacing="0" w:after="0" w:afterAutospacing="0" w:line="560" w:lineRule="exact"/>
        <w:ind w:firstLine="640" w:firstLineChars="200"/>
        <w:textAlignment w:val="auto"/>
        <w:rPr>
          <w:rFonts w:hint="eastAsia" w:eastAsia="仿宋_GB2312"/>
          <w:snapToGrid w:val="0"/>
          <w:kern w:val="0"/>
          <w:sz w:val="32"/>
          <w:szCs w:val="32"/>
          <w:highlight w:val="none"/>
        </w:rPr>
      </w:pPr>
      <w:r>
        <w:rPr>
          <w:rFonts w:hint="eastAsia" w:eastAsia="仿宋_GB2312"/>
          <w:snapToGrid w:val="0"/>
          <w:kern w:val="0"/>
          <w:sz w:val="32"/>
          <w:szCs w:val="32"/>
          <w:highlight w:val="none"/>
          <w:lang w:val="en-US" w:eastAsia="zh-CN"/>
        </w:rPr>
        <w:t>一是</w:t>
      </w:r>
      <w:r>
        <w:rPr>
          <w:rFonts w:hint="eastAsia" w:eastAsia="仿宋_GB2312"/>
          <w:snapToGrid w:val="0"/>
          <w:kern w:val="0"/>
          <w:sz w:val="32"/>
          <w:szCs w:val="32"/>
          <w:highlight w:val="none"/>
        </w:rPr>
        <w:t>准滴灌实体企业，高效提升金融指标。引导金融活水投向重点领域，发挥“南沙金融15条”政策、信贷风险补偿机制、信易贷平台等作用，推动银行、保险、融资担保等企业将更多金融资源服务基础设施、产业、重大平台、民生、招商、营商环境等方面。充分利用“明珠投融荟”“南沙金融沙龙”等产融对接品牌活动，分行业分领域常态化举行金融机构和企业恳谈会，为企业与投融资机构搭建产融互动平台</w:t>
      </w:r>
      <w:r>
        <w:rPr>
          <w:rFonts w:hint="eastAsia"/>
          <w:snapToGrid w:val="0"/>
          <w:kern w:val="0"/>
          <w:sz w:val="32"/>
          <w:szCs w:val="32"/>
          <w:highlight w:val="none"/>
          <w:lang w:eastAsia="zh-CN"/>
        </w:rPr>
        <w:t>，</w:t>
      </w:r>
      <w:r>
        <w:rPr>
          <w:rFonts w:hint="eastAsia" w:eastAsia="仿宋_GB2312"/>
          <w:snapToGrid w:val="0"/>
          <w:kern w:val="0"/>
          <w:sz w:val="32"/>
          <w:szCs w:val="32"/>
          <w:highlight w:val="none"/>
        </w:rPr>
        <w:t>推动金融业增加值税收、存贷款余额、进口贡献、固定资产投资等指标快速增长全力巩固和增强经济回升向好态势。</w:t>
      </w:r>
    </w:p>
    <w:p w14:paraId="45FAEB60">
      <w:pPr>
        <w:pStyle w:val="11"/>
        <w:keepNext w:val="0"/>
        <w:keepLines w:val="0"/>
        <w:pageBreakBefore w:val="0"/>
        <w:numPr>
          <w:ilvl w:val="0"/>
          <w:numId w:val="0"/>
        </w:numPr>
        <w:pBdr>
          <w:top w:val="none" w:color="000000" w:sz="0" w:space="0"/>
          <w:left w:val="none" w:color="000000" w:sz="0" w:space="0"/>
          <w:bottom w:val="none" w:color="000000" w:sz="0" w:space="17"/>
          <w:right w:val="none" w:color="000000" w:sz="0" w:space="0"/>
        </w:pBdr>
        <w:shd w:val="clear"/>
        <w:kinsoku/>
        <w:wordWrap/>
        <w:overflowPunct/>
        <w:topLinePunct w:val="0"/>
        <w:autoSpaceDE/>
        <w:autoSpaceDN/>
        <w:bidi w:val="0"/>
        <w:adjustRightInd w:val="0"/>
        <w:snapToGrid/>
        <w:spacing w:beforeAutospacing="0" w:after="0" w:afterAutospacing="0" w:line="560" w:lineRule="exact"/>
        <w:ind w:firstLine="640" w:firstLineChars="200"/>
        <w:textAlignment w:val="auto"/>
        <w:rPr>
          <w:rFonts w:hint="eastAsia" w:eastAsia="仿宋_GB2312"/>
          <w:snapToGrid w:val="0"/>
          <w:kern w:val="0"/>
          <w:sz w:val="32"/>
          <w:szCs w:val="32"/>
          <w:highlight w:val="none"/>
        </w:rPr>
      </w:pPr>
      <w:r>
        <w:rPr>
          <w:rFonts w:hint="eastAsia" w:eastAsia="仿宋_GB2312"/>
          <w:snapToGrid w:val="0"/>
          <w:kern w:val="0"/>
          <w:sz w:val="32"/>
          <w:szCs w:val="32"/>
          <w:highlight w:val="none"/>
          <w:lang w:val="en-US" w:eastAsia="zh-CN"/>
        </w:rPr>
        <w:t>二是</w:t>
      </w:r>
      <w:r>
        <w:rPr>
          <w:rFonts w:hint="eastAsia" w:eastAsia="仿宋_GB2312"/>
          <w:snapToGrid w:val="0"/>
          <w:kern w:val="0"/>
          <w:sz w:val="32"/>
          <w:szCs w:val="32"/>
          <w:highlight w:val="none"/>
        </w:rPr>
        <w:t>精密布局重大平台，系统集聚金融资源。推动广州期货交易所上市新能源等更多新品种</w:t>
      </w:r>
      <w:r>
        <w:rPr>
          <w:rFonts w:hint="eastAsia"/>
          <w:snapToGrid w:val="0"/>
          <w:kern w:val="0"/>
          <w:sz w:val="32"/>
          <w:szCs w:val="32"/>
          <w:highlight w:val="none"/>
          <w:lang w:eastAsia="zh-CN"/>
        </w:rPr>
        <w:t>；</w:t>
      </w:r>
      <w:r>
        <w:rPr>
          <w:rFonts w:hint="eastAsia" w:eastAsia="仿宋_GB2312"/>
          <w:snapToGrid w:val="0"/>
          <w:kern w:val="0"/>
          <w:sz w:val="32"/>
          <w:szCs w:val="32"/>
          <w:highlight w:val="none"/>
        </w:rPr>
        <w:t>加快推进期货产业园项目建设，跟进与督促建设进度，配合推荐产业园招商项目。积极推进筹设粤港澳大湾区保险服务中心，争取国家金融监管总局支持南沙承担统筹职能并尽快批复</w:t>
      </w:r>
      <w:r>
        <w:rPr>
          <w:rFonts w:hint="eastAsia"/>
          <w:snapToGrid w:val="0"/>
          <w:kern w:val="0"/>
          <w:sz w:val="32"/>
          <w:szCs w:val="32"/>
          <w:highlight w:val="none"/>
          <w:lang w:eastAsia="zh-CN"/>
        </w:rPr>
        <w:t>：</w:t>
      </w:r>
      <w:r>
        <w:rPr>
          <w:rFonts w:hint="eastAsia" w:eastAsia="仿宋_GB2312"/>
          <w:snapToGrid w:val="0"/>
          <w:kern w:val="0"/>
          <w:sz w:val="32"/>
          <w:szCs w:val="32"/>
          <w:highlight w:val="none"/>
        </w:rPr>
        <w:t>做好属地服务保障，推动落地运营加快推动筹设粤港澳大湾区国际商业银行，争取国家金融监管总局及其驻粤机构给予业务指导与支持</w:t>
      </w:r>
      <w:r>
        <w:rPr>
          <w:rFonts w:hint="eastAsia"/>
          <w:snapToGrid w:val="0"/>
          <w:kern w:val="0"/>
          <w:sz w:val="32"/>
          <w:szCs w:val="32"/>
          <w:highlight w:val="none"/>
          <w:lang w:eastAsia="zh-CN"/>
        </w:rPr>
        <w:t>，</w:t>
      </w:r>
      <w:r>
        <w:rPr>
          <w:rFonts w:hint="eastAsia" w:eastAsia="仿宋_GB2312"/>
          <w:snapToGrid w:val="0"/>
          <w:kern w:val="0"/>
          <w:sz w:val="32"/>
          <w:szCs w:val="32"/>
          <w:highlight w:val="none"/>
        </w:rPr>
        <w:t>明确设立路径并启动辅导筹设进程。加快建设粤港澳大湾区</w:t>
      </w:r>
      <w:r>
        <w:rPr>
          <w:rFonts w:hint="eastAsia"/>
          <w:snapToGrid w:val="0"/>
          <w:kern w:val="0"/>
          <w:sz w:val="32"/>
          <w:szCs w:val="32"/>
          <w:highlight w:val="none"/>
          <w:lang w:eastAsia="zh-CN"/>
        </w:rPr>
        <w:t>（</w:t>
      </w:r>
      <w:r>
        <w:rPr>
          <w:rFonts w:hint="eastAsia" w:eastAsia="仿宋_GB2312"/>
          <w:snapToGrid w:val="0"/>
          <w:kern w:val="0"/>
          <w:sz w:val="32"/>
          <w:szCs w:val="32"/>
          <w:highlight w:val="none"/>
        </w:rPr>
        <w:t>广州南沙</w:t>
      </w:r>
      <w:r>
        <w:rPr>
          <w:rFonts w:hint="eastAsia"/>
          <w:snapToGrid w:val="0"/>
          <w:kern w:val="0"/>
          <w:sz w:val="32"/>
          <w:szCs w:val="32"/>
          <w:highlight w:val="none"/>
          <w:lang w:eastAsia="zh-CN"/>
        </w:rPr>
        <w:t>）</w:t>
      </w:r>
      <w:r>
        <w:rPr>
          <w:rFonts w:hint="eastAsia" w:eastAsia="仿宋_GB2312"/>
          <w:snapToGrid w:val="0"/>
          <w:kern w:val="0"/>
          <w:sz w:val="32"/>
          <w:szCs w:val="32"/>
          <w:highlight w:val="none"/>
        </w:rPr>
        <w:t>跨境理财和资管中心</w:t>
      </w:r>
      <w:r>
        <w:rPr>
          <w:rFonts w:hint="eastAsia"/>
          <w:snapToGrid w:val="0"/>
          <w:kern w:val="0"/>
          <w:sz w:val="32"/>
          <w:szCs w:val="32"/>
          <w:highlight w:val="none"/>
          <w:lang w:eastAsia="zh-CN"/>
        </w:rPr>
        <w:t>，</w:t>
      </w:r>
      <w:r>
        <w:rPr>
          <w:rFonts w:hint="eastAsia" w:eastAsia="仿宋_GB2312"/>
          <w:snapToGrid w:val="0"/>
          <w:kern w:val="0"/>
          <w:sz w:val="32"/>
          <w:szCs w:val="32"/>
          <w:highlight w:val="none"/>
        </w:rPr>
        <w:t>深化建设明珠金融创新集聚区开展二期入驻企业储备工作。</w:t>
      </w:r>
    </w:p>
    <w:p w14:paraId="0C30A78D">
      <w:pPr>
        <w:pStyle w:val="11"/>
        <w:keepNext w:val="0"/>
        <w:keepLines w:val="0"/>
        <w:pageBreakBefore w:val="0"/>
        <w:numPr>
          <w:ilvl w:val="0"/>
          <w:numId w:val="0"/>
        </w:numPr>
        <w:pBdr>
          <w:top w:val="none" w:color="000000" w:sz="0" w:space="0"/>
          <w:left w:val="none" w:color="000000" w:sz="0" w:space="0"/>
          <w:bottom w:val="none" w:color="000000" w:sz="0" w:space="17"/>
          <w:right w:val="none" w:color="000000" w:sz="0" w:space="0"/>
        </w:pBdr>
        <w:shd w:val="clear"/>
        <w:kinsoku/>
        <w:wordWrap/>
        <w:overflowPunct/>
        <w:topLinePunct w:val="0"/>
        <w:autoSpaceDE/>
        <w:autoSpaceDN/>
        <w:bidi w:val="0"/>
        <w:adjustRightInd w:val="0"/>
        <w:snapToGrid/>
        <w:spacing w:beforeAutospacing="0" w:after="0" w:afterAutospacing="0" w:line="560" w:lineRule="exact"/>
        <w:ind w:firstLine="640" w:firstLineChars="200"/>
        <w:textAlignment w:val="auto"/>
        <w:rPr>
          <w:rFonts w:hint="default" w:ascii="仿宋_GB2312" w:hAnsi="仿宋_GB2312" w:eastAsia="仿宋_GB2312" w:cs="仿宋_GB2312"/>
          <w:snapToGrid w:val="0"/>
          <w:kern w:val="0"/>
          <w:sz w:val="32"/>
          <w:szCs w:val="32"/>
          <w:lang w:val="en-US"/>
        </w:rPr>
      </w:pPr>
      <w:r>
        <w:rPr>
          <w:rFonts w:hint="eastAsia" w:ascii="仿宋_GB2312" w:hAnsi="仿宋_GB2312" w:eastAsia="仿宋_GB2312" w:cs="仿宋_GB2312"/>
          <w:color w:val="000000"/>
          <w:sz w:val="32"/>
          <w:szCs w:val="32"/>
          <w:highlight w:val="none"/>
          <w:shd w:val="clear" w:color="auto"/>
          <w:lang w:val="en-US" w:eastAsia="zh-CN"/>
        </w:rPr>
        <w:t>三是通过政策引导，</w:t>
      </w:r>
      <w:r>
        <w:rPr>
          <w:rFonts w:hint="eastAsia" w:ascii="仿宋_GB2312" w:hAnsi="仿宋_GB2312" w:eastAsia="仿宋_GB2312" w:cs="仿宋_GB2312"/>
          <w:i w:val="0"/>
          <w:iCs w:val="0"/>
          <w:caps w:val="0"/>
          <w:color w:val="292934"/>
          <w:spacing w:val="0"/>
          <w:sz w:val="32"/>
          <w:szCs w:val="32"/>
          <w:shd w:val="clear" w:color="auto"/>
        </w:rPr>
        <w:t>促进</w:t>
      </w:r>
      <w:r>
        <w:rPr>
          <w:rFonts w:hint="eastAsia" w:ascii="仿宋_GB2312" w:hAnsi="仿宋_GB2312" w:eastAsia="仿宋_GB2312" w:cs="仿宋_GB2312"/>
          <w:i w:val="0"/>
          <w:iCs w:val="0"/>
          <w:caps w:val="0"/>
          <w:color w:val="292934"/>
          <w:spacing w:val="0"/>
          <w:sz w:val="32"/>
          <w:szCs w:val="32"/>
          <w:shd w:val="clear" w:color="auto"/>
          <w:lang w:val="en-US" w:eastAsia="zh-CN"/>
        </w:rPr>
        <w:t>广期所与南沙区及</w:t>
      </w:r>
      <w:r>
        <w:rPr>
          <w:rFonts w:hint="eastAsia" w:ascii="仿宋_GB2312" w:hAnsi="仿宋_GB2312" w:eastAsia="仿宋_GB2312" w:cs="仿宋_GB2312"/>
          <w:i w:val="0"/>
          <w:iCs w:val="0"/>
          <w:caps w:val="0"/>
          <w:color w:val="292934"/>
          <w:spacing w:val="0"/>
          <w:sz w:val="32"/>
          <w:szCs w:val="32"/>
          <w:shd w:val="clear" w:color="auto"/>
        </w:rPr>
        <w:t>大湾区金融市场的融合，推进高水平对外开放。广期所积极布局特色品种和国际互挂类品种，通过</w:t>
      </w:r>
      <w:r>
        <w:rPr>
          <w:rFonts w:hint="eastAsia" w:ascii="仿宋_GB2312" w:hAnsi="仿宋_GB2312" w:eastAsia="仿宋_GB2312" w:cs="仿宋_GB2312"/>
          <w:i w:val="0"/>
          <w:iCs w:val="0"/>
          <w:caps w:val="0"/>
          <w:color w:val="292934"/>
          <w:spacing w:val="0"/>
          <w:sz w:val="32"/>
          <w:szCs w:val="32"/>
          <w:shd w:val="clear" w:color="auto"/>
          <w:lang w:val="en-US" w:eastAsia="zh-CN"/>
        </w:rPr>
        <w:t>南沙区及</w:t>
      </w:r>
      <w:r>
        <w:rPr>
          <w:rFonts w:hint="eastAsia" w:ascii="仿宋_GB2312" w:hAnsi="仿宋_GB2312" w:eastAsia="仿宋_GB2312" w:cs="仿宋_GB2312"/>
          <w:i w:val="0"/>
          <w:iCs w:val="0"/>
          <w:caps w:val="0"/>
          <w:color w:val="292934"/>
          <w:spacing w:val="0"/>
          <w:sz w:val="32"/>
          <w:szCs w:val="32"/>
          <w:shd w:val="clear" w:color="auto"/>
        </w:rPr>
        <w:t>粤港澳大湾区辐射“一带一路”沿线更大市场。</w:t>
      </w:r>
      <w:r>
        <w:rPr>
          <w:rFonts w:hint="eastAsia" w:ascii="仿宋_GB2312" w:hAnsi="仿宋_GB2312" w:eastAsia="仿宋_GB2312" w:cs="仿宋_GB2312"/>
          <w:color w:val="000000"/>
          <w:sz w:val="32"/>
          <w:szCs w:val="32"/>
          <w:highlight w:val="none"/>
          <w:shd w:val="clear" w:color="auto"/>
          <w:lang w:val="en-US" w:eastAsia="zh-CN"/>
        </w:rPr>
        <w:t>开展各类招商推介、银政企对接、产业培训等活动，强化集聚区入驻企业单位参与南沙相关活动意识，加快资源集聚与金融集聚区打造，推动人才引进，实地办公。联动区内有关部门，完善灵山岛配套功能建设，为企业交流及开展业务提供更优渥的环境</w:t>
      </w:r>
      <w:r>
        <w:rPr>
          <w:rFonts w:hint="eastAsia" w:ascii="仿宋_GB2312" w:hAnsi="仿宋_GB2312" w:eastAsia="仿宋_GB2312" w:cs="仿宋_GB2312"/>
          <w:color w:val="000000"/>
          <w:sz w:val="32"/>
          <w:szCs w:val="32"/>
          <w:highlight w:val="none"/>
          <w:shd w:val="clear"/>
          <w:lang w:val="en-US" w:eastAsia="zh-CN"/>
        </w:rPr>
        <w:t>。</w:t>
      </w:r>
    </w:p>
    <w:p w14:paraId="5F43D5FF">
      <w:pPr>
        <w:rPr>
          <w:rFonts w:hint="eastAsia" w:eastAsia="仿宋_GB2312"/>
          <w:snapToGrid w:val="0"/>
          <w:kern w:val="0"/>
          <w:sz w:val="32"/>
          <w:szCs w:val="32"/>
        </w:rPr>
      </w:pPr>
    </w:p>
    <w:p w14:paraId="3689D8DE">
      <w:pPr>
        <w:ind w:firstLine="640" w:firstLineChars="200"/>
        <w:rPr>
          <w:rFonts w:hint="eastAsia" w:eastAsia="仿宋_GB2312"/>
          <w:snapToGrid w:val="0"/>
          <w:kern w:val="0"/>
          <w:sz w:val="32"/>
          <w:szCs w:val="32"/>
        </w:rPr>
      </w:pPr>
      <w:bookmarkStart w:id="0" w:name="_GoBack"/>
      <w:bookmarkEnd w:id="0"/>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EB1F85-6BD2-44F5-A60C-1FCD7553D5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54A21A7-0C1E-4FF5-92CB-3C156FE61572}"/>
  </w:font>
  <w:font w:name="方正小标宋_GBK">
    <w:panose1 w:val="02000000000000000000"/>
    <w:charset w:val="86"/>
    <w:family w:val="script"/>
    <w:pitch w:val="default"/>
    <w:sig w:usb0="A00002BF" w:usb1="38CF7CFA" w:usb2="00082016" w:usb3="00000000" w:csb0="00040001" w:csb1="00000000"/>
    <w:embedRegular r:id="rId3" w:fontKey="{51FC7D48-78B1-4960-8B29-4F33DC111102}"/>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88EE072E-695A-47FD-8B5C-78A3F1595D41}"/>
  </w:font>
  <w:font w:name="FangSong_GB2312">
    <w:altName w:val="仿宋_GB2312"/>
    <w:panose1 w:val="020B0604020202020204"/>
    <w:charset w:val="86"/>
    <w:family w:val="modern"/>
    <w:pitch w:val="default"/>
    <w:sig w:usb0="00000000" w:usb1="00000000" w:usb2="00000010" w:usb3="00000000" w:csb0="00040000" w:csb1="00000000"/>
    <w:embedRegular r:id="rId5" w:fontKey="{23F2159D-1302-49C1-8314-DF445DE95737}"/>
  </w:font>
  <w:font w:name="楷体">
    <w:panose1 w:val="02010609060101010101"/>
    <w:charset w:val="86"/>
    <w:family w:val="modern"/>
    <w:pitch w:val="default"/>
    <w:sig w:usb0="800002BF" w:usb1="38CF7CFA" w:usb2="00000016" w:usb3="00000000" w:csb0="00040001" w:csb1="00000000"/>
    <w:embedRegular r:id="rId6" w:fontKey="{9A958308-E325-45D5-BB9A-7E11C06251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37A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9AA17">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69AA17">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NWZhODk5MDliZTc2Y2I0NmU5NGEwYmUzOTI4NzEifQ=="/>
  </w:docVars>
  <w:rsids>
    <w:rsidRoot w:val="003E76EA"/>
    <w:rsid w:val="00010D72"/>
    <w:rsid w:val="00010E28"/>
    <w:rsid w:val="000218E8"/>
    <w:rsid w:val="00021FAD"/>
    <w:rsid w:val="000247C4"/>
    <w:rsid w:val="00026861"/>
    <w:rsid w:val="00027FCE"/>
    <w:rsid w:val="00060DE8"/>
    <w:rsid w:val="00080E71"/>
    <w:rsid w:val="000A3FAD"/>
    <w:rsid w:val="000A795E"/>
    <w:rsid w:val="000B781F"/>
    <w:rsid w:val="000D1E2D"/>
    <w:rsid w:val="000D536B"/>
    <w:rsid w:val="000E6FFA"/>
    <w:rsid w:val="000F1CD6"/>
    <w:rsid w:val="000F4757"/>
    <w:rsid w:val="00100AA3"/>
    <w:rsid w:val="00111378"/>
    <w:rsid w:val="00116C56"/>
    <w:rsid w:val="001224A0"/>
    <w:rsid w:val="00130937"/>
    <w:rsid w:val="001337C9"/>
    <w:rsid w:val="00136A54"/>
    <w:rsid w:val="00157F1E"/>
    <w:rsid w:val="0016593F"/>
    <w:rsid w:val="00167418"/>
    <w:rsid w:val="001B6A8C"/>
    <w:rsid w:val="001C598D"/>
    <w:rsid w:val="001C5C3E"/>
    <w:rsid w:val="001E17A7"/>
    <w:rsid w:val="001E202A"/>
    <w:rsid w:val="001E2B7D"/>
    <w:rsid w:val="001E64A9"/>
    <w:rsid w:val="001F7438"/>
    <w:rsid w:val="0022309A"/>
    <w:rsid w:val="0023237B"/>
    <w:rsid w:val="00241E93"/>
    <w:rsid w:val="00256DCC"/>
    <w:rsid w:val="002748B0"/>
    <w:rsid w:val="00276AD9"/>
    <w:rsid w:val="00276ECC"/>
    <w:rsid w:val="002824F3"/>
    <w:rsid w:val="00283D5C"/>
    <w:rsid w:val="00284E22"/>
    <w:rsid w:val="00297D2F"/>
    <w:rsid w:val="002A3DB2"/>
    <w:rsid w:val="002A6CF6"/>
    <w:rsid w:val="002A7E6D"/>
    <w:rsid w:val="002B39A8"/>
    <w:rsid w:val="002C3FC5"/>
    <w:rsid w:val="002D58DD"/>
    <w:rsid w:val="002E410F"/>
    <w:rsid w:val="002F3F62"/>
    <w:rsid w:val="00302172"/>
    <w:rsid w:val="00310D0C"/>
    <w:rsid w:val="0031333A"/>
    <w:rsid w:val="003157C6"/>
    <w:rsid w:val="00324AB4"/>
    <w:rsid w:val="00332C97"/>
    <w:rsid w:val="00336F97"/>
    <w:rsid w:val="00342540"/>
    <w:rsid w:val="00356ADF"/>
    <w:rsid w:val="00362827"/>
    <w:rsid w:val="0039519D"/>
    <w:rsid w:val="003A56D8"/>
    <w:rsid w:val="003E340C"/>
    <w:rsid w:val="003E76EA"/>
    <w:rsid w:val="003F2F0D"/>
    <w:rsid w:val="004005EA"/>
    <w:rsid w:val="004049F9"/>
    <w:rsid w:val="00406FC3"/>
    <w:rsid w:val="00450166"/>
    <w:rsid w:val="0045323E"/>
    <w:rsid w:val="004603AD"/>
    <w:rsid w:val="0046313A"/>
    <w:rsid w:val="0047213E"/>
    <w:rsid w:val="00472E67"/>
    <w:rsid w:val="00476441"/>
    <w:rsid w:val="00486FB7"/>
    <w:rsid w:val="004C06E2"/>
    <w:rsid w:val="004C2B8E"/>
    <w:rsid w:val="004D1048"/>
    <w:rsid w:val="004D6A48"/>
    <w:rsid w:val="004E5DC8"/>
    <w:rsid w:val="004F0D09"/>
    <w:rsid w:val="004F1DA8"/>
    <w:rsid w:val="004F3290"/>
    <w:rsid w:val="0051080B"/>
    <w:rsid w:val="00514263"/>
    <w:rsid w:val="00524685"/>
    <w:rsid w:val="00527CAF"/>
    <w:rsid w:val="0054027E"/>
    <w:rsid w:val="005403B1"/>
    <w:rsid w:val="0054210F"/>
    <w:rsid w:val="00546B4B"/>
    <w:rsid w:val="005506A3"/>
    <w:rsid w:val="0057084E"/>
    <w:rsid w:val="00571E19"/>
    <w:rsid w:val="0057471A"/>
    <w:rsid w:val="00595C43"/>
    <w:rsid w:val="005A048B"/>
    <w:rsid w:val="005B7DE5"/>
    <w:rsid w:val="005D0BAC"/>
    <w:rsid w:val="005D2653"/>
    <w:rsid w:val="005D6E51"/>
    <w:rsid w:val="005D77DC"/>
    <w:rsid w:val="005E1747"/>
    <w:rsid w:val="005E66CC"/>
    <w:rsid w:val="005F6263"/>
    <w:rsid w:val="005F6E72"/>
    <w:rsid w:val="00617A91"/>
    <w:rsid w:val="00624C8C"/>
    <w:rsid w:val="006439E7"/>
    <w:rsid w:val="00654AB2"/>
    <w:rsid w:val="006557C4"/>
    <w:rsid w:val="00662514"/>
    <w:rsid w:val="00672662"/>
    <w:rsid w:val="006829FC"/>
    <w:rsid w:val="00682F46"/>
    <w:rsid w:val="00684C87"/>
    <w:rsid w:val="00690CD0"/>
    <w:rsid w:val="0069491F"/>
    <w:rsid w:val="006D2084"/>
    <w:rsid w:val="006D729C"/>
    <w:rsid w:val="00704448"/>
    <w:rsid w:val="00717F6F"/>
    <w:rsid w:val="0074035A"/>
    <w:rsid w:val="00745271"/>
    <w:rsid w:val="007452AE"/>
    <w:rsid w:val="00755162"/>
    <w:rsid w:val="007562F4"/>
    <w:rsid w:val="0075719F"/>
    <w:rsid w:val="00774399"/>
    <w:rsid w:val="007774D4"/>
    <w:rsid w:val="00783E3B"/>
    <w:rsid w:val="00785985"/>
    <w:rsid w:val="007869EC"/>
    <w:rsid w:val="00791D9B"/>
    <w:rsid w:val="007A6B53"/>
    <w:rsid w:val="007B1CEF"/>
    <w:rsid w:val="007B3D67"/>
    <w:rsid w:val="007C194D"/>
    <w:rsid w:val="007C62F0"/>
    <w:rsid w:val="007D5B2E"/>
    <w:rsid w:val="007E54F1"/>
    <w:rsid w:val="007E61FF"/>
    <w:rsid w:val="007F5887"/>
    <w:rsid w:val="00823005"/>
    <w:rsid w:val="00842242"/>
    <w:rsid w:val="00850B9C"/>
    <w:rsid w:val="00852EE5"/>
    <w:rsid w:val="00861572"/>
    <w:rsid w:val="008729FF"/>
    <w:rsid w:val="00882CB3"/>
    <w:rsid w:val="008A0901"/>
    <w:rsid w:val="008A38B5"/>
    <w:rsid w:val="008B3FEF"/>
    <w:rsid w:val="008C6990"/>
    <w:rsid w:val="008C6DA5"/>
    <w:rsid w:val="008E4E73"/>
    <w:rsid w:val="008F559F"/>
    <w:rsid w:val="00904136"/>
    <w:rsid w:val="00904146"/>
    <w:rsid w:val="00920953"/>
    <w:rsid w:val="00921204"/>
    <w:rsid w:val="00930CA1"/>
    <w:rsid w:val="00955FEC"/>
    <w:rsid w:val="00987742"/>
    <w:rsid w:val="009877AA"/>
    <w:rsid w:val="009A6014"/>
    <w:rsid w:val="009C0A77"/>
    <w:rsid w:val="009D1F8B"/>
    <w:rsid w:val="00A25B1E"/>
    <w:rsid w:val="00A27176"/>
    <w:rsid w:val="00A745B0"/>
    <w:rsid w:val="00A76C28"/>
    <w:rsid w:val="00A848EA"/>
    <w:rsid w:val="00AC2EA3"/>
    <w:rsid w:val="00AC3AB1"/>
    <w:rsid w:val="00AE3033"/>
    <w:rsid w:val="00B1690A"/>
    <w:rsid w:val="00B35701"/>
    <w:rsid w:val="00B4782A"/>
    <w:rsid w:val="00B613EB"/>
    <w:rsid w:val="00B76149"/>
    <w:rsid w:val="00B81388"/>
    <w:rsid w:val="00B82DAA"/>
    <w:rsid w:val="00B846E1"/>
    <w:rsid w:val="00B858F2"/>
    <w:rsid w:val="00B96034"/>
    <w:rsid w:val="00B960C7"/>
    <w:rsid w:val="00BA1BCC"/>
    <w:rsid w:val="00BA4DF1"/>
    <w:rsid w:val="00BA6284"/>
    <w:rsid w:val="00BB7A42"/>
    <w:rsid w:val="00BC4A75"/>
    <w:rsid w:val="00BD0399"/>
    <w:rsid w:val="00BE65CB"/>
    <w:rsid w:val="00BF144F"/>
    <w:rsid w:val="00BF6841"/>
    <w:rsid w:val="00BF7E6F"/>
    <w:rsid w:val="00C120E4"/>
    <w:rsid w:val="00C135EB"/>
    <w:rsid w:val="00C255FA"/>
    <w:rsid w:val="00C2676B"/>
    <w:rsid w:val="00C72942"/>
    <w:rsid w:val="00C75157"/>
    <w:rsid w:val="00C75E4B"/>
    <w:rsid w:val="00C843D6"/>
    <w:rsid w:val="00C86975"/>
    <w:rsid w:val="00C90695"/>
    <w:rsid w:val="00C94B1B"/>
    <w:rsid w:val="00CA3646"/>
    <w:rsid w:val="00CA38CF"/>
    <w:rsid w:val="00CB0F93"/>
    <w:rsid w:val="00CC320A"/>
    <w:rsid w:val="00CC6C36"/>
    <w:rsid w:val="00CF1F02"/>
    <w:rsid w:val="00CF3157"/>
    <w:rsid w:val="00D130A5"/>
    <w:rsid w:val="00D37AD9"/>
    <w:rsid w:val="00D41083"/>
    <w:rsid w:val="00D5197D"/>
    <w:rsid w:val="00D57442"/>
    <w:rsid w:val="00D62B24"/>
    <w:rsid w:val="00D7351A"/>
    <w:rsid w:val="00D74A3C"/>
    <w:rsid w:val="00D7553B"/>
    <w:rsid w:val="00D86068"/>
    <w:rsid w:val="00D90C31"/>
    <w:rsid w:val="00DB5794"/>
    <w:rsid w:val="00DC26CF"/>
    <w:rsid w:val="00DE68E9"/>
    <w:rsid w:val="00E06DB7"/>
    <w:rsid w:val="00E11623"/>
    <w:rsid w:val="00E32B2F"/>
    <w:rsid w:val="00E3473F"/>
    <w:rsid w:val="00E3756D"/>
    <w:rsid w:val="00E51628"/>
    <w:rsid w:val="00E555A5"/>
    <w:rsid w:val="00E6236B"/>
    <w:rsid w:val="00E6298A"/>
    <w:rsid w:val="00E76B32"/>
    <w:rsid w:val="00E85AAB"/>
    <w:rsid w:val="00ED1904"/>
    <w:rsid w:val="00ED74E8"/>
    <w:rsid w:val="00EF1799"/>
    <w:rsid w:val="00EF5605"/>
    <w:rsid w:val="00EF7033"/>
    <w:rsid w:val="00F30BD6"/>
    <w:rsid w:val="00F61159"/>
    <w:rsid w:val="00F91D80"/>
    <w:rsid w:val="00FA541B"/>
    <w:rsid w:val="00FC4870"/>
    <w:rsid w:val="00FC6443"/>
    <w:rsid w:val="00FD166A"/>
    <w:rsid w:val="00FE1462"/>
    <w:rsid w:val="058045FA"/>
    <w:rsid w:val="05EC3BDB"/>
    <w:rsid w:val="07DF1037"/>
    <w:rsid w:val="08CA642A"/>
    <w:rsid w:val="09E02DDD"/>
    <w:rsid w:val="0C0E3715"/>
    <w:rsid w:val="0C793F85"/>
    <w:rsid w:val="0E051B85"/>
    <w:rsid w:val="10905BD3"/>
    <w:rsid w:val="11EF5EAF"/>
    <w:rsid w:val="124716B6"/>
    <w:rsid w:val="151F0FD9"/>
    <w:rsid w:val="167350E7"/>
    <w:rsid w:val="1950759B"/>
    <w:rsid w:val="1A544ED2"/>
    <w:rsid w:val="1B293231"/>
    <w:rsid w:val="1DAD016C"/>
    <w:rsid w:val="1E783AA7"/>
    <w:rsid w:val="259E7580"/>
    <w:rsid w:val="279B6B32"/>
    <w:rsid w:val="28126635"/>
    <w:rsid w:val="29FC7600"/>
    <w:rsid w:val="2B29091B"/>
    <w:rsid w:val="2C8F7AFC"/>
    <w:rsid w:val="2D666B96"/>
    <w:rsid w:val="2D9C30E6"/>
    <w:rsid w:val="31011252"/>
    <w:rsid w:val="31C76C25"/>
    <w:rsid w:val="36776D42"/>
    <w:rsid w:val="39277AFD"/>
    <w:rsid w:val="394A5AD2"/>
    <w:rsid w:val="3A065ECB"/>
    <w:rsid w:val="3B287A09"/>
    <w:rsid w:val="3D312BD3"/>
    <w:rsid w:val="3F883E0B"/>
    <w:rsid w:val="43703DD7"/>
    <w:rsid w:val="4434020B"/>
    <w:rsid w:val="44F90377"/>
    <w:rsid w:val="45D4735B"/>
    <w:rsid w:val="47CD41B4"/>
    <w:rsid w:val="48CB7243"/>
    <w:rsid w:val="499A38AB"/>
    <w:rsid w:val="4BE61A97"/>
    <w:rsid w:val="5029216F"/>
    <w:rsid w:val="50D83144"/>
    <w:rsid w:val="55835E7B"/>
    <w:rsid w:val="57AC4824"/>
    <w:rsid w:val="57B00475"/>
    <w:rsid w:val="58CD48A6"/>
    <w:rsid w:val="5A4D3249"/>
    <w:rsid w:val="5D5416BB"/>
    <w:rsid w:val="6095110D"/>
    <w:rsid w:val="610036C9"/>
    <w:rsid w:val="61EE39CA"/>
    <w:rsid w:val="62BE3598"/>
    <w:rsid w:val="65334D1D"/>
    <w:rsid w:val="65811FE3"/>
    <w:rsid w:val="688A7704"/>
    <w:rsid w:val="6A285079"/>
    <w:rsid w:val="6B8D6199"/>
    <w:rsid w:val="6D68668F"/>
    <w:rsid w:val="701442D9"/>
    <w:rsid w:val="702042A3"/>
    <w:rsid w:val="72AB469B"/>
    <w:rsid w:val="746817B5"/>
    <w:rsid w:val="75A858D8"/>
    <w:rsid w:val="763B4565"/>
    <w:rsid w:val="7AFB3F42"/>
    <w:rsid w:val="7B552CE7"/>
    <w:rsid w:val="7E7E08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snapToGrid w:val="0"/>
      <w:spacing w:line="300" w:lineRule="auto"/>
      <w:ind w:firstLine="556"/>
    </w:pPr>
    <w:rPr>
      <w:rFonts w:ascii="仿宋_GB2312" w:eastAsia="仿宋_GB2312"/>
      <w:kern w:val="0"/>
      <w:szCs w:val="20"/>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ind w:left="0" w:right="0"/>
      <w:jc w:val="left"/>
    </w:pPr>
    <w:rPr>
      <w:rFonts w:ascii="Times New Roman" w:hAnsi="Times New Roman" w:eastAsia="Times New Roman" w:cs="Times New Roman"/>
      <w:kern w:val="0"/>
      <w:sz w:val="24"/>
      <w:szCs w:val="24"/>
      <w:lang w:val="en-US" w:eastAsia="zh-CN" w:bidi="ar"/>
    </w:rPr>
  </w:style>
  <w:style w:type="character" w:styleId="10">
    <w:name w:val="Strong"/>
    <w:basedOn w:val="9"/>
    <w:qFormat/>
    <w:uiPriority w:val="0"/>
    <w:rPr>
      <w:b/>
    </w:rPr>
  </w:style>
  <w:style w:type="paragraph" w:customStyle="1" w:styleId="11">
    <w:name w:val="正文 New New New New New New New New New"/>
    <w:qFormat/>
    <w:uiPriority w:val="0"/>
    <w:pPr>
      <w:widowControl w:val="0"/>
      <w:spacing w:beforeAutospacing="0" w:after="160" w:afterAutospacing="0" w:line="259" w:lineRule="auto"/>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14</Pages>
  <Words>7035</Words>
  <Characters>7393</Characters>
  <Lines>2</Lines>
  <Paragraphs>1</Paragraphs>
  <TotalTime>17</TotalTime>
  <ScaleCrop>false</ScaleCrop>
  <LinksUpToDate>false</LinksUpToDate>
  <CharactersWithSpaces>7438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2021-06-12T01:58:00Z</dcterms:created>
  <dc:creator>凌海涛</dc:creator>
  <cp:lastModifiedBy>依然</cp:lastModifiedBy>
  <cp:lastPrinted>2024-05-28T03:49:00Z</cp:lastPrinted>
  <dcterms:modified xsi:type="dcterms:W3CDTF">2024-10-24T01:56:10Z</dcterms:modified>
  <dc:title>XXXXXX年部门整体支出绩效评价报告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3AE5361C594C48D0A1ABAF0F373CA71C_13</vt:lpwstr>
  </property>
</Properties>
</file>