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实习支持与奖励办事指南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color w:val="auto"/>
          <w:highlight w:val="none"/>
          <w:lang w:val="en-US" w:eastAsia="zh-CN"/>
        </w:rPr>
      </w:pPr>
      <w:bookmarkStart w:id="1" w:name="_Toc24514"/>
      <w:bookmarkStart w:id="2" w:name="_Toc18374"/>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实习奖励（“百企千人”实习计划）</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港澳青年学生应通过香港中学文凭考试、澳门升读大学入学考试后一年内或高校在读，且经南沙区青联与实习就业基地共同评为“优秀实习生”。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rPr>
        <w:t>参加港澳青年学生南沙“百企千人”实习计划且符合条件的港澳青年学生。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每人给予一次性</w:t>
      </w:r>
      <w:r>
        <w:rPr>
          <w:rFonts w:hint="default" w:ascii="Times New Roman" w:hAnsi="Times New Roman" w:eastAsia="仿宋_GB2312" w:cs="Times New Roman"/>
          <w:b w:val="0"/>
          <w:bCs w:val="0"/>
          <w:color w:val="auto"/>
          <w:sz w:val="32"/>
          <w:szCs w:val="32"/>
          <w:highlight w:val="none"/>
        </w:rPr>
        <w:t>3000</w:t>
      </w:r>
      <w:r>
        <w:rPr>
          <w:rFonts w:hint="eastAsia" w:ascii="仿宋_GB2312" w:hAnsi="仿宋_GB2312" w:eastAsia="仿宋_GB2312" w:cs="仿宋_GB2312"/>
          <w:b w:val="0"/>
          <w:bCs w:val="0"/>
          <w:color w:val="auto"/>
          <w:sz w:val="32"/>
          <w:szCs w:val="32"/>
          <w:highlight w:val="none"/>
        </w:rPr>
        <w:t>元奖励。</w:t>
      </w:r>
    </w:p>
    <w:p>
      <w:pPr>
        <w:pStyle w:val="12"/>
        <w:ind w:left="0" w:leftChars="0" w:firstLine="643" w:firstLineChars="200"/>
        <w:rPr>
          <w:rFonts w:hint="default"/>
          <w:lang w:val="en-US" w:eastAsia="zh-CN"/>
        </w:rPr>
      </w:pPr>
      <w:r>
        <w:rPr>
          <w:rFonts w:hint="eastAsia" w:ascii="仿宋_GB2312" w:hAnsi="仿宋_GB2312" w:cs="仿宋_GB2312"/>
          <w:b/>
          <w:bCs/>
          <w:color w:val="auto"/>
          <w:highlight w:val="none"/>
          <w:lang w:val="en-US" w:eastAsia="zh-CN"/>
        </w:rPr>
        <w:t>奖补期限：</w:t>
      </w:r>
      <w:r>
        <w:rPr>
          <w:rFonts w:hint="default"/>
          <w:lang w:val="en-US" w:eastAsia="zh-CN"/>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0" w:leftChars="0"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2"/>
        <w:numPr>
          <w:ilvl w:val="0"/>
          <w:numId w:val="0"/>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有效的港澳居民身份证件：</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①由香港特别行政区政府签发的香港居民身份证（香港居民适用）；</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②由澳门特别行政区政府签发的澳门居民身份证（澳门居民适用）；</w:t>
      </w:r>
    </w:p>
    <w:p>
      <w:pPr>
        <w:pStyle w:val="12"/>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由内地公安机关签发的港澳通行证（港澳永居可提供港澳居民来往内地通行证、非永居可提供内地公安机关签发的内地居民往来港澳地区通行证</w:t>
      </w:r>
      <w:r>
        <w:rPr>
          <w:rFonts w:hint="eastAsia" w:ascii="仿宋_GB2312" w:hAnsi="仿宋_GB2312" w:cs="仿宋_GB2312"/>
          <w:color w:val="auto"/>
          <w:sz w:val="32"/>
          <w:szCs w:val="32"/>
          <w:highlight w:val="none"/>
          <w:lang w:val="en-US" w:eastAsia="zh-CN"/>
        </w:rPr>
        <w:t>及</w:t>
      </w:r>
      <w:r>
        <w:rPr>
          <w:rFonts w:hint="eastAsia"/>
          <w:color w:val="auto"/>
          <w:highlight w:val="none"/>
          <w:lang w:val="en-US" w:eastAsia="zh-CN"/>
        </w:rPr>
        <w:t>内地居民身份证）</w:t>
      </w:r>
      <w:r>
        <w:rPr>
          <w:rFonts w:hint="eastAsia" w:ascii="仿宋_GB2312" w:hAnsi="仿宋_GB2312" w:cs="仿宋_GB2312"/>
          <w:color w:val="auto"/>
          <w:sz w:val="32"/>
          <w:szCs w:val="32"/>
          <w:highlight w:val="none"/>
          <w:lang w:val="en-US" w:eastAsia="zh-CN"/>
        </w:rPr>
        <w:t>；</w:t>
      </w:r>
    </w:p>
    <w:p>
      <w:pPr>
        <w:pStyle w:val="12"/>
        <w:numPr>
          <w:ilvl w:val="0"/>
          <w:numId w:val="0"/>
        </w:numPr>
        <w:ind w:left="630" w:leftChars="0" w:firstLine="0" w:firstLineChars="0"/>
        <w:outlineLvl w:val="3"/>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w:t>
      </w:r>
      <w:r>
        <w:rPr>
          <w:rFonts w:hint="eastAsia" w:ascii="仿宋_GB2312" w:hAnsi="仿宋_GB2312" w:cs="仿宋_GB2312"/>
          <w:strike w:val="0"/>
          <w:color w:val="auto"/>
          <w:sz w:val="32"/>
          <w:szCs w:val="32"/>
          <w:highlight w:val="none"/>
          <w:lang w:val="en-US" w:eastAsia="zh-CN"/>
        </w:rPr>
        <w:t>学校开具的</w:t>
      </w:r>
      <w:r>
        <w:rPr>
          <w:rFonts w:hint="eastAsia" w:ascii="仿宋_GB2312" w:hAnsi="仿宋_GB2312" w:eastAsia="仿宋_GB2312" w:cs="仿宋_GB2312"/>
          <w:color w:val="auto"/>
          <w:sz w:val="32"/>
          <w:szCs w:val="32"/>
          <w:highlight w:val="none"/>
          <w:lang w:eastAsia="zh-CN"/>
        </w:rPr>
        <w:t>高校在读</w:t>
      </w:r>
      <w:r>
        <w:rPr>
          <w:rFonts w:hint="eastAsia" w:ascii="仿宋_GB2312" w:hAnsi="仿宋_GB2312" w:cs="仿宋_GB2312"/>
          <w:color w:val="auto"/>
          <w:sz w:val="32"/>
          <w:szCs w:val="32"/>
          <w:highlight w:val="none"/>
          <w:lang w:val="en-US" w:eastAsia="zh-CN"/>
        </w:rPr>
        <w:t>证明或学信网出具的《教育部学籍在线验证报告》（须体现实习期间在读或升读）</w:t>
      </w:r>
    </w:p>
    <w:p>
      <w:pPr>
        <w:pStyle w:val="12"/>
        <w:numPr>
          <w:ilvl w:val="0"/>
          <w:numId w:val="0"/>
        </w:numPr>
        <w:ind w:left="630" w:leftChars="0" w:firstLine="0" w:firstLineChars="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eastAsia="宋体"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“优秀实习生”</w:t>
      </w:r>
      <w:r>
        <w:rPr>
          <w:rFonts w:hint="eastAsia" w:ascii="仿宋_GB2312" w:hAnsi="仿宋_GB2312" w:cs="仿宋_GB2312"/>
          <w:color w:val="auto"/>
          <w:sz w:val="32"/>
          <w:szCs w:val="32"/>
          <w:highlight w:val="none"/>
          <w:lang w:val="en-US" w:eastAsia="zh-CN"/>
        </w:rPr>
        <w:t>相关证明</w:t>
      </w:r>
      <w:r>
        <w:rPr>
          <w:rFonts w:hint="eastAsia" w:ascii="仿宋_GB2312" w:hAnsi="仿宋_GB2312" w:cs="仿宋_GB2312"/>
          <w:color w:val="auto"/>
          <w:sz w:val="32"/>
          <w:szCs w:val="32"/>
          <w:highlight w:val="none"/>
          <w:lang w:eastAsia="zh-CN"/>
        </w:rPr>
        <w:t>；</w:t>
      </w:r>
    </w:p>
    <w:p>
      <w:pPr>
        <w:pStyle w:val="12"/>
        <w:numPr>
          <w:ilvl w:val="0"/>
          <w:numId w:val="0"/>
        </w:numPr>
        <w:ind w:left="0" w:leftChars="0" w:firstLine="640" w:firstLineChars="200"/>
        <w:jc w:val="both"/>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default" w:ascii="Times New Roman" w:hAnsi="Times New Roman" w:eastAsia="宋体" w:cs="Times New Roman"/>
          <w:color w:val="auto"/>
          <w:sz w:val="32"/>
          <w:szCs w:val="32"/>
          <w:highlight w:val="none"/>
          <w:lang w:val="en-US" w:eastAsia="zh-CN"/>
        </w:rPr>
        <w:t>6</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w:t>
      </w:r>
      <w:r>
        <w:rPr>
          <w:rFonts w:hint="eastAsia" w:ascii="仿宋_GB2312" w:hAnsi="仿宋_GB2312" w:eastAsia="仿宋_GB2312" w:cs="仿宋_GB2312"/>
          <w:color w:val="auto"/>
          <w:sz w:val="32"/>
          <w:szCs w:val="32"/>
          <w:highlight w:val="none"/>
          <w:lang w:val="en-US" w:eastAsia="zh-CN"/>
        </w:rPr>
        <w:t>正反面</w:t>
      </w:r>
      <w:r>
        <w:rPr>
          <w:rFonts w:hint="eastAsia" w:ascii="仿宋_GB2312" w:hAnsi="仿宋_GB2312" w:eastAsia="仿宋_GB2312" w:cs="仿宋_GB2312"/>
          <w:color w:val="auto"/>
          <w:sz w:val="32"/>
          <w:szCs w:val="32"/>
          <w:highlight w:val="none"/>
        </w:rPr>
        <w:t>复印件（</w:t>
      </w:r>
      <w:r>
        <w:rPr>
          <w:rFonts w:hint="eastAsia" w:ascii="仿宋_GB2312" w:hAnsi="仿宋_GB2312" w:eastAsia="仿宋_GB2312" w:cs="仿宋_GB2312"/>
          <w:color w:val="auto"/>
          <w:sz w:val="32"/>
          <w:szCs w:val="32"/>
          <w:highlight w:val="none"/>
          <w:lang w:val="en-US" w:eastAsia="zh-CN"/>
        </w:rPr>
        <w:t>银行卡信息须在系统填写正确</w:t>
      </w:r>
      <w:r>
        <w:rPr>
          <w:rFonts w:hint="eastAsia" w:ascii="仿宋_GB2312" w:hAnsi="仿宋_GB2312" w:eastAsia="仿宋_GB2312" w:cs="仿宋_GB2312"/>
          <w:color w:val="auto"/>
          <w:sz w:val="32"/>
          <w:szCs w:val="32"/>
          <w:highlight w:val="none"/>
        </w:rPr>
        <w:t>，提交</w:t>
      </w:r>
      <w:r>
        <w:rPr>
          <w:rFonts w:hint="eastAsia" w:ascii="仿宋_GB2312" w:hAnsi="仿宋_GB2312" w:eastAsia="仿宋_GB2312" w:cs="仿宋_GB2312"/>
          <w:color w:val="auto"/>
          <w:sz w:val="32"/>
          <w:szCs w:val="32"/>
          <w:highlight w:val="none"/>
          <w:lang w:val="en-US" w:eastAsia="zh-CN"/>
        </w:rPr>
        <w:t>与系统对应的银行卡</w:t>
      </w:r>
      <w:r>
        <w:rPr>
          <w:rFonts w:hint="eastAsia" w:ascii="仿宋_GB2312" w:hAnsi="仿宋_GB2312" w:eastAsia="仿宋_GB2312" w:cs="仿宋_GB2312"/>
          <w:color w:val="auto"/>
          <w:sz w:val="32"/>
          <w:szCs w:val="32"/>
          <w:highlight w:val="none"/>
        </w:rPr>
        <w:t>清晰扫描版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提供非本人银行卡的需补充委托人与被委托人双方签名的情况说明书</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pStyle w:val="12"/>
        <w:numPr>
          <w:ilvl w:val="0"/>
          <w:numId w:val="0"/>
        </w:numPr>
        <w:ind w:left="630" w:leftChars="0" w:firstLine="0" w:firstLineChars="0"/>
        <w:outlineLvl w:val="3"/>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w:t>
      </w:r>
      <w:r>
        <w:rPr>
          <w:rFonts w:hint="default" w:ascii="Times New Roman" w:hAnsi="Times New Roman" w:eastAsia="宋体" w:cs="Times New Roman"/>
          <w:color w:val="auto"/>
          <w:kern w:val="2"/>
          <w:sz w:val="32"/>
          <w:szCs w:val="32"/>
          <w:highlight w:val="none"/>
          <w:lang w:val="en-US" w:eastAsia="zh-CN" w:bidi="ar-SA"/>
        </w:rPr>
        <w:t>7</w:t>
      </w:r>
      <w:r>
        <w:rPr>
          <w:rFonts w:hint="eastAsia" w:ascii="仿宋_GB2312" w:hAnsi="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签署日期须在当期申报期内</w:t>
      </w:r>
      <w:r>
        <w:rPr>
          <w:rFonts w:hint="eastAsia" w:ascii="仿宋_GB2312" w:hAnsi="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附件2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kern w:val="2"/>
          <w:sz w:val="32"/>
          <w:szCs w:val="32"/>
          <w:highlight w:val="none"/>
          <w:lang w:val="en-US" w:eastAsia="zh-CN" w:bidi="ar-SA"/>
        </w:rPr>
        <w:t>。</w:t>
      </w:r>
    </w:p>
    <w:p>
      <w:pPr>
        <w:ind w:firstLine="640" w:firstLineChars="200"/>
        <w:rPr>
          <w:rFonts w:hint="eastAsia"/>
        </w:rPr>
      </w:pPr>
      <w:r>
        <w:rPr>
          <w:rFonts w:hint="eastAsia" w:ascii="仿宋_GB2312" w:hAnsi="仿宋_GB2312" w:eastAsia="仿宋_GB2312" w:cs="仿宋_GB2312"/>
          <w:b w:val="0"/>
          <w:bCs w:val="0"/>
          <w:color w:val="auto"/>
          <w:kern w:val="2"/>
          <w:sz w:val="32"/>
          <w:szCs w:val="32"/>
          <w:highlight w:val="none"/>
          <w:lang w:val="en-US" w:eastAsia="zh-CN"/>
        </w:rPr>
        <w:t>备注：若提交英文或其它外文文本材料(护照或国际旅行证件除外)，应同时提供具备资质的翻译机构的中文简体翻译件（在文本中注明：“翻译件与原件内容一致”并加盖公章）。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二）实习就业基地奖励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3"/>
        <w:spacing w:line="560" w:lineRule="exact"/>
        <w:ind w:firstLine="640"/>
        <w:outlineLvl w:val="3"/>
        <w:rPr>
          <w:rFonts w:hint="eastAsia" w:eastAsia="仿宋_GB2312" w:cs="Times New Roman"/>
          <w:color w:val="auto"/>
          <w:highlight w:val="none"/>
          <w:lang w:eastAsia="zh-CN"/>
        </w:rPr>
      </w:pPr>
      <w:r>
        <w:rPr>
          <w:rFonts w:hint="eastAsia" w:cs="Times New Roman"/>
          <w:color w:val="auto"/>
          <w:kern w:val="0"/>
          <w:szCs w:val="32"/>
          <w:highlight w:val="none"/>
          <w:lang w:eastAsia="zh-CN"/>
        </w:rPr>
        <w:t>（</w:t>
      </w:r>
      <w:r>
        <w:rPr>
          <w:rFonts w:hint="default" w:ascii="Times New Roman" w:hAnsi="Times New Roman" w:cs="Times New Roman"/>
          <w:color w:val="auto"/>
          <w:kern w:val="0"/>
          <w:szCs w:val="32"/>
          <w:highlight w:val="none"/>
          <w:lang w:val="en-US" w:eastAsia="zh-CN"/>
        </w:rPr>
        <w:t>1</w:t>
      </w:r>
      <w:r>
        <w:rPr>
          <w:rFonts w:hint="eastAsia" w:cs="Times New Roman"/>
          <w:color w:val="auto"/>
          <w:kern w:val="0"/>
          <w:szCs w:val="32"/>
          <w:highlight w:val="none"/>
          <w:lang w:eastAsia="zh-CN"/>
        </w:rPr>
        <w:t>）</w:t>
      </w:r>
      <w:r>
        <w:rPr>
          <w:rFonts w:cs="Times New Roman"/>
          <w:color w:val="auto"/>
          <w:kern w:val="0"/>
          <w:szCs w:val="32"/>
          <w:highlight w:val="none"/>
        </w:rPr>
        <w:t>实习就业基地应常态化接收参加政府部门短期实习实践项目的港澳青年</w:t>
      </w:r>
      <w:r>
        <w:rPr>
          <w:rFonts w:hint="default" w:cs="Times New Roman"/>
          <w:color w:val="auto"/>
          <w:kern w:val="0"/>
          <w:szCs w:val="32"/>
          <w:highlight w:val="none"/>
        </w:rPr>
        <w:t>学生</w:t>
      </w:r>
      <w:r>
        <w:rPr>
          <w:rFonts w:hint="eastAsia" w:cs="Times New Roman"/>
          <w:color w:val="auto"/>
          <w:kern w:val="0"/>
          <w:szCs w:val="32"/>
          <w:highlight w:val="none"/>
          <w:lang w:eastAsia="zh-CN"/>
        </w:rPr>
        <w:t>；</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eastAsia"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val="en-US" w:eastAsia="zh-CN"/>
        </w:rPr>
        <w:t>2</w:t>
      </w:r>
      <w:r>
        <w:rPr>
          <w:rFonts w:hint="eastAsia"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实习就业基地接收的港澳青年学生应完整完成实习实践项目，且实习期限为4至12周。</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在南沙区的</w:t>
      </w:r>
      <w:r>
        <w:rPr>
          <w:rFonts w:hint="eastAsia" w:ascii="仿宋_GB2312" w:hAnsi="仿宋_GB2312" w:eastAsia="仿宋_GB2312" w:cs="仿宋_GB2312"/>
          <w:color w:val="auto"/>
          <w:kern w:val="2"/>
          <w:sz w:val="32"/>
          <w:szCs w:val="32"/>
          <w:highlight w:val="none"/>
          <w:lang w:val="en-US" w:eastAsia="zh-CN" w:bidi="ar-SA"/>
        </w:rPr>
        <w:t>实习就业基地。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w:t>
      </w:r>
      <w:r>
        <w:rPr>
          <w:rFonts w:hint="default" w:ascii="Times New Roman" w:hAnsi="Times New Roman" w:eastAsia="仿宋_GB2312" w:cs="Times New Roman"/>
          <w:color w:val="auto"/>
          <w:kern w:val="0"/>
          <w:sz w:val="32"/>
          <w:szCs w:val="32"/>
          <w:highlight w:val="none"/>
        </w:rPr>
        <w:t>每接收一名港澳青年学生给予2000元</w:t>
      </w:r>
      <w:r>
        <w:rPr>
          <w:rFonts w:hint="default" w:ascii="Times New Roman" w:hAnsi="Times New Roman" w:eastAsia="仿宋_GB2312" w:cs="Times New Roman"/>
          <w:color w:val="auto"/>
          <w:kern w:val="0"/>
          <w:sz w:val="32"/>
          <w:szCs w:val="32"/>
          <w:highlight w:val="none"/>
          <w:lang w:val="en-US" w:eastAsia="zh-CN"/>
        </w:rPr>
        <w:t>奖励</w:t>
      </w:r>
      <w:r>
        <w:rPr>
          <w:rFonts w:hint="default" w:ascii="Times New Roman" w:hAnsi="Times New Roman" w:eastAsia="仿宋_GB2312" w:cs="Times New Roman"/>
          <w:color w:val="auto"/>
          <w:kern w:val="0"/>
          <w:sz w:val="32"/>
          <w:szCs w:val="32"/>
          <w:highlight w:val="none"/>
        </w:rPr>
        <w:t>，针对同一港澳青年，申报单位仅可申请一次</w:t>
      </w:r>
      <w:r>
        <w:rPr>
          <w:rFonts w:hint="default"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lang w:val="en-US" w:eastAsia="zh-CN"/>
        </w:rPr>
        <w:t>其他申报单位不得重复申请</w:t>
      </w:r>
      <w:r>
        <w:rPr>
          <w:rFonts w:hint="eastAsia" w:ascii="仿宋_GB2312" w:hAnsi="仿宋_GB2312" w:eastAsia="仿宋_GB2312" w:cs="仿宋_GB2312"/>
          <w:color w:val="auto"/>
          <w:sz w:val="32"/>
          <w:szCs w:val="32"/>
          <w:highlight w:val="none"/>
        </w:rPr>
        <w:t>。</w:t>
      </w:r>
    </w:p>
    <w:p>
      <w:pPr>
        <w:pStyle w:val="12"/>
        <w:ind w:left="0" w:leftChars="0" w:firstLine="643" w:firstLineChars="200"/>
        <w:rPr>
          <w:rFonts w:hint="eastAsia"/>
        </w:rPr>
      </w:pPr>
      <w:r>
        <w:rPr>
          <w:rFonts w:hint="eastAsia" w:ascii="仿宋_GB2312" w:hAnsi="仿宋_GB2312" w:cs="仿宋_GB2312"/>
          <w:b/>
          <w:bCs/>
          <w:color w:val="auto"/>
          <w:highlight w:val="none"/>
        </w:rPr>
        <w:t>奖补期限：</w:t>
      </w:r>
      <w:r>
        <w:rPr>
          <w:rFonts w:hint="eastAsia"/>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2）实习就业基地</w:t>
      </w:r>
      <w:r>
        <w:rPr>
          <w:rFonts w:hint="default" w:cs="Times New Roman"/>
          <w:color w:val="auto"/>
          <w:kern w:val="0"/>
          <w:szCs w:val="32"/>
          <w:highlight w:val="none"/>
        </w:rPr>
        <w:t>接收的港澳青年学生</w:t>
      </w:r>
      <w:r>
        <w:rPr>
          <w:rFonts w:hint="eastAsia" w:ascii="仿宋_GB2312" w:hAnsi="仿宋_GB2312" w:cs="仿宋_GB2312"/>
          <w:color w:val="auto"/>
          <w:sz w:val="32"/>
          <w:szCs w:val="32"/>
          <w:highlight w:val="none"/>
          <w:lang w:val="en-US" w:eastAsia="zh-CN"/>
        </w:rPr>
        <w:t>完成实习实践项目名单及相关时间证明；</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银行</w:t>
      </w:r>
      <w:r>
        <w:rPr>
          <w:rFonts w:hint="eastAsia" w:ascii="仿宋_GB2312" w:hAnsi="仿宋_GB2312" w:eastAsia="仿宋_GB2312" w:cs="仿宋_GB2312"/>
          <w:color w:val="auto"/>
          <w:sz w:val="32"/>
          <w:szCs w:val="32"/>
          <w:highlight w:val="none"/>
        </w:rPr>
        <w:t>开户许可证或基本存款账户信息（加盖企业公章扫描版）</w:t>
      </w:r>
      <w:r>
        <w:rPr>
          <w:rFonts w:hint="eastAsia" w:ascii="仿宋_GB2312" w:hAnsi="仿宋_GB2312" w:cs="仿宋_GB2312"/>
          <w:color w:val="auto"/>
          <w:sz w:val="32"/>
          <w:szCs w:val="32"/>
          <w:highlight w:val="none"/>
          <w:lang w:eastAsia="zh-CN"/>
        </w:rPr>
        <w:t>；</w:t>
      </w:r>
    </w:p>
    <w:p>
      <w:pPr>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申报材料真实性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单位</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eastAsia="zh-CN"/>
        </w:rPr>
        <w:t>）。</w:t>
      </w:r>
    </w:p>
    <w:p>
      <w:pPr>
        <w:ind w:firstLine="640" w:firstLineChars="200"/>
        <w:rPr>
          <w:rFonts w:hint="default"/>
          <w:lang w:val="en-US" w:eastAsia="zh-CN"/>
        </w:rPr>
      </w:pPr>
      <w:r>
        <w:rPr>
          <w:rFonts w:hint="eastAsia" w:ascii="仿宋_GB2312" w:hAnsi="仿宋_GB2312" w:eastAsia="仿宋_GB2312" w:cs="仿宋_GB2312"/>
          <w:b w:val="0"/>
          <w:bCs w:val="0"/>
          <w:color w:val="auto"/>
          <w:kern w:val="2"/>
          <w:sz w:val="32"/>
          <w:szCs w:val="32"/>
          <w:highlight w:val="none"/>
          <w:lang w:val="en-US" w:eastAsia="zh-CN"/>
        </w:rPr>
        <w:t>备注：若提交英文或其它外文文本材料(护照或国际旅行证件除外)，应同时提供具备资质的翻译机构的中文简体翻译件（在文本中注明：“翻译件与原件内容一致”并加盖公章）。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val="en-US" w:eastAsia="zh-CN"/>
        </w:rPr>
        <w:t>（三）实习补贴（“职场菁英”就业见习计划）</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港澳青年以高校应届毕业生参加港澳应届毕业生“职场菁英”就业见习计划，并与实习就业基地签订</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至</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个月期限的实习</w:t>
      </w:r>
      <w:r>
        <w:rPr>
          <w:rFonts w:hint="eastAsia" w:ascii="仿宋_GB2312" w:hAnsi="仿宋_GB2312" w:eastAsia="仿宋_GB2312" w:cs="仿宋_GB2312"/>
          <w:color w:val="auto"/>
          <w:sz w:val="32"/>
          <w:szCs w:val="32"/>
          <w:highlight w:val="none"/>
          <w:u w:val="none"/>
        </w:rPr>
        <w:t>或见习</w:t>
      </w:r>
      <w:r>
        <w:rPr>
          <w:rFonts w:hint="eastAsia" w:ascii="仿宋_GB2312" w:hAnsi="仿宋_GB2312" w:eastAsia="仿宋_GB2312" w:cs="仿宋_GB2312"/>
          <w:color w:val="auto"/>
          <w:sz w:val="32"/>
          <w:szCs w:val="32"/>
          <w:highlight w:val="none"/>
        </w:rPr>
        <w:t>协议；每名</w:t>
      </w:r>
      <w:r>
        <w:rPr>
          <w:rFonts w:hint="eastAsia" w:ascii="仿宋_GB2312" w:hAnsi="仿宋_GB2312" w:eastAsia="仿宋_GB2312" w:cs="仿宋_GB2312"/>
          <w:color w:val="auto"/>
          <w:sz w:val="32"/>
          <w:szCs w:val="32"/>
          <w:highlight w:val="none"/>
          <w:lang w:val="en-US" w:eastAsia="zh-CN"/>
        </w:rPr>
        <w:t>港澳青年</w:t>
      </w:r>
      <w:r>
        <w:rPr>
          <w:rFonts w:hint="eastAsia" w:ascii="仿宋_GB2312" w:hAnsi="仿宋_GB2312" w:eastAsia="仿宋_GB2312" w:cs="仿宋_GB2312"/>
          <w:color w:val="auto"/>
          <w:sz w:val="32"/>
          <w:szCs w:val="32"/>
          <w:highlight w:val="none"/>
        </w:rPr>
        <w:t>仅可申请一次。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rPr>
        <w:t>在</w:t>
      </w:r>
      <w:r>
        <w:rPr>
          <w:rFonts w:hint="eastAsia" w:ascii="仿宋_GB2312" w:hAnsi="仿宋_GB2312" w:eastAsia="仿宋_GB2312" w:cs="仿宋_GB2312"/>
          <w:color w:val="auto"/>
          <w:sz w:val="32"/>
          <w:szCs w:val="32"/>
          <w:highlight w:val="none"/>
        </w:rPr>
        <w:t>南沙区参加港澳应届毕业生“职场菁英”就业见习计划的</w:t>
      </w:r>
      <w:r>
        <w:rPr>
          <w:rFonts w:hint="eastAsia" w:ascii="仿宋_GB2312" w:hAnsi="仿宋_GB2312" w:eastAsia="仿宋_GB2312" w:cs="仿宋_GB2312"/>
          <w:color w:val="auto"/>
          <w:kern w:val="0"/>
          <w:sz w:val="32"/>
          <w:szCs w:val="32"/>
          <w:highlight w:val="none"/>
        </w:rPr>
        <w:t>港澳青年。</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每人每月补贴4000元。</w:t>
      </w:r>
    </w:p>
    <w:p>
      <w:pPr>
        <w:pStyle w:val="12"/>
        <w:ind w:left="0" w:leftChars="0" w:firstLine="643" w:firstLineChars="200"/>
        <w:rPr>
          <w:rFonts w:hint="default"/>
        </w:rPr>
      </w:pPr>
      <w:r>
        <w:rPr>
          <w:rFonts w:hint="default" w:cs="Times New Roman"/>
          <w:b/>
          <w:bCs/>
          <w:kern w:val="0"/>
          <w:szCs w:val="32"/>
        </w:rPr>
        <w:t>奖补期限</w:t>
      </w:r>
      <w:r>
        <w:rPr>
          <w:rFonts w:cs="Times New Roman"/>
          <w:b/>
          <w:bCs/>
          <w:kern w:val="0"/>
          <w:szCs w:val="32"/>
        </w:rPr>
        <w:t>：</w:t>
      </w:r>
      <w:r>
        <w:rPr>
          <w:rFonts w:cs="Times New Roman"/>
          <w:kern w:val="0"/>
          <w:szCs w:val="32"/>
        </w:rPr>
        <w:t>最长不超过</w:t>
      </w:r>
      <w:r>
        <w:rPr>
          <w:rFonts w:ascii="Times New Roman" w:hAnsi="Times New Roman" w:cs="Times New Roman"/>
          <w:kern w:val="0"/>
          <w:szCs w:val="32"/>
        </w:rPr>
        <w:t>6</w:t>
      </w:r>
      <w:r>
        <w:rPr>
          <w:rFonts w:cs="Times New Roman"/>
          <w:kern w:val="0"/>
          <w:szCs w:val="32"/>
        </w:rPr>
        <w:t>个月</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2"/>
        <w:numPr>
          <w:ilvl w:val="0"/>
          <w:numId w:val="1"/>
        </w:numPr>
        <w:ind w:left="0" w:leftChars="0" w:firstLine="640" w:firstLineChars="200"/>
        <w:outlineLvl w:val="3"/>
        <w:rPr>
          <w:rFonts w:hint="eastAsia"/>
          <w:color w:val="auto"/>
          <w:highlight w:val="none"/>
          <w:lang w:val="en-US" w:eastAsia="zh-CN"/>
        </w:rPr>
      </w:pPr>
      <w:r>
        <w:rPr>
          <w:rFonts w:hint="eastAsia"/>
          <w:color w:val="auto"/>
          <w:highlight w:val="none"/>
          <w:lang w:val="en-US" w:eastAsia="zh-CN"/>
        </w:rPr>
        <w:t>符合条件人员的基本身份证明：</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①由香港特别行政区政府签发的香港居民身份证（香港居民适用）；</w:t>
      </w:r>
    </w:p>
    <w:p>
      <w:pPr>
        <w:pStyle w:val="12"/>
        <w:numPr>
          <w:ilvl w:val="0"/>
          <w:numId w:val="0"/>
        </w:numPr>
        <w:ind w:left="0" w:leftChars="0" w:firstLine="640" w:firstLineChars="200"/>
        <w:outlineLvl w:val="3"/>
        <w:rPr>
          <w:rFonts w:hint="default" w:ascii="Times New Roman" w:hAnsi="Times New Roman" w:eastAsia="仿宋_GB2312" w:cs="Times New Roman"/>
          <w:b w:val="0"/>
          <w:bCs w:val="0"/>
          <w:color w:val="auto"/>
          <w:kern w:val="2"/>
          <w:sz w:val="32"/>
          <w:szCs w:val="24"/>
          <w:highlight w:val="none"/>
          <w:u w:val="none" w:color="auto"/>
          <w:lang w:val="en-US" w:eastAsia="zh-CN" w:bidi="ar-SA"/>
        </w:rPr>
      </w:pPr>
      <w:r>
        <w:rPr>
          <w:rFonts w:hint="default" w:ascii="Times New Roman" w:hAnsi="Times New Roman" w:eastAsia="仿宋_GB2312" w:cs="Times New Roman"/>
          <w:b w:val="0"/>
          <w:bCs w:val="0"/>
          <w:color w:val="auto"/>
          <w:kern w:val="2"/>
          <w:sz w:val="32"/>
          <w:szCs w:val="24"/>
          <w:highlight w:val="none"/>
          <w:u w:val="none" w:color="auto"/>
          <w:lang w:val="en-US" w:eastAsia="zh-CN" w:bidi="ar-SA"/>
        </w:rPr>
        <w:t>②由澳门特别行政区政府签发的澳门居民身份证（澳门居民适用）；</w:t>
      </w:r>
    </w:p>
    <w:p>
      <w:pPr>
        <w:pStyle w:val="12"/>
        <w:numPr>
          <w:ilvl w:val="0"/>
          <w:numId w:val="0"/>
        </w:numPr>
        <w:ind w:left="0" w:leftChars="0" w:firstLine="640" w:firstLineChars="200"/>
        <w:outlineLvl w:val="3"/>
        <w:rPr>
          <w:rFonts w:hint="eastAsia" w:cs="Times New Roman"/>
          <w:b w:val="0"/>
          <w:bCs w:val="0"/>
          <w:color w:val="auto"/>
          <w:kern w:val="2"/>
          <w:sz w:val="32"/>
          <w:szCs w:val="24"/>
          <w:highlight w:val="none"/>
          <w:u w:val="none" w:color="auto"/>
          <w:lang w:val="en-US" w:eastAsia="zh-CN" w:bidi="ar-SA"/>
        </w:rPr>
      </w:pPr>
      <w:r>
        <w:rPr>
          <w:rFonts w:hint="eastAsia" w:cs="Times New Roman"/>
          <w:b w:val="0"/>
          <w:bCs w:val="0"/>
          <w:color w:val="auto"/>
          <w:kern w:val="2"/>
          <w:sz w:val="32"/>
          <w:szCs w:val="24"/>
          <w:highlight w:val="none"/>
          <w:u w:val="none" w:color="auto"/>
          <w:lang w:val="en-US" w:eastAsia="zh-CN" w:bidi="ar-SA"/>
        </w:rPr>
        <w:t>③</w:t>
      </w:r>
      <w:r>
        <w:rPr>
          <w:rFonts w:hint="default" w:ascii="Times New Roman" w:hAnsi="Times New Roman" w:eastAsia="仿宋_GB2312" w:cs="Times New Roman"/>
          <w:b w:val="0"/>
          <w:bCs w:val="0"/>
          <w:color w:val="auto"/>
          <w:kern w:val="2"/>
          <w:sz w:val="32"/>
          <w:szCs w:val="24"/>
          <w:highlight w:val="none"/>
          <w:u w:val="none" w:color="auto"/>
          <w:lang w:val="en-US" w:eastAsia="zh-CN" w:bidi="ar-SA"/>
        </w:rPr>
        <w:t>由内地公安机关签发的港澳通行证（港澳永居可提供港澳居民来往内地通行证、</w:t>
      </w:r>
      <w:r>
        <w:rPr>
          <w:rFonts w:hint="eastAsia" w:ascii="仿宋_GB2312" w:hAnsi="仿宋_GB2312" w:eastAsia="仿宋_GB2312" w:cs="仿宋_GB2312"/>
          <w:color w:val="auto"/>
          <w:sz w:val="32"/>
          <w:szCs w:val="32"/>
          <w:highlight w:val="none"/>
          <w:lang w:val="en-US" w:eastAsia="zh-CN"/>
        </w:rPr>
        <w:t>非永居可提供内地公安机关签发的内地居民往来港澳地区通行证</w:t>
      </w:r>
      <w:r>
        <w:rPr>
          <w:rFonts w:hint="eastAsia" w:ascii="仿宋_GB2312" w:hAnsi="仿宋_GB2312" w:cs="仿宋_GB2312"/>
          <w:color w:val="auto"/>
          <w:sz w:val="32"/>
          <w:szCs w:val="32"/>
          <w:highlight w:val="none"/>
          <w:lang w:val="en-US" w:eastAsia="zh-CN"/>
        </w:rPr>
        <w:t>及</w:t>
      </w:r>
      <w:r>
        <w:rPr>
          <w:rFonts w:hint="eastAsia"/>
          <w:color w:val="auto"/>
          <w:highlight w:val="none"/>
          <w:lang w:val="en-US" w:eastAsia="zh-CN"/>
        </w:rPr>
        <w:t>内地居民身份证）</w:t>
      </w:r>
      <w:r>
        <w:rPr>
          <w:rFonts w:hint="eastAsia" w:cs="Times New Roman"/>
          <w:b w:val="0"/>
          <w:bCs w:val="0"/>
          <w:color w:val="auto"/>
          <w:kern w:val="2"/>
          <w:sz w:val="32"/>
          <w:szCs w:val="24"/>
          <w:highlight w:val="none"/>
          <w:u w:val="none" w:color="auto"/>
          <w:lang w:val="en-US" w:eastAsia="zh-CN" w:bidi="ar-SA"/>
        </w:rPr>
        <w:t>；</w:t>
      </w:r>
    </w:p>
    <w:p>
      <w:pPr>
        <w:pStyle w:val="12"/>
        <w:numPr>
          <w:ilvl w:val="0"/>
          <w:numId w:val="1"/>
        </w:numPr>
        <w:ind w:left="0" w:leftChars="0" w:firstLine="640" w:firstLineChars="200"/>
        <w:outlineLvl w:val="3"/>
        <w:rPr>
          <w:rFonts w:hint="eastAsia" w:ascii="仿宋_GB2312" w:hAnsi="仿宋_GB2312" w:cs="仿宋_GB2312"/>
          <w:color w:val="auto"/>
          <w:sz w:val="32"/>
          <w:szCs w:val="32"/>
          <w:highlight w:val="none"/>
          <w:lang w:val="en-US" w:eastAsia="zh-CN"/>
        </w:rPr>
      </w:pPr>
      <w:r>
        <w:rPr>
          <w:rFonts w:hint="eastAsia"/>
          <w:color w:val="auto"/>
          <w:highlight w:val="none"/>
          <w:lang w:val="en-US" w:eastAsia="zh-CN"/>
        </w:rPr>
        <w:t>实习或见习协议复印件</w:t>
      </w:r>
      <w:r>
        <w:rPr>
          <w:rFonts w:hint="eastAsia" w:ascii="仿宋_GB2312" w:hAnsi="仿宋_GB2312" w:cs="仿宋_GB2312"/>
          <w:color w:val="auto"/>
          <w:sz w:val="32"/>
          <w:szCs w:val="32"/>
          <w:highlight w:val="none"/>
          <w:lang w:val="en-US" w:eastAsia="zh-CN"/>
        </w:rPr>
        <w:t>；</w:t>
      </w:r>
    </w:p>
    <w:p>
      <w:pPr>
        <w:pStyle w:val="12"/>
        <w:numPr>
          <w:ilvl w:val="0"/>
          <w:numId w:val="0"/>
        </w:numPr>
        <w:adjustRightInd w:val="0"/>
        <w:snapToGrid w:val="0"/>
        <w:spacing w:line="580" w:lineRule="exact"/>
        <w:ind w:left="630" w:leftChars="0" w:firstLine="0" w:firstLineChars="0"/>
        <w:outlineLvl w:val="3"/>
        <w:rPr>
          <w:rFonts w:hint="default" w:ascii="Times New Roman" w:hAnsi="Times New Roman" w:eastAsia="仿宋_GB2312" w:cs="Times New Roman"/>
          <w:color w:val="auto"/>
          <w:sz w:val="32"/>
          <w:szCs w:val="32"/>
          <w:highlight w:val="none"/>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毕业证书</w:t>
      </w:r>
      <w:r>
        <w:rPr>
          <w:rFonts w:hint="default" w:ascii="Times New Roman" w:hAnsi="Times New Roman" w:cs="Times New Roman"/>
          <w:color w:val="auto"/>
          <w:sz w:val="32"/>
          <w:szCs w:val="32"/>
          <w:highlight w:val="none"/>
          <w:lang w:val="en-US" w:eastAsia="zh-CN"/>
        </w:rPr>
        <w:t>及学历学位查询结果或认证材料：</w:t>
      </w:r>
    </w:p>
    <w:p>
      <w:pPr>
        <w:pStyle w:val="12"/>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12"/>
        <w:numPr>
          <w:ilvl w:val="0"/>
          <w:numId w:val="0"/>
        </w:numPr>
        <w:adjustRightInd w:val="0"/>
        <w:snapToGrid w:val="0"/>
        <w:spacing w:line="580" w:lineRule="exact"/>
        <w:ind w:left="0" w:leftChars="0" w:firstLine="640" w:firstLineChars="200"/>
        <w:outlineLvl w:val="3"/>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②国（境）外学历学位的，须提供留学服务中心的出具的《国（境）外学历学位认证书》（国（境）外高校毕业人员提供）；</w:t>
      </w:r>
    </w:p>
    <w:p>
      <w:pPr>
        <w:pStyle w:val="12"/>
        <w:numPr>
          <w:ilvl w:val="0"/>
          <w:numId w:val="0"/>
        </w:numPr>
        <w:adjustRightInd w:val="0"/>
        <w:snapToGrid w:val="0"/>
        <w:spacing w:line="580" w:lineRule="exact"/>
        <w:ind w:firstLine="640" w:firstLineChars="200"/>
        <w:outlineLvl w:val="3"/>
        <w:rPr>
          <w:rFonts w:hint="eastAsia"/>
        </w:rPr>
      </w:pPr>
      <w:r>
        <w:rPr>
          <w:rFonts w:hint="default" w:ascii="Times New Roman" w:hAnsi="Times New Roman" w:cs="Times New Roman"/>
          <w:color w:val="auto"/>
          <w:sz w:val="32"/>
          <w:szCs w:val="32"/>
          <w:highlight w:val="none"/>
          <w:lang w:val="en-US" w:eastAsia="zh-CN"/>
        </w:rPr>
        <w:t>③无法提供认证书的，可提供毕业院校出具的相关学历学位证明，由青创专项小组对该情况进行确定；</w:t>
      </w:r>
    </w:p>
    <w:p>
      <w:pPr>
        <w:pStyle w:val="12"/>
        <w:numPr>
          <w:ilvl w:val="0"/>
          <w:numId w:val="0"/>
        </w:numPr>
        <w:ind w:firstLine="640" w:firstLineChars="20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实习就业基地</w:t>
      </w:r>
      <w:r>
        <w:rPr>
          <w:rFonts w:hint="eastAsia" w:cs="Times New Roman"/>
          <w:color w:val="auto"/>
          <w:kern w:val="0"/>
          <w:szCs w:val="32"/>
          <w:highlight w:val="none"/>
          <w:lang w:val="en-US" w:eastAsia="zh-CN"/>
        </w:rPr>
        <w:t>出具的</w:t>
      </w:r>
      <w:r>
        <w:rPr>
          <w:rFonts w:hint="default" w:cs="Times New Roman"/>
          <w:color w:val="auto"/>
          <w:kern w:val="0"/>
          <w:szCs w:val="32"/>
          <w:highlight w:val="none"/>
        </w:rPr>
        <w:t>港澳青年学生</w:t>
      </w:r>
      <w:r>
        <w:rPr>
          <w:rFonts w:hint="eastAsia" w:ascii="仿宋_GB2312" w:hAnsi="仿宋_GB2312" w:cs="仿宋_GB2312"/>
          <w:color w:val="auto"/>
          <w:sz w:val="32"/>
          <w:szCs w:val="32"/>
          <w:highlight w:val="none"/>
          <w:lang w:val="en-US" w:eastAsia="zh-CN"/>
        </w:rPr>
        <w:t>完成实习实践项目及相关时间证明</w:t>
      </w:r>
      <w:r>
        <w:rPr>
          <w:rFonts w:hint="eastAsia" w:ascii="仿宋_GB2312" w:hAnsi="仿宋_GB2312" w:cs="仿宋_GB2312"/>
          <w:color w:val="auto"/>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参加“职场菁英”就业见习的相关证明</w:t>
      </w:r>
      <w:r>
        <w:rPr>
          <w:rFonts w:hint="eastAsia" w:ascii="仿宋_GB2312" w:hAnsi="仿宋_GB2312" w:eastAsia="仿宋_GB2312" w:cs="仿宋_GB2312"/>
          <w:color w:val="auto"/>
          <w:sz w:val="32"/>
          <w:szCs w:val="32"/>
          <w:highlight w:val="none"/>
          <w:lang w:eastAsia="zh-CN"/>
        </w:rPr>
        <w:t>；</w:t>
      </w:r>
    </w:p>
    <w:p>
      <w:pPr>
        <w:pStyle w:val="12"/>
        <w:numPr>
          <w:ilvl w:val="0"/>
          <w:numId w:val="0"/>
        </w:numPr>
        <w:ind w:firstLine="640" w:firstLineChars="200"/>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7</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银行卡</w:t>
      </w:r>
      <w:r>
        <w:rPr>
          <w:rFonts w:hint="eastAsia" w:ascii="仿宋_GB2312" w:hAnsi="仿宋_GB2312" w:eastAsia="仿宋_GB2312" w:cs="仿宋_GB2312"/>
          <w:color w:val="auto"/>
          <w:sz w:val="32"/>
          <w:szCs w:val="32"/>
          <w:highlight w:val="none"/>
          <w:lang w:val="en-US" w:eastAsia="zh-CN"/>
        </w:rPr>
        <w:t>正反面</w:t>
      </w:r>
      <w:r>
        <w:rPr>
          <w:rFonts w:hint="eastAsia" w:ascii="仿宋_GB2312" w:hAnsi="仿宋_GB2312" w:eastAsia="仿宋_GB2312" w:cs="仿宋_GB2312"/>
          <w:color w:val="auto"/>
          <w:sz w:val="32"/>
          <w:szCs w:val="32"/>
          <w:highlight w:val="none"/>
        </w:rPr>
        <w:t>复印件（</w:t>
      </w:r>
      <w:r>
        <w:rPr>
          <w:rFonts w:hint="eastAsia" w:ascii="仿宋_GB2312" w:hAnsi="仿宋_GB2312" w:eastAsia="仿宋_GB2312" w:cs="仿宋_GB2312"/>
          <w:color w:val="auto"/>
          <w:sz w:val="32"/>
          <w:szCs w:val="32"/>
          <w:highlight w:val="none"/>
          <w:lang w:val="en-US" w:eastAsia="zh-CN"/>
        </w:rPr>
        <w:t>银行卡信息须在系统填写正确</w:t>
      </w:r>
      <w:r>
        <w:rPr>
          <w:rFonts w:hint="eastAsia" w:ascii="仿宋_GB2312" w:hAnsi="仿宋_GB2312" w:eastAsia="仿宋_GB2312" w:cs="仿宋_GB2312"/>
          <w:color w:val="auto"/>
          <w:sz w:val="32"/>
          <w:szCs w:val="32"/>
          <w:highlight w:val="none"/>
        </w:rPr>
        <w:t>，</w:t>
      </w:r>
      <w:bookmarkStart w:id="4" w:name="_GoBack"/>
      <w:r>
        <w:rPr>
          <w:rFonts w:hint="eastAsia" w:ascii="仿宋_GB2312" w:hAnsi="仿宋_GB2312" w:eastAsia="仿宋_GB2312" w:cs="仿宋_GB2312"/>
          <w:color w:val="auto"/>
          <w:sz w:val="32"/>
          <w:szCs w:val="32"/>
          <w:highlight w:val="none"/>
        </w:rPr>
        <w:t>提交</w:t>
      </w:r>
      <w:r>
        <w:rPr>
          <w:rFonts w:hint="eastAsia" w:ascii="仿宋_GB2312" w:hAnsi="仿宋_GB2312" w:eastAsia="仿宋_GB2312" w:cs="仿宋_GB2312"/>
          <w:color w:val="auto"/>
          <w:sz w:val="32"/>
          <w:szCs w:val="32"/>
          <w:highlight w:val="none"/>
          <w:lang w:val="en-US" w:eastAsia="zh-CN"/>
        </w:rPr>
        <w:t>与系统对应的银行卡</w:t>
      </w:r>
      <w:r>
        <w:rPr>
          <w:rFonts w:hint="eastAsia" w:ascii="仿宋_GB2312" w:hAnsi="仿宋_GB2312" w:eastAsia="仿宋_GB2312" w:cs="仿宋_GB2312"/>
          <w:color w:val="auto"/>
          <w:sz w:val="32"/>
          <w:szCs w:val="32"/>
          <w:highlight w:val="none"/>
        </w:rPr>
        <w:t>清晰扫描版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提供非本人银行卡的需补充委托人与被委托人双方签名的情况说明书</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bookmarkEnd w:id="4"/>
    </w:p>
    <w:p>
      <w:pPr>
        <w:pStyle w:val="12"/>
        <w:numPr>
          <w:ilvl w:val="0"/>
          <w:numId w:val="0"/>
        </w:numPr>
        <w:ind w:left="630" w:leftChars="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8</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SA"/>
        </w:rPr>
        <w:t>申报材料真实性承诺书（个人）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签署日期须在当期申报期内</w:t>
      </w:r>
      <w:r>
        <w:rPr>
          <w:rFonts w:hint="eastAsia" w:ascii="仿宋_GB2312" w:hAnsi="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附件2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eastAsia="zh-CN"/>
        </w:rPr>
        <w:t>。</w:t>
      </w:r>
    </w:p>
    <w:p>
      <w:pPr>
        <w:ind w:firstLine="640" w:firstLineChars="200"/>
        <w:rPr>
          <w:rFonts w:hint="default"/>
          <w:lang w:val="en-US" w:eastAsia="zh-CN"/>
        </w:rPr>
      </w:pPr>
      <w:r>
        <w:rPr>
          <w:rFonts w:hint="eastAsia" w:ascii="仿宋_GB2312" w:hAnsi="仿宋_GB2312" w:eastAsia="仿宋_GB2312" w:cs="仿宋_GB2312"/>
          <w:b w:val="0"/>
          <w:bCs w:val="0"/>
          <w:color w:val="auto"/>
          <w:kern w:val="2"/>
          <w:sz w:val="32"/>
          <w:szCs w:val="32"/>
          <w:highlight w:val="none"/>
          <w:lang w:val="en-US" w:eastAsia="zh-CN"/>
        </w:rPr>
        <w:t>备注：若提交英文或其它外文文本材料(护照或国际旅行证件除外)，应同时提供具备资质的翻译机构的中文简体翻译件（在文本中注明：“翻译件与原件内容一致”并加盖公章）。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共青团广州市南沙区委员会</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39910424</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https://www.gdzwfw.gov.cn/</w:t>
      </w:r>
      <w:r>
        <w:rPr>
          <w:rFonts w:hint="eastAsia" w:ascii="仿宋_GB2312" w:hAnsi="仿宋_GB2312" w:eastAsia="仿宋_GB2312" w:cs="仿宋_GB2312"/>
          <w:color w:val="auto"/>
          <w:sz w:val="32"/>
          <w:szCs w:val="32"/>
          <w:highlight w:val="none"/>
          <w:u w:val="none" w:color="auto"/>
          <w:lang w:eastAsia="zh-CN"/>
        </w:rPr>
        <w:t>登陆广东政务服务网进行注册，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w:t>
      </w:r>
      <w:r>
        <w:rPr>
          <w:rFonts w:hint="eastAsia" w:ascii="仿宋_GB2312" w:hAnsi="仿宋_GB2312" w:eastAsia="仿宋_GB2312" w:cs="仿宋_GB2312"/>
          <w:color w:val="auto"/>
          <w:sz w:val="32"/>
          <w:szCs w:val="32"/>
          <w:highlight w:val="none"/>
          <w:u w:val="none" w:color="auto"/>
          <w:lang w:val="en-US" w:eastAsia="zh-CN"/>
        </w:rPr>
        <w:t>申报</w:t>
      </w:r>
      <w:r>
        <w:rPr>
          <w:rFonts w:hint="eastAsia" w:ascii="仿宋_GB2312" w:hAnsi="仿宋_GB2312" w:eastAsia="仿宋_GB2312" w:cs="仿宋_GB2312"/>
          <w:color w:val="auto"/>
          <w:kern w:val="2"/>
          <w:sz w:val="32"/>
          <w:szCs w:val="32"/>
          <w:highlight w:val="none"/>
          <w:u w:val="none" w:color="auto"/>
          <w:lang w:val="en-US" w:eastAsia="zh-CN" w:bidi="ar-SA"/>
        </w:rPr>
        <w:t>。</w:t>
      </w:r>
    </w:p>
    <w:p>
      <w:pPr>
        <w:adjustRightInd/>
        <w:snapToGrid/>
        <w:spacing w:line="560" w:lineRule="exact"/>
        <w:ind w:firstLine="640" w:firstLineChars="200"/>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，并移交业务主管部门；符合条件但材料不齐全，一次性告知限期补正资料；不符合条件的，不予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w:t>
      </w:r>
      <w:r>
        <w:rPr>
          <w:rFonts w:hint="eastAsia" w:ascii="仿宋_GB2312" w:hAnsi="仿宋_GB2312" w:eastAsia="仿宋_GB2312" w:cs="仿宋_GB2312"/>
          <w:b w:val="0"/>
          <w:bCs w:val="0"/>
          <w:color w:val="auto"/>
          <w:kern w:val="2"/>
          <w:sz w:val="32"/>
          <w:szCs w:val="32"/>
          <w:highlight w:val="none"/>
          <w:lang w:val="en-US" w:eastAsia="zh-CN" w:bidi="ar-SA"/>
        </w:rPr>
        <w:t>体</w:t>
      </w:r>
      <w:r>
        <w:rPr>
          <w:rFonts w:hint="eastAsia" w:ascii="Times New Roman" w:hAnsi="Times New Roman" w:eastAsia="仿宋_GB2312" w:cs="Times New Roman"/>
          <w:color w:val="auto"/>
          <w:sz w:val="32"/>
          <w:szCs w:val="32"/>
          <w:highlight w:val="none"/>
          <w:lang w:val="en-US" w:eastAsia="zh-CN"/>
        </w:rPr>
        <w:t>政策兑现部门就补贴项目是否重复申报、实习基地统计关系归属地情况、实习基地实际经营情况</w:t>
      </w:r>
      <w:r>
        <w:rPr>
          <w:rFonts w:hint="eastAsia" w:ascii="仿宋_GB2312" w:hAnsi="仿宋_GB2312" w:eastAsia="仿宋_GB2312" w:cs="仿宋_GB2312"/>
          <w:color w:val="auto"/>
          <w:sz w:val="32"/>
          <w:szCs w:val="32"/>
          <w:highlight w:val="none"/>
          <w:lang w:val="en-US" w:eastAsia="zh-CN"/>
        </w:rPr>
        <w:t>以及是否属于经营异常目录等内容征求区统计、税务、政数等相关部门意见。</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ascii="仿宋_GB2312" w:hAnsi="仿宋_GB2312" w:eastAsia="仿宋_GB2312" w:cs="仿宋_GB2312"/>
          <w:b/>
          <w:bCs/>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广东政务服务网（https://www.gdzwfw.gov.cn/）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700" w:leftChars="200" w:hanging="1280" w:hangingChars="4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申报材料真实性承诺书（个人）</w:t>
      </w:r>
    </w:p>
    <w:p>
      <w:pPr>
        <w:keepNext w:val="0"/>
        <w:keepLines w:val="0"/>
        <w:pageBreakBefore w:val="0"/>
        <w:widowControl w:val="0"/>
        <w:numPr>
          <w:ilvl w:val="0"/>
          <w:numId w:val="0"/>
        </w:numPr>
        <w:kinsoku/>
        <w:wordWrap/>
        <w:overflowPunct/>
        <w:topLinePunct w:val="0"/>
        <w:autoSpaceDE/>
        <w:autoSpaceDN/>
        <w:bidi w:val="0"/>
        <w:adjustRightInd/>
        <w:snapToGrid/>
        <w:ind w:leftChars="808"/>
        <w:textAlignment w:val="auto"/>
        <w:rPr>
          <w:rFonts w:hint="eastAsia" w:ascii="仿宋_GB2312" w:hAnsi="仿宋_GB2312" w:eastAsia="仿宋_GB2312" w:cs="仿宋_GB2312"/>
          <w:color w:val="auto"/>
          <w:highlight w:val="none"/>
          <w:lang w:val="en-US" w:eastAsia="zh-CN"/>
        </w:rPr>
      </w:pPr>
      <w:r>
        <w:rPr>
          <w:rFonts w:hint="default" w:ascii="Times New Roman" w:hAnsi="Times New Roman" w:eastAsia="仿宋_GB2312" w:cs="Times New Roman"/>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.申报材料真实性承诺书（单位）</w:t>
      </w:r>
    </w:p>
    <w:p>
      <w:pPr>
        <w:pStyle w:val="7"/>
        <w:ind w:left="0" w:leftChars="0" w:firstLine="0" w:firstLineChars="0"/>
        <w:rPr>
          <w:rFonts w:hint="default"/>
          <w:color w:val="auto"/>
          <w:highlight w:val="none"/>
          <w:lang w:val="en-US" w:eastAsia="zh-CN"/>
        </w:rPr>
      </w:pPr>
    </w:p>
    <w:p>
      <w:pPr>
        <w:rPr>
          <w:rFonts w:hint="default"/>
          <w:color w:val="auto"/>
          <w:highlight w:val="none"/>
          <w:lang w:val="en-US" w:eastAsia="zh-CN"/>
        </w:rPr>
      </w:pPr>
    </w:p>
    <w:p>
      <w:pPr>
        <w:pStyle w:val="7"/>
        <w:rPr>
          <w:rFonts w:hint="default"/>
          <w:color w:val="auto"/>
          <w:highlight w:val="none"/>
          <w:lang w:val="en-US" w:eastAsia="zh-CN"/>
        </w:rPr>
      </w:pPr>
    </w:p>
    <w:p>
      <w:pPr>
        <w:rPr>
          <w:rFonts w:hint="default" w:ascii="黑体" w:hAnsi="黑体" w:eastAsia="黑体" w:cs="黑体"/>
          <w:color w:val="auto"/>
          <w:sz w:val="32"/>
          <w:szCs w:val="32"/>
          <w:highlight w:val="none"/>
          <w:lang w:val="en-US" w:eastAsia="zh-CN"/>
        </w:rPr>
      </w:pPr>
      <w:r>
        <w:rPr>
          <w:color w:val="auto"/>
          <w:highlight w:val="none"/>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7"/>
        <w:rPr>
          <w:rFonts w:hint="default"/>
          <w:color w:val="auto"/>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7"/>
        <w:keepNext w:val="0"/>
        <w:keepLines w:val="0"/>
        <w:pageBreakBefore w:val="0"/>
        <w:kinsoku/>
        <w:overflowPunct/>
        <w:autoSpaceDE/>
        <w:autoSpaceDN/>
        <w:bidi w:val="0"/>
        <w:spacing w:line="560" w:lineRule="exact"/>
        <w:jc w:val="center"/>
        <w:rPr>
          <w:rFonts w:hint="default" w:ascii="Times New Roman" w:hAnsi="Times New Roman" w:eastAsia="黑体" w:cs="Times New Roman"/>
          <w:color w:val="auto"/>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tbl>
      <w:tblPr>
        <w:tblStyle w:val="9"/>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tabs>
                <w:tab w:val="left" w:pos="1176"/>
              </w:tabs>
              <w:adjustRightInd w:val="0"/>
              <w:snapToGrid w:val="0"/>
              <w:spacing w:line="580" w:lineRule="exact"/>
              <w:ind w:firstLine="280" w:firstLineChars="100"/>
              <w:jc w:val="left"/>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邮箱地址</w:t>
            </w:r>
          </w:p>
        </w:tc>
        <w:tc>
          <w:tcPr>
            <w:tcW w:w="6280" w:type="dxa"/>
            <w:gridSpan w:val="4"/>
            <w:noWrap w:val="0"/>
            <w:vAlign w:val="top"/>
          </w:tcPr>
          <w:p>
            <w:pPr>
              <w:pStyle w:val="7"/>
              <w:tabs>
                <w:tab w:val="left" w:pos="1176"/>
              </w:tabs>
              <w:adjustRightInd w:val="0"/>
              <w:snapToGrid w:val="0"/>
              <w:spacing w:line="580" w:lineRule="exact"/>
              <w:ind w:left="0" w:leftChars="0" w:firstLine="840" w:firstLineChars="300"/>
              <w:jc w:val="left"/>
              <w:rPr>
                <w:rFonts w:hint="eastAsia"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银行开户网点名称（支行）</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7"/>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3"/>
              <w:adjustRightInd w:val="0"/>
              <w:snapToGrid w:val="0"/>
              <w:spacing w:line="580" w:lineRule="exact"/>
              <w:rPr>
                <w:rFonts w:hint="default" w:ascii="Times New Roman" w:hAnsi="Times New Roman"/>
                <w:color w:val="auto"/>
                <w:sz w:val="28"/>
                <w:szCs w:val="28"/>
                <w:highlight w:val="none"/>
                <w:u w:val="none" w:color="auto"/>
              </w:rPr>
            </w:pPr>
          </w:p>
          <w:p>
            <w:pPr>
              <w:pStyle w:val="13"/>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3"/>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3"/>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3"/>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7"/>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3"/>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3"/>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3"/>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7"/>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1440" w:right="1803" w:bottom="1440" w:left="1803" w:header="851" w:footer="1587" w:gutter="0"/>
          <w:pgNumType w:fmt="decimal"/>
          <w:cols w:space="720" w:num="1"/>
          <w:docGrid w:type="lines" w:linePitch="312" w:charSpace="0"/>
        </w:sectPr>
      </w:pPr>
    </w:p>
    <w:p>
      <w:pPr>
        <w:rPr>
          <w:rFonts w:hint="default" w:ascii="黑体" w:hAnsi="黑体" w:eastAsia="黑体" w:cs="黑体"/>
          <w:color w:val="auto"/>
          <w:sz w:val="32"/>
          <w:szCs w:val="32"/>
          <w:highlight w:val="none"/>
          <w:lang w:val="en-US" w:eastAsia="zh-CN"/>
        </w:rPr>
      </w:pPr>
      <w:r>
        <w:rPr>
          <w:rFonts w:hint="default"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spacing w:line="560" w:lineRule="exact"/>
        <w:jc w:val="left"/>
        <w:rPr>
          <w:rFonts w:cs="Times New Roman"/>
          <w:color w:val="auto"/>
          <w:szCs w:val="32"/>
          <w:highlight w:val="none"/>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个人</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本人郑重承诺：</w:t>
      </w:r>
    </w:p>
    <w:p>
      <w:pPr>
        <w:pStyle w:val="7"/>
        <w:spacing w:line="560" w:lineRule="exact"/>
        <w:ind w:left="640"/>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在办理</w:t>
      </w:r>
      <w:r>
        <w:rPr>
          <w:rFonts w:hint="default" w:ascii="仿宋_GB2312" w:hAnsi="仿宋_GB2312" w:eastAsia="仿宋_GB2312" w:cs="仿宋_GB2312"/>
          <w:b/>
          <w:bCs/>
          <w:color w:val="auto"/>
          <w:kern w:val="2"/>
          <w:sz w:val="32"/>
          <w:szCs w:val="32"/>
          <w:highlight w:val="none"/>
          <w:u w:val="singl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事项名称）中所提交的各种材料（文件、证照、证件）是真实、有效的，复印件与原件是一致的；承诺爱国爱港，爱国爱澳，坚决拥护“一国两制”，无违法犯罪行为，且如有隐瞒有关情况或提供任何虚假材料，愿意承担一切法律后果。</w:t>
      </w: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640"/>
        <w:jc w:val="left"/>
        <w:rPr>
          <w:rFonts w:hint="default" w:ascii="仿宋_GB2312" w:hAnsi="仿宋_GB2312" w:eastAsia="仿宋_GB2312" w:cs="仿宋_GB2312"/>
          <w:color w:val="auto"/>
          <w:kern w:val="2"/>
          <w:sz w:val="32"/>
          <w:szCs w:val="32"/>
          <w:highlight w:val="none"/>
          <w:lang w:val="en-US" w:eastAsia="zh-CN" w:bidi="ar-SA"/>
        </w:rPr>
      </w:pPr>
    </w:p>
    <w:p>
      <w:pPr>
        <w:spacing w:line="560" w:lineRule="exact"/>
        <w:ind w:firstLine="5120" w:firstLineChars="1600"/>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本人签字：</w:t>
      </w:r>
    </w:p>
    <w:p>
      <w:pPr>
        <w:spacing w:line="560" w:lineRule="exact"/>
        <w:jc w:val="center"/>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年    月    日</w:t>
      </w:r>
    </w:p>
    <w:p>
      <w:pPr>
        <w:spacing w:line="560" w:lineRule="exact"/>
        <w:rPr>
          <w:rFonts w:hint="default" w:eastAsia="宋体"/>
          <w:color w:val="auto"/>
          <w:highlight w:val="none"/>
          <w:lang w:val="en-US" w:eastAsia="zh-CN"/>
        </w:rPr>
      </w:pPr>
      <w:r>
        <w:rPr>
          <w:rFonts w:hint="eastAsia"/>
          <w:color w:val="auto"/>
          <w:highlight w:val="none"/>
          <w:lang w:val="en-US" w:eastAsia="zh-CN"/>
        </w:rPr>
        <w:t xml:space="preserve">    </w:t>
      </w: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ind w:firstLine="3570" w:firstLineChars="1700"/>
        <w:rPr>
          <w:rFonts w:hint="eastAsia"/>
          <w:color w:val="auto"/>
          <w:highlight w:val="none"/>
          <w:lang w:val="en-US" w:eastAsia="zh-CN"/>
        </w:rPr>
      </w:pPr>
    </w:p>
    <w:p>
      <w:pPr>
        <w:spacing w:line="560" w:lineRule="exact"/>
        <w:rPr>
          <w:rFonts w:hint="eastAsia"/>
          <w:color w:val="auto"/>
          <w:highlight w:val="none"/>
          <w:lang w:val="en-US" w:eastAsia="zh-CN"/>
        </w:rPr>
      </w:pPr>
    </w:p>
    <w:p>
      <w:pP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3</w:t>
      </w:r>
    </w:p>
    <w:p>
      <w:pPr>
        <w:rPr>
          <w:rFonts w:hint="eastAsia" w:ascii="黑体" w:hAnsi="黑体" w:eastAsia="黑体" w:cs="黑体"/>
          <w:color w:val="auto"/>
          <w:sz w:val="32"/>
          <w:szCs w:val="32"/>
          <w:highlight w:val="none"/>
          <w:lang w:val="en-US" w:eastAsia="zh-CN"/>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单位</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5"/>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4"/>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4"/>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spacing w:line="480" w:lineRule="exact"/>
        <w:ind w:firstLine="3200" w:firstLineChars="1000"/>
        <w:jc w:val="left"/>
        <w:rPr>
          <w:rFonts w:hint="default" w:cs="Times New Roman"/>
          <w:color w:val="auto"/>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6"/>
                      <w:jc w:val="right"/>
                      <w:rPr>
                        <w:rFonts w:hint="eastAsia" w:ascii="宋体" w:hAnsi="宋体" w:eastAsia="宋体" w:cs="宋体"/>
                        <w:sz w:val="28"/>
                        <w:szCs w:val="28"/>
                        <w:lang w:eastAsia="zh-CN"/>
                      </w:rPr>
                    </w:pPr>
                  </w:p>
                </w:txbxContent>
              </v:textbox>
            </v:shape>
          </w:pict>
        </mc:Fallback>
      </mc:AlternateConten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6"/>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091E6F"/>
    <w:multiLevelType w:val="singleLevel"/>
    <w:tmpl w:val="40091E6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revisionView w:markup="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46848ef8-ae1d-40d0-9e2a-cfb235552415"/>
  </w:docVars>
  <w:rsids>
    <w:rsidRoot w:val="766E3435"/>
    <w:rsid w:val="00580F75"/>
    <w:rsid w:val="00EF5BA2"/>
    <w:rsid w:val="014F5F00"/>
    <w:rsid w:val="01826388"/>
    <w:rsid w:val="03AD384C"/>
    <w:rsid w:val="07085A86"/>
    <w:rsid w:val="070E5CC2"/>
    <w:rsid w:val="07ED4390"/>
    <w:rsid w:val="080D2DF6"/>
    <w:rsid w:val="094657B5"/>
    <w:rsid w:val="0988292E"/>
    <w:rsid w:val="0B182CF3"/>
    <w:rsid w:val="0BBD12EF"/>
    <w:rsid w:val="0CC71781"/>
    <w:rsid w:val="0DDF577D"/>
    <w:rsid w:val="0E481BE7"/>
    <w:rsid w:val="0F6C24C5"/>
    <w:rsid w:val="107D27B1"/>
    <w:rsid w:val="157113F3"/>
    <w:rsid w:val="15CB3DEB"/>
    <w:rsid w:val="15E9057E"/>
    <w:rsid w:val="177C472C"/>
    <w:rsid w:val="1BE7378C"/>
    <w:rsid w:val="1C6F2B80"/>
    <w:rsid w:val="1D2164BB"/>
    <w:rsid w:val="1DBD6B1A"/>
    <w:rsid w:val="1E4F5511"/>
    <w:rsid w:val="204114B6"/>
    <w:rsid w:val="21121FA4"/>
    <w:rsid w:val="21C904FD"/>
    <w:rsid w:val="23190E75"/>
    <w:rsid w:val="23BE5C09"/>
    <w:rsid w:val="247245F5"/>
    <w:rsid w:val="295952CE"/>
    <w:rsid w:val="2A527CD0"/>
    <w:rsid w:val="2B305D16"/>
    <w:rsid w:val="2C0840E9"/>
    <w:rsid w:val="2ECE02F6"/>
    <w:rsid w:val="2FC202CC"/>
    <w:rsid w:val="301543AC"/>
    <w:rsid w:val="308C33A3"/>
    <w:rsid w:val="31D31D86"/>
    <w:rsid w:val="32E620B2"/>
    <w:rsid w:val="3304078A"/>
    <w:rsid w:val="336920F9"/>
    <w:rsid w:val="35583EDE"/>
    <w:rsid w:val="35E63926"/>
    <w:rsid w:val="36A5475F"/>
    <w:rsid w:val="38F2637D"/>
    <w:rsid w:val="3A7E7876"/>
    <w:rsid w:val="3A9D520B"/>
    <w:rsid w:val="3ADF0A2C"/>
    <w:rsid w:val="415B3C6B"/>
    <w:rsid w:val="455868B6"/>
    <w:rsid w:val="45B96720"/>
    <w:rsid w:val="48392A98"/>
    <w:rsid w:val="49C92BD5"/>
    <w:rsid w:val="4A5357F4"/>
    <w:rsid w:val="4A614DAF"/>
    <w:rsid w:val="4AD93C35"/>
    <w:rsid w:val="4BF03F8C"/>
    <w:rsid w:val="4DCC1CD7"/>
    <w:rsid w:val="4E29318C"/>
    <w:rsid w:val="4E9064DA"/>
    <w:rsid w:val="4EDD6607"/>
    <w:rsid w:val="4FA955F7"/>
    <w:rsid w:val="4FF71CFC"/>
    <w:rsid w:val="522549D7"/>
    <w:rsid w:val="54B357B8"/>
    <w:rsid w:val="54B60A43"/>
    <w:rsid w:val="54D55F07"/>
    <w:rsid w:val="569F2BBD"/>
    <w:rsid w:val="57D00ACC"/>
    <w:rsid w:val="59B8710E"/>
    <w:rsid w:val="59DD395F"/>
    <w:rsid w:val="5A342207"/>
    <w:rsid w:val="5BE56AFB"/>
    <w:rsid w:val="5CAC5D10"/>
    <w:rsid w:val="5CF52D6E"/>
    <w:rsid w:val="5D1D3180"/>
    <w:rsid w:val="5D5B34A6"/>
    <w:rsid w:val="5F45502B"/>
    <w:rsid w:val="60035061"/>
    <w:rsid w:val="606C4B9E"/>
    <w:rsid w:val="60AF7138"/>
    <w:rsid w:val="6199534A"/>
    <w:rsid w:val="61C35558"/>
    <w:rsid w:val="62AA0157"/>
    <w:rsid w:val="636D4DF0"/>
    <w:rsid w:val="644B6FE9"/>
    <w:rsid w:val="6525705F"/>
    <w:rsid w:val="66DD6FF2"/>
    <w:rsid w:val="6A8C5E32"/>
    <w:rsid w:val="6AB204F0"/>
    <w:rsid w:val="6B27650C"/>
    <w:rsid w:val="6CE94175"/>
    <w:rsid w:val="6E420D1E"/>
    <w:rsid w:val="6E57434A"/>
    <w:rsid w:val="6E66635D"/>
    <w:rsid w:val="71E90B0C"/>
    <w:rsid w:val="724959A7"/>
    <w:rsid w:val="743D2888"/>
    <w:rsid w:val="74E155C3"/>
    <w:rsid w:val="75F07EF3"/>
    <w:rsid w:val="766E3435"/>
    <w:rsid w:val="76D67314"/>
    <w:rsid w:val="792524A9"/>
    <w:rsid w:val="794F0B9C"/>
    <w:rsid w:val="79F64D24"/>
    <w:rsid w:val="7AE96E33"/>
    <w:rsid w:val="7C6F6241"/>
    <w:rsid w:val="7D4B2127"/>
    <w:rsid w:val="7DFA11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unhideWhenUsed/>
    <w:qFormat/>
    <w:uiPriority w:val="99"/>
    <w:pPr>
      <w:widowControl w:val="0"/>
      <w:ind w:firstLine="420" w:firstLineChars="200"/>
      <w:jc w:val="both"/>
    </w:pPr>
    <w:rPr>
      <w:rFonts w:ascii="Times New Roman" w:hAnsi="Times New Roman" w:eastAsia="仿宋_GB2312" w:cs="Times New Roman"/>
      <w:kern w:val="2"/>
      <w:sz w:val="32"/>
      <w:szCs w:val="24"/>
      <w:lang w:val="en-US" w:eastAsia="zh-CN" w:bidi="ar-SA"/>
    </w:rPr>
  </w:style>
  <w:style w:type="paragraph" w:styleId="4">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2"/>
    <w:basedOn w:val="1"/>
    <w:next w:val="1"/>
    <w:qFormat/>
    <w:uiPriority w:val="0"/>
    <w:pPr>
      <w:ind w:left="420" w:left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rPr>
      <w:rFonts w:ascii="Times New Roman" w:hAnsi="Times New Roman" w:eastAsia="宋体" w:cs="Times New Roman"/>
    </w:rPr>
  </w:style>
  <w:style w:type="paragraph" w:customStyle="1" w:styleId="12">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3">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4416</Words>
  <Characters>4553</Characters>
  <Lines>0</Lines>
  <Paragraphs>0</Paragraphs>
  <TotalTime>1</TotalTime>
  <ScaleCrop>false</ScaleCrop>
  <LinksUpToDate>false</LinksUpToDate>
  <CharactersWithSpaces>5216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橙子</cp:lastModifiedBy>
  <cp:lastPrinted>2024-10-09T11:05:00Z</cp:lastPrinted>
  <dcterms:modified xsi:type="dcterms:W3CDTF">2024-10-10T08:03:44Z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6EA1DB73ACE94DB4A8C356DB64C918A5_13</vt:lpwstr>
  </property>
</Properties>
</file>