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6AEE62">
      <w:pPr>
        <w:spacing w:line="360" w:lineRule="auto"/>
        <w:jc w:val="right"/>
        <w:rPr>
          <w:rFonts w:ascii="宋体" w:hAnsi="宋体"/>
          <w:b/>
          <w:bCs/>
          <w:color w:val="auto"/>
          <w:kern w:val="44"/>
          <w:sz w:val="44"/>
          <w:szCs w:val="44"/>
          <w:highlight w:val="none"/>
        </w:rPr>
      </w:pPr>
      <w:bookmarkStart w:id="321" w:name="_GoBack"/>
      <w:bookmarkStart w:id="0" w:name="_Toc37051832"/>
      <w:r>
        <w:rPr>
          <w:rFonts w:hint="eastAsia" w:ascii="宋体" w:hAnsi="宋体" w:cs="宋体"/>
          <w:color w:val="auto"/>
          <w:kern w:val="0"/>
          <w:highlight w:val="none"/>
        </w:rPr>
        <w:t xml:space="preserve"> </w:t>
      </w:r>
    </w:p>
    <w:p w14:paraId="0A4451F7">
      <w:pPr>
        <w:snapToGrid w:val="0"/>
        <w:spacing w:before="156" w:beforeLines="50"/>
        <w:jc w:val="center"/>
        <w:rPr>
          <w:rFonts w:ascii="宋体" w:hAnsi="宋体" w:cs="宋体"/>
          <w:b/>
          <w:color w:val="auto"/>
          <w:sz w:val="48"/>
          <w:szCs w:val="48"/>
          <w:highlight w:val="none"/>
        </w:rPr>
      </w:pPr>
    </w:p>
    <w:p w14:paraId="0D5C088C">
      <w:pPr>
        <w:snapToGrid w:val="0"/>
        <w:spacing w:before="156" w:beforeLines="50"/>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2025年万顷沙镇生活垃圾分类督导服务项目</w:t>
      </w:r>
    </w:p>
    <w:p w14:paraId="1A0DCF7D">
      <w:pPr>
        <w:autoSpaceDE w:val="0"/>
        <w:autoSpaceDN w:val="0"/>
        <w:adjustRightInd w:val="0"/>
        <w:spacing w:line="360" w:lineRule="auto"/>
        <w:jc w:val="center"/>
        <w:rPr>
          <w:rFonts w:ascii="宋体" w:hAnsi="宋体"/>
          <w:b/>
          <w:color w:val="auto"/>
          <w:sz w:val="44"/>
          <w:szCs w:val="44"/>
          <w:highlight w:val="none"/>
          <w:shd w:val="clear" w:color="auto" w:fill="FFFFFF"/>
        </w:rPr>
      </w:pPr>
    </w:p>
    <w:p w14:paraId="69A50BD4">
      <w:pPr>
        <w:autoSpaceDE w:val="0"/>
        <w:autoSpaceDN w:val="0"/>
        <w:adjustRightInd w:val="0"/>
        <w:spacing w:line="360" w:lineRule="auto"/>
        <w:jc w:val="center"/>
        <w:rPr>
          <w:rFonts w:ascii="宋体" w:hAnsi="宋体" w:cs="宋体"/>
          <w:b/>
          <w:color w:val="auto"/>
          <w:kern w:val="0"/>
          <w:sz w:val="48"/>
          <w:szCs w:val="48"/>
          <w:highlight w:val="none"/>
        </w:rPr>
      </w:pPr>
    </w:p>
    <w:p w14:paraId="3B0CD4B6">
      <w:pPr>
        <w:autoSpaceDE w:val="0"/>
        <w:autoSpaceDN w:val="0"/>
        <w:adjustRightInd w:val="0"/>
        <w:spacing w:line="360" w:lineRule="auto"/>
        <w:jc w:val="center"/>
        <w:rPr>
          <w:rFonts w:ascii="宋体" w:hAnsi="宋体" w:cs="宋体"/>
          <w:b/>
          <w:color w:val="auto"/>
          <w:kern w:val="0"/>
          <w:sz w:val="72"/>
          <w:szCs w:val="72"/>
          <w:highlight w:val="none"/>
        </w:rPr>
      </w:pPr>
    </w:p>
    <w:p w14:paraId="670C0CAA">
      <w:pPr>
        <w:autoSpaceDE w:val="0"/>
        <w:autoSpaceDN w:val="0"/>
        <w:adjustRightInd w:val="0"/>
        <w:spacing w:line="360" w:lineRule="auto"/>
        <w:jc w:val="center"/>
        <w:rPr>
          <w:rFonts w:ascii="宋体" w:hAnsi="宋体" w:cs="宋体"/>
          <w:b/>
          <w:color w:val="auto"/>
          <w:kern w:val="0"/>
          <w:sz w:val="72"/>
          <w:szCs w:val="72"/>
          <w:highlight w:val="none"/>
        </w:rPr>
      </w:pPr>
      <w:r>
        <w:rPr>
          <w:rFonts w:hint="eastAsia" w:ascii="宋体" w:hAnsi="宋体" w:cs="宋体"/>
          <w:b/>
          <w:color w:val="auto"/>
          <w:kern w:val="0"/>
          <w:sz w:val="72"/>
          <w:szCs w:val="72"/>
          <w:highlight w:val="none"/>
        </w:rPr>
        <w:t>竞争性磋商文件</w:t>
      </w:r>
    </w:p>
    <w:p w14:paraId="0EA44A0E">
      <w:pPr>
        <w:autoSpaceDE w:val="0"/>
        <w:autoSpaceDN w:val="0"/>
        <w:adjustRightInd w:val="0"/>
        <w:spacing w:line="360" w:lineRule="auto"/>
        <w:jc w:val="center"/>
        <w:rPr>
          <w:rFonts w:ascii="宋体" w:hAnsi="宋体" w:cs="宋体"/>
          <w:b/>
          <w:color w:val="auto"/>
          <w:kern w:val="0"/>
          <w:sz w:val="48"/>
          <w:szCs w:val="48"/>
          <w:highlight w:val="none"/>
        </w:rPr>
      </w:pPr>
    </w:p>
    <w:p w14:paraId="38F3B106">
      <w:pPr>
        <w:autoSpaceDE w:val="0"/>
        <w:autoSpaceDN w:val="0"/>
        <w:adjustRightInd w:val="0"/>
        <w:spacing w:line="360" w:lineRule="auto"/>
        <w:jc w:val="center"/>
        <w:rPr>
          <w:rFonts w:ascii="宋体" w:hAnsi="宋体" w:cs="宋体"/>
          <w:b/>
          <w:color w:val="auto"/>
          <w:kern w:val="0"/>
          <w:sz w:val="48"/>
          <w:szCs w:val="48"/>
          <w:highlight w:val="none"/>
        </w:rPr>
      </w:pPr>
    </w:p>
    <w:p w14:paraId="3743760D">
      <w:pPr>
        <w:autoSpaceDE w:val="0"/>
        <w:autoSpaceDN w:val="0"/>
        <w:adjustRightInd w:val="0"/>
        <w:spacing w:line="360" w:lineRule="auto"/>
        <w:jc w:val="center"/>
        <w:rPr>
          <w:rFonts w:ascii="宋体" w:hAnsi="宋体" w:cs="宋体"/>
          <w:b/>
          <w:color w:val="auto"/>
          <w:kern w:val="0"/>
          <w:sz w:val="48"/>
          <w:szCs w:val="48"/>
          <w:highlight w:val="none"/>
        </w:rPr>
      </w:pPr>
    </w:p>
    <w:p w14:paraId="478AEC70">
      <w:pPr>
        <w:autoSpaceDE w:val="0"/>
        <w:autoSpaceDN w:val="0"/>
        <w:adjustRightInd w:val="0"/>
        <w:spacing w:line="360" w:lineRule="auto"/>
        <w:jc w:val="center"/>
        <w:rPr>
          <w:rFonts w:ascii="宋体" w:hAnsi="宋体" w:cs="宋体"/>
          <w:b/>
          <w:color w:val="auto"/>
          <w:kern w:val="0"/>
          <w:sz w:val="48"/>
          <w:szCs w:val="48"/>
          <w:highlight w:val="none"/>
        </w:rPr>
      </w:pPr>
    </w:p>
    <w:p w14:paraId="465221DB">
      <w:pPr>
        <w:autoSpaceDE w:val="0"/>
        <w:autoSpaceDN w:val="0"/>
        <w:adjustRightInd w:val="0"/>
        <w:spacing w:line="360" w:lineRule="auto"/>
        <w:jc w:val="center"/>
        <w:rPr>
          <w:rFonts w:ascii="宋体" w:hAnsi="宋体" w:cs="宋体"/>
          <w:b/>
          <w:color w:val="auto"/>
          <w:kern w:val="0"/>
          <w:sz w:val="48"/>
          <w:szCs w:val="48"/>
          <w:highlight w:val="none"/>
        </w:rPr>
      </w:pPr>
    </w:p>
    <w:p w14:paraId="3F14291F">
      <w:pPr>
        <w:spacing w:line="360" w:lineRule="auto"/>
        <w:ind w:firstLine="1080" w:firstLineChars="300"/>
        <w:jc w:val="left"/>
        <w:rPr>
          <w:rFonts w:ascii="宋体" w:hAnsi="宋体" w:cs="宋体"/>
          <w:b/>
          <w:color w:val="auto"/>
          <w:kern w:val="0"/>
          <w:sz w:val="36"/>
          <w:szCs w:val="36"/>
          <w:highlight w:val="none"/>
        </w:rPr>
      </w:pPr>
    </w:p>
    <w:p w14:paraId="6E52224F">
      <w:pPr>
        <w:spacing w:line="360" w:lineRule="auto"/>
        <w:ind w:firstLine="840" w:firstLineChars="300"/>
        <w:jc w:val="left"/>
        <w:rPr>
          <w:rFonts w:hint="eastAsia" w:ascii="宋体" w:hAnsi="宋体" w:eastAsia="宋体"/>
          <w:b/>
          <w:bCs/>
          <w:color w:val="auto"/>
          <w:kern w:val="44"/>
          <w:sz w:val="40"/>
          <w:szCs w:val="40"/>
          <w:highlight w:val="none"/>
          <w:lang w:eastAsia="zh-CN"/>
        </w:rPr>
      </w:pPr>
      <w:r>
        <w:rPr>
          <w:rFonts w:hint="eastAsia" w:ascii="宋体" w:hAnsi="宋体" w:cs="宋体"/>
          <w:b/>
          <w:color w:val="auto"/>
          <w:kern w:val="0"/>
          <w:sz w:val="28"/>
          <w:szCs w:val="28"/>
          <w:highlight w:val="none"/>
        </w:rPr>
        <w:t>项目编号：</w:t>
      </w:r>
      <w:bookmarkStart w:id="1" w:name="OLE_LINK1"/>
      <w:r>
        <w:rPr>
          <w:rFonts w:hint="eastAsia" w:ascii="宋体" w:hAnsi="宋体" w:cs="宋体"/>
          <w:b/>
          <w:color w:val="auto"/>
          <w:kern w:val="0"/>
          <w:sz w:val="28"/>
          <w:szCs w:val="28"/>
          <w:highlight w:val="none"/>
          <w:lang w:eastAsia="zh-CN"/>
        </w:rPr>
        <w:t> GZZT2024CSCG-024</w:t>
      </w:r>
      <w:bookmarkEnd w:id="1"/>
    </w:p>
    <w:p w14:paraId="3C229827">
      <w:pPr>
        <w:spacing w:line="360" w:lineRule="auto"/>
        <w:ind w:firstLine="840" w:firstLineChars="300"/>
        <w:jc w:val="left"/>
        <w:rPr>
          <w:rFonts w:hint="eastAsia" w:ascii="宋体" w:hAnsi="宋体" w:eastAsia="宋体" w:cs="宋体"/>
          <w:b/>
          <w:color w:val="auto"/>
          <w:kern w:val="0"/>
          <w:sz w:val="28"/>
          <w:szCs w:val="28"/>
          <w:highlight w:val="none"/>
          <w:lang w:eastAsia="zh-CN"/>
        </w:rPr>
      </w:pPr>
      <w:r>
        <w:rPr>
          <w:rFonts w:hint="eastAsia" w:ascii="宋体" w:hAnsi="宋体" w:cs="宋体"/>
          <w:b/>
          <w:color w:val="auto"/>
          <w:kern w:val="0"/>
          <w:sz w:val="28"/>
          <w:szCs w:val="28"/>
          <w:highlight w:val="none"/>
        </w:rPr>
        <w:t>采 购 人：</w:t>
      </w:r>
      <w:r>
        <w:rPr>
          <w:rFonts w:hint="eastAsia" w:ascii="宋体" w:hAnsi="宋体" w:cs="宋体"/>
          <w:b/>
          <w:color w:val="auto"/>
          <w:kern w:val="0"/>
          <w:sz w:val="28"/>
          <w:szCs w:val="28"/>
          <w:highlight w:val="none"/>
          <w:lang w:eastAsia="zh-CN"/>
        </w:rPr>
        <w:t>广州市南沙区万顷沙镇人民政府</w:t>
      </w:r>
    </w:p>
    <w:p w14:paraId="2A324FAB">
      <w:pPr>
        <w:autoSpaceDE w:val="0"/>
        <w:autoSpaceDN w:val="0"/>
        <w:adjustRightInd w:val="0"/>
        <w:spacing w:line="360" w:lineRule="auto"/>
        <w:ind w:firstLine="840" w:firstLineChars="300"/>
        <w:jc w:val="left"/>
        <w:rPr>
          <w:rFonts w:hint="eastAsia" w:ascii="宋体" w:hAnsi="宋体" w:eastAsia="宋体" w:cs="宋体"/>
          <w:b/>
          <w:color w:val="auto"/>
          <w:kern w:val="0"/>
          <w:sz w:val="28"/>
          <w:szCs w:val="28"/>
          <w:highlight w:val="none"/>
          <w:lang w:eastAsia="zh-CN"/>
        </w:rPr>
      </w:pPr>
      <w:r>
        <w:rPr>
          <w:rFonts w:hint="eastAsia" w:ascii="宋体" w:hAnsi="宋体" w:cs="宋体"/>
          <w:b/>
          <w:color w:val="auto"/>
          <w:kern w:val="0"/>
          <w:sz w:val="28"/>
          <w:szCs w:val="28"/>
          <w:highlight w:val="none"/>
        </w:rPr>
        <w:t>采购代理机构：</w:t>
      </w:r>
      <w:r>
        <w:rPr>
          <w:rFonts w:hint="eastAsia" w:ascii="宋体" w:hAnsi="宋体" w:cs="宋体"/>
          <w:b/>
          <w:color w:val="auto"/>
          <w:kern w:val="0"/>
          <w:sz w:val="28"/>
          <w:szCs w:val="28"/>
          <w:highlight w:val="none"/>
          <w:lang w:eastAsia="zh-CN"/>
        </w:rPr>
        <w:t>广州中天项目管理咨询有限公司</w:t>
      </w:r>
    </w:p>
    <w:p w14:paraId="3A0AFAF8">
      <w:pPr>
        <w:autoSpaceDE w:val="0"/>
        <w:autoSpaceDN w:val="0"/>
        <w:adjustRightInd w:val="0"/>
        <w:spacing w:line="360" w:lineRule="auto"/>
        <w:ind w:firstLine="840" w:firstLineChars="300"/>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日期：</w:t>
      </w:r>
      <w:r>
        <w:rPr>
          <w:rFonts w:hint="eastAsia" w:ascii="宋体" w:hAnsi="宋体" w:cs="宋体"/>
          <w:b/>
          <w:color w:val="auto"/>
          <w:kern w:val="0"/>
          <w:sz w:val="28"/>
          <w:szCs w:val="28"/>
          <w:highlight w:val="none"/>
          <w:lang w:val="en-US" w:eastAsia="zh-CN"/>
        </w:rPr>
        <w:t>2024</w:t>
      </w:r>
      <w:r>
        <w:rPr>
          <w:rFonts w:hint="eastAsia" w:ascii="宋体" w:hAnsi="宋体" w:cs="宋体"/>
          <w:b/>
          <w:color w:val="auto"/>
          <w:kern w:val="0"/>
          <w:sz w:val="28"/>
          <w:szCs w:val="28"/>
          <w:highlight w:val="none"/>
        </w:rPr>
        <w:t>年</w:t>
      </w:r>
      <w:r>
        <w:rPr>
          <w:rFonts w:hint="eastAsia" w:ascii="宋体" w:hAnsi="宋体" w:cs="宋体"/>
          <w:b/>
          <w:color w:val="auto"/>
          <w:kern w:val="0"/>
          <w:sz w:val="28"/>
          <w:szCs w:val="28"/>
          <w:highlight w:val="none"/>
          <w:lang w:val="en-US" w:eastAsia="zh-CN"/>
        </w:rPr>
        <w:t>8</w:t>
      </w:r>
      <w:r>
        <w:rPr>
          <w:rFonts w:hint="eastAsia" w:ascii="宋体" w:hAnsi="宋体" w:cs="宋体"/>
          <w:b/>
          <w:color w:val="auto"/>
          <w:kern w:val="0"/>
          <w:sz w:val="28"/>
          <w:szCs w:val="28"/>
          <w:highlight w:val="none"/>
        </w:rPr>
        <w:t>月</w:t>
      </w:r>
    </w:p>
    <w:p w14:paraId="6BACB559">
      <w:pPr>
        <w:spacing w:before="156" w:beforeLines="50" w:after="156" w:afterLines="50" w:line="360" w:lineRule="auto"/>
        <w:jc w:val="center"/>
        <w:rPr>
          <w:rFonts w:ascii="宋体" w:hAnsi="宋体"/>
          <w:b/>
          <w:color w:val="auto"/>
          <w:sz w:val="36"/>
          <w:highlight w:val="none"/>
        </w:rPr>
        <w:sectPr>
          <w:headerReference r:id="rId4" w:type="first"/>
          <w:headerReference r:id="rId3" w:type="default"/>
          <w:footerReference r:id="rId5" w:type="default"/>
          <w:footerReference r:id="rId6" w:type="even"/>
          <w:pgSz w:w="11906" w:h="16838"/>
          <w:pgMar w:top="935" w:right="1644" w:bottom="567" w:left="1260" w:header="851" w:footer="564" w:gutter="0"/>
          <w:cols w:space="720" w:num="1"/>
          <w:titlePg/>
          <w:docGrid w:type="linesAndChars" w:linePitch="312" w:charSpace="0"/>
        </w:sectPr>
      </w:pPr>
    </w:p>
    <w:p w14:paraId="02F84C1C">
      <w:pPr>
        <w:pStyle w:val="13"/>
        <w:rPr>
          <w:color w:val="auto"/>
          <w:highlight w:val="none"/>
        </w:rPr>
        <w:sectPr>
          <w:type w:val="continuous"/>
          <w:pgSz w:w="11906" w:h="16838"/>
          <w:pgMar w:top="935" w:right="1644" w:bottom="567" w:left="1260" w:header="851" w:footer="564" w:gutter="0"/>
          <w:cols w:space="720" w:num="1"/>
          <w:titlePg/>
          <w:docGrid w:type="linesAndChars" w:linePitch="312" w:charSpace="0"/>
        </w:sectPr>
      </w:pPr>
    </w:p>
    <w:p w14:paraId="75E9F4E4">
      <w:pPr>
        <w:spacing w:before="156" w:beforeLines="50" w:after="156" w:afterLines="50" w:line="360" w:lineRule="auto"/>
        <w:jc w:val="center"/>
        <w:rPr>
          <w:rFonts w:ascii="宋体" w:hAnsi="宋体"/>
          <w:b/>
          <w:color w:val="auto"/>
          <w:sz w:val="36"/>
          <w:highlight w:val="none"/>
        </w:rPr>
      </w:pPr>
      <w:r>
        <w:rPr>
          <w:rFonts w:hint="eastAsia" w:ascii="宋体" w:hAnsi="宋体"/>
          <w:b/>
          <w:color w:val="auto"/>
          <w:sz w:val="36"/>
          <w:highlight w:val="none"/>
        </w:rPr>
        <w:t>温馨提示：供应商特别注意事项</w:t>
      </w:r>
    </w:p>
    <w:p w14:paraId="36A01963">
      <w:pPr>
        <w:tabs>
          <w:tab w:val="left" w:pos="567"/>
        </w:tabs>
        <w:spacing w:line="460" w:lineRule="exact"/>
        <w:ind w:left="569" w:hanging="567" w:hangingChars="270"/>
        <w:rPr>
          <w:rFonts w:ascii="宋体" w:hAnsi="宋体"/>
          <w:color w:val="auto"/>
          <w:highlight w:val="none"/>
        </w:rPr>
      </w:pPr>
      <w:r>
        <w:rPr>
          <w:rFonts w:hint="eastAsia" w:ascii="宋体" w:hAnsi="宋体"/>
          <w:b/>
          <w:color w:val="auto"/>
          <w:highlight w:val="none"/>
        </w:rPr>
        <w:t>一、</w:t>
      </w:r>
      <w:r>
        <w:rPr>
          <w:rFonts w:hint="eastAsia" w:ascii="宋体" w:hAnsi="宋体"/>
          <w:color w:val="auto"/>
          <w:highlight w:val="none"/>
        </w:rPr>
        <w:t>请供应商特别留意磋商文件上注明的首次响应文件提交截止时间，逾期送达的响应文件我司恕不接收。因此，请供应商适当提前到达会议室。</w:t>
      </w:r>
      <w:r>
        <w:rPr>
          <w:rFonts w:hint="eastAsia" w:ascii="宋体" w:hAnsi="宋体"/>
          <w:b/>
          <w:color w:val="auto"/>
          <w:szCs w:val="21"/>
          <w:highlight w:val="none"/>
        </w:rPr>
        <w:t>提交首次响应文件开始时间为响应文件提交截止时间前半小时。</w:t>
      </w:r>
    </w:p>
    <w:p w14:paraId="34747CFE">
      <w:pPr>
        <w:tabs>
          <w:tab w:val="left" w:pos="567"/>
        </w:tabs>
        <w:spacing w:line="460" w:lineRule="exact"/>
        <w:ind w:left="569" w:hanging="567" w:hangingChars="270"/>
        <w:rPr>
          <w:rFonts w:ascii="宋体" w:hAnsi="宋体"/>
          <w:color w:val="auto"/>
          <w:highlight w:val="none"/>
        </w:rPr>
      </w:pPr>
      <w:r>
        <w:rPr>
          <w:rFonts w:hint="eastAsia" w:ascii="宋体" w:hAnsi="宋体"/>
          <w:b/>
          <w:color w:val="auto"/>
          <w:highlight w:val="none"/>
        </w:rPr>
        <w:t>二、</w:t>
      </w:r>
      <w:r>
        <w:rPr>
          <w:rFonts w:hint="eastAsia" w:ascii="宋体" w:hAnsi="宋体"/>
          <w:color w:val="auto"/>
          <w:highlight w:val="none"/>
        </w:rPr>
        <w:tab/>
      </w:r>
      <w:r>
        <w:rPr>
          <w:rFonts w:hint="eastAsia" w:ascii="宋体" w:hAnsi="宋体"/>
          <w:color w:val="auto"/>
          <w:highlight w:val="none"/>
        </w:rPr>
        <w:t>请正确填写《首次报价一览表》，如含有包组的磋商项目需分开报价，报价要求详见磋商文件《首次报价一览表》。</w:t>
      </w:r>
    </w:p>
    <w:p w14:paraId="14DB7126">
      <w:pPr>
        <w:tabs>
          <w:tab w:val="left" w:pos="567"/>
        </w:tabs>
        <w:spacing w:line="460" w:lineRule="exact"/>
        <w:ind w:left="569" w:hanging="567" w:hangingChars="270"/>
        <w:rPr>
          <w:rFonts w:ascii="宋体" w:hAnsi="宋体"/>
          <w:color w:val="auto"/>
          <w:highlight w:val="none"/>
        </w:rPr>
      </w:pPr>
      <w:r>
        <w:rPr>
          <w:rFonts w:hint="eastAsia" w:ascii="宋体" w:hAnsi="宋体"/>
          <w:b/>
          <w:color w:val="auto"/>
          <w:highlight w:val="none"/>
        </w:rPr>
        <w:t>三、</w:t>
      </w:r>
      <w:r>
        <w:rPr>
          <w:rFonts w:hint="eastAsia" w:ascii="宋体" w:hAnsi="宋体"/>
          <w:color w:val="auto"/>
          <w:highlight w:val="none"/>
        </w:rPr>
        <w:tab/>
      </w:r>
      <w:r>
        <w:rPr>
          <w:rFonts w:hint="eastAsia" w:ascii="宋体" w:hAnsi="宋体"/>
          <w:color w:val="auto"/>
          <w:highlight w:val="none"/>
        </w:rPr>
        <w:t>请仔细检查</w:t>
      </w:r>
      <w:r>
        <w:rPr>
          <w:rFonts w:ascii="宋体" w:hAnsi="宋体"/>
          <w:color w:val="auto"/>
          <w:szCs w:val="21"/>
          <w:highlight w:val="none"/>
        </w:rPr>
        <w:t>《资格声明函》</w:t>
      </w:r>
      <w:r>
        <w:rPr>
          <w:rFonts w:hint="eastAsia" w:ascii="宋体" w:hAnsi="宋体"/>
          <w:color w:val="auto"/>
          <w:szCs w:val="21"/>
          <w:highlight w:val="none"/>
        </w:rPr>
        <w:t>、</w:t>
      </w:r>
      <w:r>
        <w:rPr>
          <w:rFonts w:hint="eastAsia" w:ascii="宋体" w:hAnsi="宋体"/>
          <w:color w:val="auto"/>
          <w:highlight w:val="none"/>
        </w:rPr>
        <w:t>《报价函》、</w:t>
      </w:r>
      <w:r>
        <w:rPr>
          <w:rFonts w:ascii="宋体" w:hAnsi="宋体"/>
          <w:color w:val="auto"/>
          <w:szCs w:val="21"/>
          <w:highlight w:val="none"/>
        </w:rPr>
        <w:t>《法定代表人证明书》、《法定代表人授权书》、</w:t>
      </w:r>
      <w:r>
        <w:rPr>
          <w:rFonts w:hint="eastAsia" w:ascii="宋体" w:hAnsi="宋体"/>
          <w:color w:val="auto"/>
          <w:highlight w:val="none"/>
        </w:rPr>
        <w:t>《首次报价一览表》、《首次报价详细报价表》、《实质性响应一览表》、《报价响应与磋商文件差异一览表》、等重要格式文件是否有按要求盖公章或签名或印鉴。</w:t>
      </w:r>
    </w:p>
    <w:p w14:paraId="4BD165A2">
      <w:pPr>
        <w:tabs>
          <w:tab w:val="left" w:pos="567"/>
        </w:tabs>
        <w:spacing w:line="460" w:lineRule="exact"/>
        <w:ind w:left="569" w:hanging="567" w:hangingChars="270"/>
        <w:rPr>
          <w:rFonts w:ascii="宋体" w:hAnsi="宋体"/>
          <w:color w:val="auto"/>
          <w:highlight w:val="none"/>
        </w:rPr>
      </w:pPr>
      <w:r>
        <w:rPr>
          <w:rFonts w:hint="eastAsia" w:ascii="宋体" w:hAnsi="宋体"/>
          <w:b/>
          <w:color w:val="auto"/>
          <w:highlight w:val="none"/>
        </w:rPr>
        <w:t>四、</w:t>
      </w:r>
      <w:r>
        <w:rPr>
          <w:rFonts w:hint="eastAsia" w:ascii="宋体" w:hAnsi="宋体"/>
          <w:color w:val="auto"/>
          <w:highlight w:val="none"/>
        </w:rPr>
        <w:tab/>
      </w:r>
      <w:r>
        <w:rPr>
          <w:rFonts w:hint="eastAsia" w:ascii="宋体" w:hAnsi="宋体"/>
          <w:color w:val="auto"/>
          <w:highlight w:val="none"/>
        </w:rPr>
        <w:t>建议将响应文件按目录格式顺序编制页码。</w:t>
      </w:r>
    </w:p>
    <w:p w14:paraId="0E100E29">
      <w:pPr>
        <w:tabs>
          <w:tab w:val="left" w:pos="567"/>
        </w:tabs>
        <w:spacing w:line="460" w:lineRule="exact"/>
        <w:ind w:left="569" w:hanging="567" w:hangingChars="270"/>
        <w:rPr>
          <w:rFonts w:ascii="宋体" w:hAnsi="宋体"/>
          <w:color w:val="auto"/>
          <w:szCs w:val="21"/>
          <w:highlight w:val="none"/>
        </w:rPr>
      </w:pPr>
      <w:r>
        <w:rPr>
          <w:rFonts w:hint="eastAsia" w:ascii="宋体" w:hAnsi="宋体"/>
          <w:b/>
          <w:color w:val="auto"/>
          <w:highlight w:val="none"/>
        </w:rPr>
        <w:t>五、</w:t>
      </w:r>
      <w:r>
        <w:rPr>
          <w:rFonts w:hint="eastAsia" w:ascii="宋体" w:hAnsi="宋体"/>
          <w:color w:val="auto"/>
          <w:highlight w:val="none"/>
        </w:rPr>
        <w:tab/>
      </w:r>
      <w:r>
        <w:rPr>
          <w:rFonts w:hint="eastAsia" w:ascii="宋体" w:hAnsi="宋体"/>
          <w:color w:val="auto"/>
          <w:szCs w:val="21"/>
          <w:highlight w:val="none"/>
        </w:rPr>
        <w:t>分公司作为响应供应商参与磋商的，需提供具有法人资格的总公司的营业执照副本复印件及授权书。总公司可就本项目或此类项目在一定范围或时间内出具唯一的磋商授权书。法律法规或者行业另有规定的除外。</w:t>
      </w:r>
    </w:p>
    <w:p w14:paraId="36A0FC3F">
      <w:pPr>
        <w:tabs>
          <w:tab w:val="left" w:pos="567"/>
        </w:tabs>
        <w:spacing w:line="460" w:lineRule="exact"/>
        <w:ind w:left="569" w:hanging="567" w:hangingChars="270"/>
        <w:rPr>
          <w:rFonts w:ascii="宋体" w:hAnsi="宋体" w:cs="仿宋_GB2312"/>
          <w:b/>
          <w:bCs/>
          <w:color w:val="auto"/>
          <w:highlight w:val="none"/>
          <w:lang w:val="zh-CN"/>
        </w:rPr>
      </w:pPr>
      <w:r>
        <w:rPr>
          <w:rFonts w:hint="eastAsia" w:ascii="宋体" w:hAnsi="宋体" w:cs="仿宋_GB2312"/>
          <w:b/>
          <w:bCs/>
          <w:color w:val="auto"/>
          <w:highlight w:val="none"/>
          <w:lang w:val="zh-CN"/>
        </w:rPr>
        <w:t>（本提示内容非磋商文件的组成部分，仅为善意提醒。如有不一致，以磋商文件为准。）</w:t>
      </w:r>
    </w:p>
    <w:p w14:paraId="002657F7">
      <w:pPr>
        <w:tabs>
          <w:tab w:val="left" w:pos="567"/>
        </w:tabs>
        <w:spacing w:line="460" w:lineRule="exact"/>
        <w:ind w:left="569" w:hanging="567" w:hangingChars="270"/>
        <w:rPr>
          <w:rFonts w:ascii="宋体" w:hAnsi="宋体" w:cs="仿宋_GB2312"/>
          <w:b/>
          <w:bCs/>
          <w:color w:val="auto"/>
          <w:highlight w:val="none"/>
          <w:lang w:val="zh-CN"/>
        </w:rPr>
      </w:pPr>
    </w:p>
    <w:p w14:paraId="5B922415">
      <w:pPr>
        <w:spacing w:line="360" w:lineRule="auto"/>
        <w:jc w:val="center"/>
        <w:rPr>
          <w:rFonts w:ascii="宋体" w:hAnsi="宋体"/>
          <w:b/>
          <w:color w:val="auto"/>
          <w:sz w:val="28"/>
          <w:szCs w:val="28"/>
          <w:highlight w:val="none"/>
        </w:rPr>
        <w:sectPr>
          <w:headerReference r:id="rId7" w:type="first"/>
          <w:footerReference r:id="rId9" w:type="first"/>
          <w:footerReference r:id="rId8" w:type="default"/>
          <w:pgSz w:w="11906" w:h="16838"/>
          <w:pgMar w:top="935" w:right="1644" w:bottom="567" w:left="1260" w:header="851" w:footer="564" w:gutter="0"/>
          <w:pgNumType w:start="1"/>
          <w:cols w:space="720" w:num="1"/>
          <w:titlePg/>
          <w:docGrid w:type="linesAndChars" w:linePitch="312" w:charSpace="0"/>
        </w:sectPr>
      </w:pPr>
      <w:r>
        <w:rPr>
          <w:rFonts w:hint="eastAsia" w:ascii="宋体" w:hAnsi="宋体"/>
          <w:b/>
          <w:color w:val="auto"/>
          <w:sz w:val="28"/>
          <w:szCs w:val="28"/>
          <w:highlight w:val="none"/>
        </w:rPr>
        <w:t xml:space="preserve"> </w:t>
      </w:r>
    </w:p>
    <w:p w14:paraId="6B7CAECC">
      <w:pPr>
        <w:spacing w:line="360" w:lineRule="auto"/>
        <w:jc w:val="center"/>
        <w:rPr>
          <w:rFonts w:ascii="宋体" w:hAnsi="宋体"/>
          <w:b/>
          <w:color w:val="auto"/>
          <w:sz w:val="28"/>
          <w:highlight w:val="none"/>
        </w:rPr>
      </w:pPr>
      <w:r>
        <w:rPr>
          <w:rFonts w:hint="eastAsia" w:ascii="宋体" w:hAnsi="宋体"/>
          <w:b/>
          <w:color w:val="auto"/>
          <w:sz w:val="28"/>
          <w:szCs w:val="28"/>
          <w:highlight w:val="none"/>
        </w:rPr>
        <w:t>目   录</w:t>
      </w:r>
    </w:p>
    <w:p w14:paraId="44A90E82">
      <w:pPr>
        <w:pStyle w:val="27"/>
        <w:tabs>
          <w:tab w:val="clear" w:pos="9170"/>
        </w:tabs>
        <w:spacing w:line="48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TOC \o "1-2" \h \z \u </w:instrText>
      </w:r>
      <w:r>
        <w:rPr>
          <w:color w:val="auto"/>
          <w:sz w:val="28"/>
          <w:szCs w:val="28"/>
          <w:highlight w:val="none"/>
        </w:rPr>
        <w:fldChar w:fldCharType="separate"/>
      </w:r>
    </w:p>
    <w:p w14:paraId="35B58C29">
      <w:pPr>
        <w:pStyle w:val="22"/>
        <w:tabs>
          <w:tab w:val="clear" w:pos="9180"/>
        </w:tabs>
        <w:spacing w:line="480" w:lineRule="auto"/>
        <w:rPr>
          <w:rFonts w:hint="eastAsia" w:eastAsia="宋体"/>
          <w:color w:val="auto"/>
          <w:sz w:val="28"/>
          <w:szCs w:val="28"/>
          <w:highlight w:val="none"/>
          <w:lang w:eastAsia="zh-CN"/>
        </w:rPr>
      </w:pPr>
      <w:r>
        <w:rPr>
          <w:color w:val="auto"/>
          <w:highlight w:val="none"/>
        </w:rPr>
        <w:fldChar w:fldCharType="begin"/>
      </w:r>
      <w:r>
        <w:rPr>
          <w:color w:val="auto"/>
          <w:highlight w:val="none"/>
        </w:rPr>
        <w:instrText xml:space="preserve"> HYPERLINK \l "_Toc2587" </w:instrText>
      </w:r>
      <w:r>
        <w:rPr>
          <w:color w:val="auto"/>
          <w:highlight w:val="none"/>
        </w:rPr>
        <w:fldChar w:fldCharType="separate"/>
      </w:r>
      <w:r>
        <w:rPr>
          <w:rFonts w:hint="eastAsia"/>
          <w:color w:val="auto"/>
          <w:sz w:val="28"/>
          <w:szCs w:val="28"/>
          <w:highlight w:val="none"/>
        </w:rPr>
        <w:t>第一部分  磋商须知</w:t>
      </w:r>
      <w:r>
        <w:rPr>
          <w:rFonts w:hint="eastAsia"/>
          <w:color w:val="auto"/>
          <w:sz w:val="28"/>
          <w:szCs w:val="28"/>
          <w:highlight w:val="none"/>
          <w:lang w:val="en-US" w:eastAsia="zh-CN"/>
        </w:rPr>
        <w:t>........................................</w:t>
      </w:r>
      <w:r>
        <w:rPr>
          <w:color w:val="auto"/>
          <w:sz w:val="28"/>
          <w:szCs w:val="28"/>
          <w:highlight w:val="none"/>
        </w:rPr>
        <w:fldChar w:fldCharType="end"/>
      </w:r>
      <w:r>
        <w:rPr>
          <w:rFonts w:hint="eastAsia"/>
          <w:color w:val="auto"/>
          <w:sz w:val="28"/>
          <w:szCs w:val="28"/>
          <w:highlight w:val="none"/>
          <w:lang w:val="en-US" w:eastAsia="zh-CN"/>
        </w:rPr>
        <w:t>6</w:t>
      </w:r>
    </w:p>
    <w:p w14:paraId="6A03C27B">
      <w:pPr>
        <w:pStyle w:val="22"/>
        <w:tabs>
          <w:tab w:val="clear" w:pos="9180"/>
        </w:tabs>
        <w:spacing w:line="480" w:lineRule="auto"/>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"_Toc20728" </w:instrText>
      </w:r>
      <w:r>
        <w:rPr>
          <w:color w:val="auto"/>
          <w:highlight w:val="none"/>
        </w:rPr>
        <w:fldChar w:fldCharType="separate"/>
      </w:r>
      <w:r>
        <w:rPr>
          <w:rFonts w:hint="eastAsia"/>
          <w:color w:val="auto"/>
          <w:sz w:val="28"/>
          <w:szCs w:val="28"/>
          <w:highlight w:val="none"/>
        </w:rPr>
        <w:t>第二部分  用户需求</w:t>
      </w:r>
      <w:r>
        <w:rPr>
          <w:rFonts w:hint="eastAsia"/>
          <w:color w:val="auto"/>
          <w:sz w:val="28"/>
          <w:szCs w:val="28"/>
          <w:highlight w:val="none"/>
          <w:lang w:val="en-US" w:eastAsia="zh-CN"/>
        </w:rPr>
        <w:t>.......................................</w:t>
      </w:r>
      <w:r>
        <w:rPr>
          <w:color w:val="auto"/>
          <w:sz w:val="28"/>
          <w:szCs w:val="28"/>
          <w:highlight w:val="none"/>
        </w:rPr>
        <w:fldChar w:fldCharType="end"/>
      </w:r>
      <w:r>
        <w:rPr>
          <w:rFonts w:hint="eastAsia"/>
          <w:color w:val="auto"/>
          <w:sz w:val="28"/>
          <w:szCs w:val="28"/>
          <w:highlight w:val="none"/>
          <w:lang w:val="en-US" w:eastAsia="zh-CN"/>
        </w:rPr>
        <w:t>19</w:t>
      </w:r>
    </w:p>
    <w:p w14:paraId="1A123A19">
      <w:pPr>
        <w:pStyle w:val="22"/>
        <w:tabs>
          <w:tab w:val="clear" w:pos="9180"/>
        </w:tabs>
        <w:spacing w:line="480" w:lineRule="auto"/>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"_Toc20881" </w:instrText>
      </w:r>
      <w:r>
        <w:rPr>
          <w:color w:val="auto"/>
          <w:highlight w:val="none"/>
        </w:rPr>
        <w:fldChar w:fldCharType="separate"/>
      </w:r>
      <w:r>
        <w:rPr>
          <w:rFonts w:hint="eastAsia"/>
          <w:color w:val="auto"/>
          <w:sz w:val="28"/>
          <w:szCs w:val="28"/>
          <w:highlight w:val="none"/>
        </w:rPr>
        <w:t>第三部分  合同草案</w:t>
      </w:r>
      <w:r>
        <w:rPr>
          <w:rFonts w:hint="eastAsia"/>
          <w:color w:val="auto"/>
          <w:sz w:val="28"/>
          <w:szCs w:val="28"/>
          <w:highlight w:val="none"/>
          <w:lang w:val="en-US" w:eastAsia="zh-CN"/>
        </w:rPr>
        <w:t>.......................................</w:t>
      </w:r>
      <w:r>
        <w:rPr>
          <w:color w:val="auto"/>
          <w:sz w:val="28"/>
          <w:szCs w:val="28"/>
          <w:highlight w:val="none"/>
        </w:rPr>
        <w:fldChar w:fldCharType="end"/>
      </w:r>
      <w:r>
        <w:rPr>
          <w:rFonts w:hint="eastAsia"/>
          <w:color w:val="auto"/>
          <w:sz w:val="28"/>
          <w:szCs w:val="28"/>
          <w:highlight w:val="none"/>
          <w:lang w:val="en-US" w:eastAsia="zh-CN"/>
        </w:rPr>
        <w:t>24</w:t>
      </w:r>
    </w:p>
    <w:p w14:paraId="3D56E25E">
      <w:pPr>
        <w:pStyle w:val="22"/>
        <w:tabs>
          <w:tab w:val="clear" w:pos="9180"/>
        </w:tabs>
        <w:spacing w:line="480" w:lineRule="auto"/>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"_Toc18845" </w:instrText>
      </w:r>
      <w:r>
        <w:rPr>
          <w:color w:val="auto"/>
          <w:highlight w:val="none"/>
        </w:rPr>
        <w:fldChar w:fldCharType="separate"/>
      </w:r>
      <w:r>
        <w:rPr>
          <w:rFonts w:hint="eastAsia"/>
          <w:color w:val="auto"/>
          <w:sz w:val="28"/>
          <w:szCs w:val="28"/>
          <w:highlight w:val="none"/>
        </w:rPr>
        <w:t>第四部分  评审办法</w:t>
      </w:r>
      <w:r>
        <w:rPr>
          <w:rFonts w:hint="eastAsia"/>
          <w:color w:val="auto"/>
          <w:sz w:val="28"/>
          <w:szCs w:val="28"/>
          <w:highlight w:val="none"/>
          <w:lang w:val="en-US" w:eastAsia="zh-CN"/>
        </w:rPr>
        <w:t>.......................................</w:t>
      </w:r>
      <w:r>
        <w:rPr>
          <w:color w:val="auto"/>
          <w:sz w:val="28"/>
          <w:szCs w:val="28"/>
          <w:highlight w:val="none"/>
        </w:rPr>
        <w:fldChar w:fldCharType="end"/>
      </w:r>
      <w:r>
        <w:rPr>
          <w:rFonts w:hint="eastAsia"/>
          <w:color w:val="auto"/>
          <w:sz w:val="28"/>
          <w:szCs w:val="28"/>
          <w:highlight w:val="none"/>
          <w:lang w:val="en-US" w:eastAsia="zh-CN"/>
        </w:rPr>
        <w:t>36</w:t>
      </w:r>
    </w:p>
    <w:p w14:paraId="6E8DCC7F">
      <w:pPr>
        <w:pStyle w:val="22"/>
        <w:tabs>
          <w:tab w:val="clear" w:pos="9180"/>
        </w:tabs>
        <w:spacing w:line="480" w:lineRule="auto"/>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"_Toc15686" </w:instrText>
      </w:r>
      <w:r>
        <w:rPr>
          <w:color w:val="auto"/>
          <w:highlight w:val="none"/>
        </w:rPr>
        <w:fldChar w:fldCharType="separate"/>
      </w:r>
      <w:r>
        <w:rPr>
          <w:rFonts w:hint="eastAsia"/>
          <w:color w:val="auto"/>
          <w:sz w:val="28"/>
          <w:szCs w:val="28"/>
          <w:highlight w:val="none"/>
        </w:rPr>
        <w:t>第五部分  响应文件格式</w:t>
      </w:r>
      <w:r>
        <w:rPr>
          <w:rFonts w:hint="eastAsia"/>
          <w:color w:val="auto"/>
          <w:sz w:val="28"/>
          <w:szCs w:val="28"/>
          <w:highlight w:val="none"/>
          <w:lang w:val="en-US" w:eastAsia="zh-CN"/>
        </w:rPr>
        <w:t>...................................</w:t>
      </w:r>
      <w:r>
        <w:rPr>
          <w:color w:val="auto"/>
          <w:sz w:val="28"/>
          <w:szCs w:val="28"/>
          <w:highlight w:val="none"/>
        </w:rPr>
        <w:fldChar w:fldCharType="end"/>
      </w:r>
      <w:r>
        <w:rPr>
          <w:rFonts w:hint="eastAsia"/>
          <w:color w:val="auto"/>
          <w:sz w:val="28"/>
          <w:szCs w:val="28"/>
          <w:highlight w:val="none"/>
          <w:lang w:val="en-US" w:eastAsia="zh-CN"/>
        </w:rPr>
        <w:t>47</w:t>
      </w:r>
    </w:p>
    <w:p w14:paraId="138C94A6">
      <w:pPr>
        <w:pStyle w:val="2"/>
        <w:spacing w:line="480" w:lineRule="auto"/>
        <w:rPr>
          <w:rFonts w:ascii="宋体" w:hAnsi="宋体" w:cs="Arial"/>
          <w:b w:val="0"/>
          <w:color w:val="auto"/>
          <w:sz w:val="28"/>
          <w:szCs w:val="28"/>
          <w:highlight w:val="none"/>
          <w:lang w:val="en-US"/>
        </w:rPr>
        <w:sectPr>
          <w:headerReference r:id="rId10" w:type="first"/>
          <w:footerReference r:id="rId12" w:type="first"/>
          <w:footerReference r:id="rId11" w:type="default"/>
          <w:pgSz w:w="11906" w:h="16838"/>
          <w:pgMar w:top="935" w:right="1644" w:bottom="567" w:left="1260" w:header="851" w:footer="564" w:gutter="0"/>
          <w:cols w:space="720" w:num="1"/>
          <w:titlePg/>
          <w:docGrid w:type="linesAndChars" w:linePitch="312" w:charSpace="0"/>
        </w:sectPr>
      </w:pPr>
      <w:r>
        <w:rPr>
          <w:rFonts w:ascii="宋体" w:hAnsi="宋体" w:cs="Arial"/>
          <w:color w:val="auto"/>
          <w:sz w:val="28"/>
          <w:szCs w:val="28"/>
          <w:highlight w:val="none"/>
          <w:lang w:val="en-US"/>
        </w:rPr>
        <w:fldChar w:fldCharType="end"/>
      </w:r>
      <w:bookmarkEnd w:id="0"/>
      <w:bookmarkStart w:id="2" w:name="_Toc67046873"/>
      <w:bookmarkStart w:id="3" w:name="_Toc56911021"/>
      <w:bookmarkStart w:id="4" w:name="_Toc486847011"/>
    </w:p>
    <w:p w14:paraId="485DD8A7">
      <w:pPr>
        <w:pStyle w:val="2"/>
        <w:spacing w:before="0" w:after="0" w:line="240" w:lineRule="auto"/>
        <w:rPr>
          <w:rFonts w:hint="eastAsia" w:ascii="宋体" w:hAnsi="宋体" w:eastAsia="宋体" w:cs="宋体"/>
          <w:color w:val="auto"/>
          <w:kern w:val="0"/>
          <w:sz w:val="28"/>
          <w:szCs w:val="28"/>
          <w:highlight w:val="none"/>
          <w:lang w:val="en-US" w:eastAsia="zh-CN"/>
        </w:rPr>
      </w:pPr>
      <w:bookmarkStart w:id="5" w:name="_Hlk141433237"/>
      <w:r>
        <w:rPr>
          <w:rFonts w:hint="eastAsia" w:ascii="宋体" w:hAnsi="宋体" w:cs="仿宋"/>
          <w:color w:val="auto"/>
          <w:sz w:val="28"/>
          <w:szCs w:val="18"/>
          <w:highlight w:val="none"/>
          <w:lang w:val="en-US" w:eastAsia="zh-CN"/>
        </w:rPr>
        <w:t>2025年万顷沙镇生活垃圾分类督导服务项目</w:t>
      </w:r>
    </w:p>
    <w:p w14:paraId="680E124C">
      <w:pPr>
        <w:pStyle w:val="2"/>
        <w:spacing w:before="0" w:after="0" w:line="240" w:lineRule="auto"/>
        <w:rPr>
          <w:rFonts w:ascii="宋体" w:hAnsi="宋体"/>
          <w:bCs/>
          <w:color w:val="auto"/>
          <w:sz w:val="28"/>
          <w:szCs w:val="28"/>
          <w:highlight w:val="none"/>
          <w:lang w:val="en-US"/>
        </w:rPr>
      </w:pPr>
      <w:bookmarkStart w:id="6" w:name="_Toc22358"/>
      <w:r>
        <w:rPr>
          <w:rFonts w:hint="eastAsia" w:ascii="宋体" w:hAnsi="宋体"/>
          <w:bCs/>
          <w:color w:val="auto"/>
          <w:sz w:val="28"/>
          <w:szCs w:val="28"/>
          <w:highlight w:val="none"/>
          <w:lang w:val="en-US"/>
        </w:rPr>
        <w:t>竞争性磋商公告</w:t>
      </w:r>
      <w:bookmarkEnd w:id="2"/>
      <w:bookmarkEnd w:id="6"/>
    </w:p>
    <w:p w14:paraId="571A935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2025年万顷沙镇生活垃圾分类督导服务项目</w:t>
      </w:r>
      <w:r>
        <w:rPr>
          <w:rFonts w:hint="eastAsia" w:ascii="宋体" w:hAnsi="宋体"/>
          <w:color w:val="auto"/>
          <w:szCs w:val="21"/>
          <w:highlight w:val="none"/>
        </w:rPr>
        <w:t>采购项目的潜在供应商应在</w:t>
      </w:r>
      <w:r>
        <w:rPr>
          <w:rFonts w:hint="eastAsia" w:ascii="宋体" w:hAnsi="宋体"/>
          <w:color w:val="auto"/>
          <w:szCs w:val="21"/>
          <w:highlight w:val="none"/>
          <w:u w:val="single"/>
          <w:lang w:eastAsia="zh-CN"/>
        </w:rPr>
        <w:t>广州市白云区鸦岗大道鸦岗创意园D栋三层</w:t>
      </w:r>
      <w:r>
        <w:rPr>
          <w:rFonts w:hint="eastAsia" w:ascii="宋体" w:hAnsi="宋体"/>
          <w:color w:val="auto"/>
          <w:szCs w:val="21"/>
          <w:highlight w:val="none"/>
        </w:rPr>
        <w:t>获取采购文件，并于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4</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8</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29 </w:t>
      </w:r>
      <w:r>
        <w:rPr>
          <w:rFonts w:hint="eastAsia" w:ascii="宋体" w:hAnsi="宋体"/>
          <w:color w:val="auto"/>
          <w:szCs w:val="21"/>
          <w:highlight w:val="none"/>
        </w:rPr>
        <w:t>日</w:t>
      </w:r>
      <w:r>
        <w:rPr>
          <w:rFonts w:hint="eastAsia" w:ascii="宋体" w:hAnsi="宋体"/>
          <w:color w:val="auto"/>
          <w:szCs w:val="21"/>
          <w:highlight w:val="none"/>
          <w:u w:val="single"/>
        </w:rPr>
        <w:t>14</w:t>
      </w:r>
      <w:r>
        <w:rPr>
          <w:rFonts w:hint="eastAsia" w:ascii="宋体" w:hAnsi="宋体"/>
          <w:color w:val="auto"/>
          <w:szCs w:val="21"/>
          <w:highlight w:val="none"/>
        </w:rPr>
        <w:t>点</w:t>
      </w:r>
      <w:r>
        <w:rPr>
          <w:rFonts w:hint="eastAsia" w:ascii="宋体" w:hAnsi="宋体"/>
          <w:color w:val="auto"/>
          <w:szCs w:val="21"/>
          <w:highlight w:val="none"/>
          <w:u w:val="single"/>
        </w:rPr>
        <w:t>30</w:t>
      </w:r>
      <w:r>
        <w:rPr>
          <w:rFonts w:hint="eastAsia" w:ascii="宋体" w:hAnsi="宋体"/>
          <w:color w:val="auto"/>
          <w:szCs w:val="21"/>
          <w:highlight w:val="none"/>
        </w:rPr>
        <w:t>分</w:t>
      </w:r>
      <w:r>
        <w:rPr>
          <w:rFonts w:hint="eastAsia" w:ascii="宋体" w:hAnsi="宋体"/>
          <w:bCs/>
          <w:color w:val="auto"/>
          <w:szCs w:val="21"/>
          <w:highlight w:val="none"/>
        </w:rPr>
        <w:t>（北京时间）前提交申请</w:t>
      </w:r>
      <w:r>
        <w:rPr>
          <w:rFonts w:ascii="宋体" w:hAnsi="宋体"/>
          <w:bCs/>
          <w:color w:val="auto"/>
          <w:szCs w:val="21"/>
          <w:highlight w:val="none"/>
        </w:rPr>
        <w:t>文件</w:t>
      </w:r>
      <w:r>
        <w:rPr>
          <w:rFonts w:hint="eastAsia" w:ascii="宋体" w:hAnsi="宋体"/>
          <w:color w:val="auto"/>
          <w:szCs w:val="21"/>
          <w:highlight w:val="none"/>
        </w:rPr>
        <w:t>。</w:t>
      </w:r>
    </w:p>
    <w:p w14:paraId="71D0432A">
      <w:pPr>
        <w:pStyle w:val="68"/>
        <w:snapToGrid w:val="0"/>
        <w:spacing w:line="440" w:lineRule="exact"/>
        <w:ind w:firstLine="422"/>
        <w:outlineLvl w:val="1"/>
        <w:rPr>
          <w:rFonts w:ascii="宋体" w:hAnsi="宋体"/>
          <w:color w:val="auto"/>
          <w:szCs w:val="21"/>
          <w:highlight w:val="none"/>
        </w:rPr>
      </w:pPr>
      <w:bookmarkStart w:id="7" w:name="_Toc28058"/>
      <w:bookmarkStart w:id="8" w:name="_Toc35393798"/>
      <w:bookmarkStart w:id="9" w:name="_Toc28359012"/>
      <w:bookmarkStart w:id="10" w:name="_Toc35393629"/>
      <w:bookmarkStart w:id="11" w:name="_Toc28359089"/>
      <w:r>
        <w:rPr>
          <w:rFonts w:hint="eastAsia" w:ascii="宋体" w:hAnsi="宋体"/>
          <w:b/>
          <w:color w:val="auto"/>
          <w:szCs w:val="21"/>
          <w:highlight w:val="none"/>
        </w:rPr>
        <w:t>一、项目基本情况</w:t>
      </w:r>
      <w:bookmarkEnd w:id="7"/>
      <w:bookmarkEnd w:id="8"/>
      <w:bookmarkEnd w:id="9"/>
      <w:bookmarkEnd w:id="10"/>
      <w:bookmarkEnd w:id="11"/>
    </w:p>
    <w:p w14:paraId="52BC3B7E">
      <w:pPr>
        <w:pStyle w:val="68"/>
        <w:snapToGrid w:val="0"/>
        <w:spacing w:line="440" w:lineRule="exact"/>
        <w:outlineLvl w:val="1"/>
        <w:rPr>
          <w:rFonts w:hint="eastAsia" w:ascii="宋体" w:hAnsi="宋体" w:eastAsia="宋体"/>
          <w:color w:val="auto"/>
          <w:szCs w:val="21"/>
          <w:highlight w:val="none"/>
          <w:lang w:eastAsia="zh-CN"/>
        </w:rPr>
      </w:pPr>
      <w:bookmarkStart w:id="12" w:name="_Toc25370"/>
      <w:r>
        <w:rPr>
          <w:rFonts w:hint="eastAsia" w:ascii="宋体" w:hAnsi="宋体"/>
          <w:color w:val="auto"/>
          <w:szCs w:val="21"/>
          <w:highlight w:val="none"/>
        </w:rPr>
        <w:t>项目编号：</w:t>
      </w:r>
      <w:bookmarkEnd w:id="12"/>
      <w:r>
        <w:rPr>
          <w:rFonts w:hint="eastAsia" w:ascii="宋体" w:hAnsi="宋体"/>
          <w:color w:val="auto"/>
          <w:szCs w:val="21"/>
          <w:highlight w:val="none"/>
          <w:lang w:eastAsia="zh-CN"/>
        </w:rPr>
        <w:t> GZZT2024CSCG-024</w:t>
      </w:r>
    </w:p>
    <w:p w14:paraId="6049BFA1">
      <w:pPr>
        <w:pStyle w:val="68"/>
        <w:snapToGrid w:val="0"/>
        <w:spacing w:line="440" w:lineRule="exact"/>
        <w:outlineLvl w:val="1"/>
        <w:rPr>
          <w:rFonts w:hint="eastAsia" w:ascii="宋体" w:hAnsi="宋体" w:eastAsia="宋体" w:cs="仿宋"/>
          <w:color w:val="auto"/>
          <w:szCs w:val="21"/>
          <w:highlight w:val="none"/>
          <w:lang w:eastAsia="zh-CN"/>
        </w:rPr>
      </w:pPr>
      <w:bookmarkStart w:id="13" w:name="_Toc25893"/>
      <w:r>
        <w:rPr>
          <w:rFonts w:hint="eastAsia" w:ascii="宋体" w:hAnsi="宋体"/>
          <w:color w:val="auto"/>
          <w:szCs w:val="21"/>
          <w:highlight w:val="none"/>
        </w:rPr>
        <w:t>项目名称：</w:t>
      </w:r>
      <w:bookmarkEnd w:id="13"/>
      <w:r>
        <w:rPr>
          <w:rFonts w:hint="eastAsia" w:ascii="宋体" w:hAnsi="宋体"/>
          <w:color w:val="auto"/>
          <w:szCs w:val="21"/>
          <w:highlight w:val="none"/>
          <w:lang w:eastAsia="zh-CN"/>
        </w:rPr>
        <w:t>2025年万顷沙镇生活垃圾分类督导服务项目</w:t>
      </w:r>
    </w:p>
    <w:p w14:paraId="7C573F73">
      <w:pPr>
        <w:pStyle w:val="68"/>
        <w:snapToGrid w:val="0"/>
        <w:spacing w:line="440" w:lineRule="exact"/>
        <w:outlineLvl w:val="1"/>
        <w:rPr>
          <w:rFonts w:ascii="宋体" w:hAnsi="宋体"/>
          <w:color w:val="auto"/>
          <w:szCs w:val="21"/>
          <w:highlight w:val="none"/>
        </w:rPr>
      </w:pPr>
      <w:bookmarkStart w:id="14" w:name="_Toc21775"/>
      <w:r>
        <w:rPr>
          <w:rFonts w:hint="eastAsia" w:ascii="宋体" w:hAnsi="宋体"/>
          <w:color w:val="auto"/>
          <w:szCs w:val="21"/>
          <w:highlight w:val="none"/>
        </w:rPr>
        <w:t>采购方式：竞争性磋商</w:t>
      </w:r>
      <w:bookmarkEnd w:id="14"/>
    </w:p>
    <w:p w14:paraId="67F63AD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预算金额：人民币</w:t>
      </w:r>
      <w:r>
        <w:rPr>
          <w:rFonts w:hint="eastAsia" w:ascii="宋体" w:hAnsi="宋体"/>
          <w:color w:val="auto"/>
          <w:szCs w:val="21"/>
          <w:highlight w:val="none"/>
          <w:lang w:eastAsia="zh-CN"/>
        </w:rPr>
        <w:t>891432.00</w:t>
      </w:r>
      <w:r>
        <w:rPr>
          <w:rFonts w:hint="eastAsia" w:ascii="宋体" w:hAnsi="宋体"/>
          <w:color w:val="auto"/>
          <w:szCs w:val="21"/>
          <w:highlight w:val="none"/>
        </w:rPr>
        <w:t>元</w:t>
      </w:r>
    </w:p>
    <w:p w14:paraId="07E25C5F">
      <w:pPr>
        <w:pStyle w:val="13"/>
        <w:spacing w:line="440" w:lineRule="exact"/>
        <w:ind w:firstLine="420" w:firstLineChars="200"/>
        <w:rPr>
          <w:rFonts w:ascii="宋体" w:hAnsi="宋体"/>
          <w:color w:val="auto"/>
          <w:sz w:val="21"/>
          <w:szCs w:val="21"/>
          <w:highlight w:val="none"/>
          <w:lang w:val="en-US"/>
        </w:rPr>
      </w:pPr>
      <w:r>
        <w:rPr>
          <w:rFonts w:hint="eastAsia" w:ascii="宋体" w:hAnsi="宋体"/>
          <w:color w:val="auto"/>
          <w:sz w:val="21"/>
          <w:szCs w:val="21"/>
          <w:highlight w:val="none"/>
          <w:lang w:val="en-US"/>
        </w:rPr>
        <w:t>最高限价：人民币</w:t>
      </w:r>
      <w:r>
        <w:rPr>
          <w:rFonts w:hint="eastAsia" w:ascii="宋体" w:hAnsi="宋体"/>
          <w:color w:val="auto"/>
          <w:sz w:val="21"/>
          <w:szCs w:val="21"/>
          <w:highlight w:val="none"/>
          <w:lang w:val="en-US" w:eastAsia="zh-CN"/>
        </w:rPr>
        <w:t>891432.00</w:t>
      </w:r>
      <w:r>
        <w:rPr>
          <w:rFonts w:hint="eastAsia" w:ascii="宋体" w:hAnsi="宋体"/>
          <w:color w:val="auto"/>
          <w:sz w:val="21"/>
          <w:szCs w:val="21"/>
          <w:highlight w:val="none"/>
          <w:lang w:val="en-US"/>
        </w:rPr>
        <w:t>元</w:t>
      </w:r>
    </w:p>
    <w:p w14:paraId="0331AC82">
      <w:pPr>
        <w:spacing w:line="440" w:lineRule="exact"/>
        <w:ind w:left="420" w:leftChars="200"/>
        <w:rPr>
          <w:rFonts w:ascii="宋体" w:hAnsi="宋体"/>
          <w:color w:val="auto"/>
          <w:szCs w:val="21"/>
          <w:highlight w:val="none"/>
        </w:rPr>
      </w:pPr>
      <w:r>
        <w:rPr>
          <w:rFonts w:hint="eastAsia" w:ascii="宋体" w:hAnsi="宋体"/>
          <w:color w:val="auto"/>
          <w:szCs w:val="21"/>
          <w:highlight w:val="none"/>
        </w:rPr>
        <w:t>采购需求：</w:t>
      </w:r>
    </w:p>
    <w:p w14:paraId="0FD0CD1D">
      <w:pPr>
        <w:spacing w:line="440" w:lineRule="exact"/>
        <w:ind w:left="420" w:leftChars="200"/>
        <w:rPr>
          <w:rFonts w:ascii="宋体" w:hAnsi="宋体"/>
          <w:color w:val="auto"/>
          <w:szCs w:val="21"/>
          <w:highlight w:val="none"/>
        </w:rPr>
      </w:pPr>
      <w:r>
        <w:rPr>
          <w:rFonts w:hint="eastAsia" w:ascii="宋体" w:hAnsi="宋体"/>
          <w:color w:val="auto"/>
          <w:szCs w:val="21"/>
          <w:highlight w:val="none"/>
        </w:rPr>
        <w:t>（一）标的的名称：</w:t>
      </w:r>
      <w:r>
        <w:rPr>
          <w:rFonts w:hint="eastAsia" w:ascii="宋体" w:hAnsi="宋体"/>
          <w:color w:val="auto"/>
          <w:szCs w:val="21"/>
          <w:highlight w:val="none"/>
          <w:lang w:eastAsia="zh-CN"/>
        </w:rPr>
        <w:t>2025年万顷沙镇生活垃圾分类督导服务项目</w:t>
      </w:r>
      <w:r>
        <w:rPr>
          <w:rFonts w:hint="eastAsia" w:ascii="宋体" w:hAnsi="宋体"/>
          <w:color w:val="auto"/>
          <w:szCs w:val="21"/>
          <w:highlight w:val="none"/>
        </w:rPr>
        <w:t>。</w:t>
      </w:r>
    </w:p>
    <w:p w14:paraId="59F22AF8">
      <w:pPr>
        <w:spacing w:line="440" w:lineRule="exact"/>
        <w:ind w:left="420" w:leftChars="200"/>
        <w:rPr>
          <w:rFonts w:ascii="宋体" w:hAnsi="宋体"/>
          <w:color w:val="auto"/>
          <w:szCs w:val="21"/>
          <w:highlight w:val="none"/>
        </w:rPr>
      </w:pPr>
      <w:r>
        <w:rPr>
          <w:rFonts w:hint="eastAsia" w:ascii="宋体" w:hAnsi="宋体"/>
          <w:color w:val="auto"/>
          <w:szCs w:val="21"/>
          <w:highlight w:val="none"/>
        </w:rPr>
        <w:t>（二）数量：1项。</w:t>
      </w:r>
    </w:p>
    <w:p w14:paraId="6729F819">
      <w:pPr>
        <w:tabs>
          <w:tab w:val="left" w:pos="663"/>
        </w:tabs>
        <w:spacing w:line="360" w:lineRule="auto"/>
        <w:ind w:firstLine="367" w:firstLineChars="175"/>
        <w:rPr>
          <w:rFonts w:ascii="宋体" w:hAnsi="宋体"/>
          <w:color w:val="auto"/>
          <w:szCs w:val="21"/>
          <w:highlight w:val="none"/>
          <w:lang w:val="zh-CN"/>
        </w:rPr>
      </w:pPr>
      <w:r>
        <w:rPr>
          <w:rFonts w:hint="eastAsia" w:ascii="宋体" w:hAnsi="宋体"/>
          <w:color w:val="auto"/>
          <w:szCs w:val="21"/>
          <w:highlight w:val="none"/>
        </w:rPr>
        <w:t>（三）</w:t>
      </w:r>
      <w:r>
        <w:rPr>
          <w:rFonts w:hint="eastAsia" w:ascii="宋体" w:hAnsi="宋体"/>
          <w:color w:val="auto"/>
          <w:szCs w:val="21"/>
          <w:highlight w:val="none"/>
          <w:lang w:val="zh-CN"/>
        </w:rPr>
        <w:t>简要技术需求或服务要求：</w:t>
      </w:r>
    </w:p>
    <w:p w14:paraId="5E207933">
      <w:pPr>
        <w:spacing w:line="440" w:lineRule="exact"/>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1、根据《</w:t>
      </w:r>
      <w:r>
        <w:rPr>
          <w:rFonts w:hint="eastAsia" w:ascii="宋体" w:hAnsi="宋体"/>
          <w:color w:val="auto"/>
          <w:szCs w:val="21"/>
          <w:highlight w:val="none"/>
          <w:lang w:val="zh-CN" w:eastAsia="zh-CN"/>
        </w:rPr>
        <w:t>广州市南沙区生活垃圾分类管理联席会议办公室关于印发南沙区深化生活垃圾分类处理三年行动计划（2023-2025年）的通知</w:t>
      </w:r>
      <w:r>
        <w:rPr>
          <w:rFonts w:hint="eastAsia" w:ascii="宋体" w:hAnsi="宋体"/>
          <w:color w:val="auto"/>
          <w:szCs w:val="21"/>
          <w:highlight w:val="none"/>
          <w:lang w:val="zh-CN"/>
        </w:rPr>
        <w:t>》（</w:t>
      </w:r>
      <w:r>
        <w:rPr>
          <w:rFonts w:hint="eastAsia" w:ascii="宋体" w:hAnsi="宋体"/>
          <w:color w:val="auto"/>
          <w:szCs w:val="21"/>
          <w:highlight w:val="none"/>
          <w:lang w:val="zh-CN" w:eastAsia="zh-CN"/>
        </w:rPr>
        <w:t>穗南城管办〔2023〕54号）的文件精神</w:t>
      </w:r>
      <w:r>
        <w:rPr>
          <w:rFonts w:hint="eastAsia" w:ascii="宋体" w:hAnsi="宋体"/>
          <w:color w:val="auto"/>
          <w:szCs w:val="21"/>
          <w:highlight w:val="none"/>
          <w:lang w:val="zh-CN"/>
        </w:rPr>
        <w:t>，全面落实垃圾分类“四级考核”制度，迅速组建镇街、村居两级检查机制，同时强化万顷沙镇垃圾分类考核评估团队，持续对万顷沙镇辖区内农村（</w:t>
      </w:r>
      <w:r>
        <w:rPr>
          <w:rFonts w:hint="eastAsia" w:ascii="宋体" w:hAnsi="宋体"/>
          <w:color w:val="auto"/>
          <w:szCs w:val="21"/>
          <w:highlight w:val="none"/>
          <w:lang w:val="zh-CN" w:eastAsia="zh-CN"/>
        </w:rPr>
        <w:t>典型村、</w:t>
      </w:r>
      <w:r>
        <w:rPr>
          <w:rFonts w:hint="eastAsia" w:ascii="宋体" w:hAnsi="宋体"/>
          <w:color w:val="auto"/>
          <w:szCs w:val="21"/>
          <w:highlight w:val="none"/>
          <w:lang w:val="zh-CN"/>
        </w:rPr>
        <w:t>示范样板村、行政村）</w:t>
      </w:r>
      <w:r>
        <w:rPr>
          <w:rFonts w:hint="eastAsia" w:ascii="宋体" w:hAnsi="宋体"/>
          <w:color w:val="auto"/>
          <w:szCs w:val="21"/>
          <w:highlight w:val="none"/>
          <w:lang w:val="zh-CN" w:eastAsia="zh-CN"/>
        </w:rPr>
        <w:t>、</w:t>
      </w:r>
      <w:r>
        <w:rPr>
          <w:rFonts w:hint="eastAsia" w:ascii="宋体" w:hAnsi="宋体"/>
          <w:color w:val="auto"/>
          <w:szCs w:val="21"/>
          <w:highlight w:val="none"/>
          <w:lang w:val="zh-CN"/>
        </w:rPr>
        <w:t>居住小区/社区</w:t>
      </w:r>
      <w:r>
        <w:rPr>
          <w:rFonts w:hint="eastAsia" w:ascii="宋体" w:hAnsi="宋体"/>
          <w:color w:val="auto"/>
          <w:szCs w:val="21"/>
          <w:highlight w:val="none"/>
          <w:lang w:val="zh-CN" w:eastAsia="zh-CN"/>
        </w:rPr>
        <w:t>、三类</w:t>
      </w:r>
      <w:r>
        <w:rPr>
          <w:rFonts w:hint="eastAsia" w:ascii="宋体" w:hAnsi="宋体"/>
          <w:color w:val="auto"/>
          <w:szCs w:val="21"/>
          <w:highlight w:val="none"/>
          <w:lang w:val="zh-CN"/>
        </w:rPr>
        <w:t>单位（机团单位、</w:t>
      </w:r>
      <w:r>
        <w:rPr>
          <w:rFonts w:hint="eastAsia" w:ascii="宋体" w:hAnsi="宋体"/>
          <w:color w:val="auto"/>
          <w:szCs w:val="21"/>
          <w:highlight w:val="none"/>
          <w:lang w:val="zh-CN" w:eastAsia="zh-CN"/>
        </w:rPr>
        <w:t>经营区域、公共场所</w:t>
      </w:r>
      <w:r>
        <w:rPr>
          <w:rFonts w:hint="eastAsia" w:ascii="宋体" w:hAnsi="宋体"/>
          <w:color w:val="auto"/>
          <w:szCs w:val="21"/>
          <w:highlight w:val="none"/>
          <w:lang w:val="zh-CN"/>
        </w:rPr>
        <w:t>）的生活垃圾分类工作情况进行评估。通过评估，客观公正评价推进生活垃圾分类成效，掌握实情，为推进全镇垃圾分类工作提供数据支撑和行政管理的参考意见。</w:t>
      </w:r>
      <w:r>
        <w:rPr>
          <w:rFonts w:hint="eastAsia" w:ascii="宋体" w:hAnsi="宋体"/>
          <w:color w:val="auto"/>
          <w:szCs w:val="21"/>
          <w:highlight w:val="none"/>
          <w:lang w:val="zh-CN" w:eastAsia="zh-CN"/>
        </w:rPr>
        <w:t>在全镇范围内定期组织开展各类生活垃圾分类宣传培训活动，全面提升</w:t>
      </w:r>
      <w:r>
        <w:rPr>
          <w:rFonts w:hint="eastAsia" w:ascii="宋体" w:hAnsi="宋体"/>
          <w:color w:val="auto"/>
          <w:szCs w:val="21"/>
          <w:highlight w:val="none"/>
          <w:lang w:val="en-US" w:eastAsia="zh-CN"/>
        </w:rPr>
        <w:t>万顷沙</w:t>
      </w:r>
      <w:r>
        <w:rPr>
          <w:rFonts w:hint="eastAsia" w:ascii="宋体" w:hAnsi="宋体"/>
          <w:color w:val="auto"/>
          <w:szCs w:val="21"/>
          <w:highlight w:val="none"/>
          <w:lang w:val="zh-CN" w:eastAsia="zh-CN"/>
        </w:rPr>
        <w:t>镇居民对生活垃圾分类的知晓率、参与率。</w:t>
      </w:r>
    </w:p>
    <w:p w14:paraId="298C6996">
      <w:pPr>
        <w:spacing w:line="440" w:lineRule="exact"/>
        <w:ind w:firstLine="420" w:firstLineChars="200"/>
        <w:rPr>
          <w:rFonts w:ascii="宋体" w:hAnsi="宋体"/>
          <w:color w:val="auto"/>
          <w:szCs w:val="21"/>
          <w:highlight w:val="none"/>
          <w:lang w:val="zh-CN"/>
        </w:rPr>
      </w:pPr>
      <w:r>
        <w:rPr>
          <w:rFonts w:hint="eastAsia" w:ascii="宋体" w:hAnsi="宋体"/>
          <w:color w:val="auto"/>
          <w:szCs w:val="21"/>
          <w:highlight w:val="none"/>
          <w:lang w:val="zh-CN"/>
        </w:rPr>
        <w:t>2、服务期限：12个月（2024年9月1日至2025年8月31日）</w:t>
      </w:r>
    </w:p>
    <w:p w14:paraId="50359954">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lang w:val="zh-CN"/>
        </w:rPr>
        <w:t>详细需求请留意第二</w:t>
      </w:r>
      <w:r>
        <w:rPr>
          <w:rFonts w:hint="eastAsia" w:ascii="宋体" w:hAnsi="宋体"/>
          <w:color w:val="auto"/>
          <w:szCs w:val="21"/>
          <w:highlight w:val="none"/>
        </w:rPr>
        <w:t>部分用户</w:t>
      </w:r>
      <w:r>
        <w:rPr>
          <w:rFonts w:hint="eastAsia" w:ascii="宋体" w:hAnsi="宋体"/>
          <w:color w:val="auto"/>
          <w:szCs w:val="21"/>
          <w:highlight w:val="none"/>
          <w:lang w:val="zh-CN"/>
        </w:rPr>
        <w:t>需求。</w:t>
      </w:r>
    </w:p>
    <w:p w14:paraId="094B6D6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lang w:val="zh-CN"/>
        </w:rPr>
        <w:t>供应商应对本项目全部内容进行响应，不允许只对其中部分内容进行响应，任何只对其中部分内容进行的响应均被视为无效响应。</w:t>
      </w:r>
    </w:p>
    <w:p w14:paraId="753D1FF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s="宋体"/>
          <w:color w:val="auto"/>
          <w:szCs w:val="21"/>
          <w:highlight w:val="none"/>
          <w:lang w:eastAsia="zh-CN"/>
        </w:rPr>
        <w:t>12个月（2024年9月1日至2025年8月31日）</w:t>
      </w:r>
      <w:r>
        <w:rPr>
          <w:rFonts w:hint="eastAsia" w:ascii="宋体" w:hAnsi="宋体"/>
          <w:color w:val="auto"/>
          <w:szCs w:val="21"/>
          <w:highlight w:val="none"/>
        </w:rPr>
        <w:t>。</w:t>
      </w:r>
    </w:p>
    <w:p w14:paraId="502D52C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本项目不接受联合体磋商。</w:t>
      </w:r>
    </w:p>
    <w:p w14:paraId="1592A14F">
      <w:pPr>
        <w:spacing w:before="156" w:beforeLines="50" w:after="156" w:afterLines="50" w:line="440" w:lineRule="exact"/>
        <w:rPr>
          <w:rFonts w:ascii="宋体" w:hAnsi="宋体"/>
          <w:b/>
          <w:color w:val="auto"/>
          <w:szCs w:val="21"/>
          <w:highlight w:val="none"/>
        </w:rPr>
      </w:pPr>
      <w:bookmarkStart w:id="15" w:name="_Toc28359090"/>
      <w:bookmarkStart w:id="16" w:name="_Toc35393799"/>
      <w:bookmarkStart w:id="17" w:name="_Toc28359013"/>
      <w:bookmarkStart w:id="18" w:name="_Toc35393630"/>
      <w:r>
        <w:rPr>
          <w:rFonts w:hint="eastAsia" w:ascii="宋体" w:hAnsi="宋体"/>
          <w:b/>
          <w:color w:val="auto"/>
          <w:szCs w:val="21"/>
          <w:highlight w:val="none"/>
        </w:rPr>
        <w:t>二、申请人的资格要求</w:t>
      </w:r>
      <w:bookmarkEnd w:id="15"/>
      <w:bookmarkEnd w:id="16"/>
      <w:bookmarkEnd w:id="17"/>
      <w:bookmarkEnd w:id="18"/>
    </w:p>
    <w:p w14:paraId="26FFBB0E">
      <w:pPr>
        <w:spacing w:line="440" w:lineRule="exact"/>
        <w:ind w:left="420" w:leftChars="200"/>
        <w:rPr>
          <w:rFonts w:ascii="宋体" w:hAnsi="宋体"/>
          <w:color w:val="auto"/>
          <w:szCs w:val="21"/>
          <w:highlight w:val="none"/>
          <w:lang w:val="zh-CN"/>
        </w:rPr>
      </w:pPr>
      <w:bookmarkStart w:id="19" w:name="_Toc35393631"/>
      <w:bookmarkStart w:id="20" w:name="_Toc28359014"/>
      <w:bookmarkStart w:id="21" w:name="_Toc35393800"/>
      <w:bookmarkStart w:id="22" w:name="_Toc28359091"/>
      <w:r>
        <w:rPr>
          <w:rFonts w:hint="eastAsia" w:ascii="宋体" w:hAnsi="宋体"/>
          <w:color w:val="auto"/>
          <w:szCs w:val="21"/>
          <w:highlight w:val="none"/>
          <w:lang w:val="zh-CN"/>
        </w:rPr>
        <w:t>1.供应商应具备《中华人民共和国政府采购法》第二十二条规定的条件，提供下列材料：</w:t>
      </w:r>
    </w:p>
    <w:p w14:paraId="177F34A2">
      <w:pPr>
        <w:spacing w:line="440" w:lineRule="exact"/>
        <w:ind w:left="420" w:leftChars="200"/>
        <w:rPr>
          <w:rFonts w:ascii="宋体" w:hAnsi="宋体"/>
          <w:color w:val="auto"/>
          <w:szCs w:val="21"/>
          <w:highlight w:val="none"/>
          <w:lang w:val="zh-CN"/>
        </w:rPr>
      </w:pPr>
      <w:r>
        <w:rPr>
          <w:rFonts w:hint="eastAsia" w:ascii="宋体" w:hAnsi="宋体"/>
          <w:color w:val="auto"/>
          <w:szCs w:val="21"/>
          <w:highlight w:val="none"/>
          <w:lang w:val="zh-CN"/>
        </w:rPr>
        <w:t>1）具有独立承担民事责任的能力：是在中华人民共和国境内注册的法人或其他组织或自然人，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如投标人已对接“粤省事”“粤商通”“粤信签”等系统且能通过系统查询到相关内容，则无须提供该项证明文件。</w:t>
      </w:r>
    </w:p>
    <w:p w14:paraId="25AB0ABC">
      <w:pPr>
        <w:spacing w:line="440" w:lineRule="exact"/>
        <w:ind w:left="420" w:leftChars="200"/>
        <w:rPr>
          <w:rFonts w:ascii="宋体" w:hAnsi="宋体"/>
          <w:color w:val="auto"/>
          <w:szCs w:val="21"/>
          <w:highlight w:val="none"/>
          <w:lang w:val="zh-CN"/>
        </w:rPr>
      </w:pPr>
      <w:r>
        <w:rPr>
          <w:rFonts w:hint="eastAsia" w:ascii="宋体" w:hAnsi="宋体"/>
          <w:color w:val="auto"/>
          <w:szCs w:val="21"/>
          <w:highlight w:val="none"/>
          <w:lang w:val="zh-CN"/>
        </w:rPr>
        <w:t>2）有依法缴纳税收和社会保障资金的良好记录：提供《资格声明函》。</w:t>
      </w:r>
    </w:p>
    <w:p w14:paraId="3B0D4490">
      <w:pPr>
        <w:spacing w:line="440" w:lineRule="exact"/>
        <w:ind w:left="420" w:leftChars="200"/>
        <w:rPr>
          <w:rFonts w:ascii="宋体" w:hAnsi="宋体"/>
          <w:color w:val="auto"/>
          <w:szCs w:val="21"/>
          <w:highlight w:val="none"/>
          <w:lang w:val="zh-CN"/>
        </w:rPr>
      </w:pPr>
      <w:r>
        <w:rPr>
          <w:rFonts w:hint="eastAsia" w:ascii="宋体" w:hAnsi="宋体"/>
          <w:color w:val="auto"/>
          <w:szCs w:val="21"/>
          <w:highlight w:val="none"/>
          <w:lang w:val="zh-CN"/>
        </w:rPr>
        <w:t>3）具有良好的商业信誉和健全的财务会计制度：提供《资格声明函》。</w:t>
      </w:r>
    </w:p>
    <w:p w14:paraId="2D0C5897">
      <w:pPr>
        <w:spacing w:line="440" w:lineRule="exact"/>
        <w:ind w:left="420" w:leftChars="200"/>
        <w:rPr>
          <w:rFonts w:ascii="宋体" w:hAnsi="宋体"/>
          <w:color w:val="auto"/>
          <w:szCs w:val="21"/>
          <w:highlight w:val="none"/>
          <w:lang w:val="zh-CN"/>
        </w:rPr>
      </w:pPr>
      <w:r>
        <w:rPr>
          <w:rFonts w:hint="eastAsia" w:ascii="宋体" w:hAnsi="宋体"/>
          <w:color w:val="auto"/>
          <w:szCs w:val="21"/>
          <w:highlight w:val="none"/>
          <w:lang w:val="zh-CN"/>
        </w:rPr>
        <w:t>4）履行合同所必需的设备和专业技术能力：提供《资格声明函》。</w:t>
      </w:r>
    </w:p>
    <w:p w14:paraId="217E9EE9">
      <w:pPr>
        <w:spacing w:line="440" w:lineRule="exact"/>
        <w:ind w:left="420" w:leftChars="200"/>
        <w:rPr>
          <w:rFonts w:ascii="宋体" w:hAnsi="宋体"/>
          <w:color w:val="auto"/>
          <w:szCs w:val="21"/>
          <w:highlight w:val="none"/>
          <w:lang w:val="zh-CN"/>
        </w:rPr>
      </w:pPr>
      <w:r>
        <w:rPr>
          <w:rFonts w:hint="eastAsia" w:ascii="宋体" w:hAnsi="宋体"/>
          <w:color w:val="auto"/>
          <w:szCs w:val="21"/>
          <w:highlight w:val="none"/>
          <w:lang w:val="zh-CN"/>
        </w:rPr>
        <w:t>5）参加采购活动前3年内，在经营活动中没有重大违法记录：提供《资格声明函》。</w:t>
      </w:r>
    </w:p>
    <w:p w14:paraId="3EB39CCE">
      <w:pPr>
        <w:spacing w:line="440" w:lineRule="exact"/>
        <w:ind w:left="420" w:leftChars="200"/>
        <w:rPr>
          <w:rFonts w:ascii="宋体" w:hAnsi="宋体"/>
          <w:color w:val="auto"/>
          <w:szCs w:val="21"/>
          <w:highlight w:val="none"/>
        </w:rPr>
      </w:pPr>
      <w:r>
        <w:rPr>
          <w:rFonts w:hint="eastAsia" w:ascii="宋体" w:hAnsi="宋体"/>
          <w:color w:val="auto"/>
          <w:szCs w:val="21"/>
          <w:highlight w:val="none"/>
          <w:lang w:val="zh-CN"/>
        </w:rPr>
        <w:t>2.落实政府采购政策需满足的资格要求：</w:t>
      </w:r>
      <w:r>
        <w:rPr>
          <w:rFonts w:hint="eastAsia" w:ascii="宋体" w:hAnsi="宋体"/>
          <w:color w:val="auto"/>
          <w:szCs w:val="21"/>
          <w:highlight w:val="none"/>
        </w:rPr>
        <w:t>无</w:t>
      </w:r>
    </w:p>
    <w:p w14:paraId="625550C8">
      <w:pPr>
        <w:spacing w:line="440" w:lineRule="exact"/>
        <w:ind w:left="420" w:leftChars="200"/>
        <w:rPr>
          <w:rFonts w:ascii="宋体" w:hAnsi="宋体"/>
          <w:color w:val="auto"/>
          <w:szCs w:val="21"/>
          <w:highlight w:val="none"/>
          <w:lang w:val="zh-CN"/>
        </w:rPr>
      </w:pPr>
      <w:r>
        <w:rPr>
          <w:rFonts w:hint="eastAsia" w:ascii="宋体" w:hAnsi="宋体"/>
          <w:color w:val="auto"/>
          <w:szCs w:val="21"/>
          <w:highlight w:val="none"/>
          <w:lang w:val="zh-CN"/>
        </w:rPr>
        <w:t>3.本项目特定的资格要求：</w:t>
      </w:r>
    </w:p>
    <w:p w14:paraId="4A2E283F">
      <w:pPr>
        <w:spacing w:line="440" w:lineRule="exact"/>
        <w:ind w:left="420" w:leftChars="200"/>
        <w:rPr>
          <w:rFonts w:ascii="宋体" w:hAnsi="宋体"/>
          <w:color w:val="auto"/>
          <w:szCs w:val="21"/>
          <w:highlight w:val="none"/>
          <w:lang w:val="zh-CN"/>
        </w:rPr>
      </w:pPr>
      <w:r>
        <w:rPr>
          <w:rFonts w:hint="eastAsia" w:ascii="宋体" w:hAnsi="宋体"/>
          <w:color w:val="auto"/>
          <w:szCs w:val="21"/>
          <w:highlight w:val="none"/>
          <w:lang w:val="zh-CN"/>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提交首次响应文件截止时间当天在“信用中国”网站（www.creditchina.gov.cn）及中国政府采购网（http://www.ccgp.gov.cn/）查询结果为准，如相关失信记录已失效，供应商需提供相关证明资料）</w:t>
      </w:r>
    </w:p>
    <w:p w14:paraId="723943A0">
      <w:pPr>
        <w:spacing w:line="440" w:lineRule="exact"/>
        <w:ind w:left="420" w:leftChars="200"/>
        <w:rPr>
          <w:rFonts w:ascii="宋体" w:hAnsi="宋体"/>
          <w:color w:val="auto"/>
          <w:szCs w:val="21"/>
          <w:highlight w:val="none"/>
          <w:lang w:val="zh-CN"/>
        </w:rPr>
      </w:pPr>
      <w:r>
        <w:rPr>
          <w:rFonts w:hint="eastAsia" w:ascii="宋体" w:hAnsi="宋体"/>
          <w:color w:val="auto"/>
          <w:szCs w:val="21"/>
          <w:highlight w:val="none"/>
          <w:lang w:val="zh-CN"/>
        </w:rPr>
        <w:t>2)单位负责人为同一人或者存在直接控股、管理关系的不同供应商，不得同时参加本采购项目（或采购包）报价。为本项目提供整体设计、规范编制或者项目管理、监理、检测等服务的供应商，不得再参与本项目报价。提供《资格声明函》。</w:t>
      </w:r>
    </w:p>
    <w:p w14:paraId="095DD3C2">
      <w:pPr>
        <w:spacing w:line="440" w:lineRule="exact"/>
        <w:ind w:left="420" w:leftChars="200"/>
        <w:rPr>
          <w:rFonts w:ascii="宋体" w:hAnsi="宋体"/>
          <w:color w:val="auto"/>
          <w:szCs w:val="21"/>
          <w:highlight w:val="none"/>
          <w:lang w:val="zh-CN"/>
        </w:rPr>
      </w:pPr>
      <w:r>
        <w:rPr>
          <w:rFonts w:hint="eastAsia" w:ascii="宋体" w:hAnsi="宋体"/>
          <w:color w:val="auto"/>
          <w:szCs w:val="21"/>
          <w:highlight w:val="none"/>
          <w:lang w:val="zh-CN"/>
        </w:rPr>
        <w:t>3)本项目不接受联合体报价。</w:t>
      </w:r>
    </w:p>
    <w:p w14:paraId="276AB5BF">
      <w:pPr>
        <w:spacing w:before="156" w:beforeLines="50" w:after="156" w:afterLines="50" w:line="440" w:lineRule="exact"/>
        <w:rPr>
          <w:rFonts w:ascii="宋体" w:hAnsi="宋体"/>
          <w:b/>
          <w:color w:val="auto"/>
          <w:szCs w:val="21"/>
          <w:highlight w:val="none"/>
        </w:rPr>
      </w:pPr>
      <w:r>
        <w:rPr>
          <w:rFonts w:hint="eastAsia" w:ascii="宋体" w:hAnsi="宋体"/>
          <w:b/>
          <w:color w:val="auto"/>
          <w:szCs w:val="21"/>
          <w:highlight w:val="none"/>
        </w:rPr>
        <w:t>三、获取采购文件</w:t>
      </w:r>
      <w:bookmarkEnd w:id="19"/>
      <w:bookmarkEnd w:id="20"/>
      <w:bookmarkEnd w:id="21"/>
      <w:bookmarkEnd w:id="22"/>
    </w:p>
    <w:p w14:paraId="74E112D4">
      <w:pPr>
        <w:spacing w:line="440" w:lineRule="exact"/>
        <w:ind w:firstLine="539"/>
        <w:rPr>
          <w:rFonts w:ascii="宋体" w:hAnsi="宋体" w:cs="宋体"/>
          <w:color w:val="auto"/>
          <w:szCs w:val="21"/>
          <w:highlight w:val="none"/>
        </w:rPr>
      </w:pPr>
      <w:r>
        <w:rPr>
          <w:rFonts w:hint="eastAsia" w:ascii="宋体" w:hAnsi="宋体"/>
          <w:color w:val="auto"/>
          <w:szCs w:val="21"/>
          <w:highlight w:val="none"/>
        </w:rPr>
        <w:t>时间：</w:t>
      </w:r>
      <w:r>
        <w:rPr>
          <w:rFonts w:hint="eastAsia" w:ascii="宋体" w:hAnsi="宋体"/>
          <w:color w:val="auto"/>
          <w:szCs w:val="21"/>
          <w:highlight w:val="none"/>
          <w:u w:val="single"/>
          <w:lang w:val="en-US" w:eastAsia="zh-CN"/>
        </w:rPr>
        <w:t>2024</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8</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19 </w:t>
      </w:r>
      <w:r>
        <w:rPr>
          <w:rFonts w:hint="eastAsia" w:ascii="宋体" w:hAnsi="宋体"/>
          <w:color w:val="auto"/>
          <w:szCs w:val="21"/>
          <w:highlight w:val="none"/>
        </w:rPr>
        <w:t>日至</w:t>
      </w:r>
      <w:r>
        <w:rPr>
          <w:rFonts w:hint="eastAsia" w:ascii="宋体" w:hAnsi="宋体"/>
          <w:color w:val="auto"/>
          <w:szCs w:val="21"/>
          <w:highlight w:val="none"/>
          <w:u w:val="single"/>
          <w:lang w:val="en-US" w:eastAsia="zh-CN"/>
        </w:rPr>
        <w:t>2024</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8</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23</w:t>
      </w:r>
      <w:r>
        <w:rPr>
          <w:rFonts w:hint="eastAsia" w:ascii="宋体" w:hAnsi="宋体"/>
          <w:color w:val="auto"/>
          <w:szCs w:val="21"/>
          <w:highlight w:val="none"/>
        </w:rPr>
        <w:t>日</w:t>
      </w:r>
      <w:r>
        <w:rPr>
          <w:rFonts w:hint="eastAsia" w:ascii="宋体" w:hAnsi="宋体" w:cs="宋体"/>
          <w:color w:val="auto"/>
          <w:szCs w:val="21"/>
          <w:highlight w:val="none"/>
        </w:rPr>
        <w:t>（磋商文件的发售期限自开始之日起不得少于5个工作日），每天上午</w:t>
      </w:r>
      <w:r>
        <w:rPr>
          <w:rFonts w:hint="eastAsia" w:ascii="宋体" w:hAnsi="宋体" w:cs="宋体"/>
          <w:color w:val="auto"/>
          <w:szCs w:val="21"/>
          <w:highlight w:val="none"/>
          <w:u w:val="single"/>
        </w:rPr>
        <w:t>9:00</w:t>
      </w:r>
      <w:r>
        <w:rPr>
          <w:rFonts w:hint="eastAsia" w:ascii="宋体" w:hAnsi="宋体" w:cs="宋体"/>
          <w:color w:val="auto"/>
          <w:szCs w:val="21"/>
          <w:highlight w:val="none"/>
        </w:rPr>
        <w:t>至</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w:t>
      </w:r>
      <w:r>
        <w:rPr>
          <w:rFonts w:hint="eastAsia" w:ascii="宋体" w:hAnsi="宋体" w:cs="宋体"/>
          <w:color w:val="auto"/>
          <w:szCs w:val="21"/>
          <w:highlight w:val="none"/>
        </w:rPr>
        <w:t>，下午</w:t>
      </w:r>
      <w:r>
        <w:rPr>
          <w:rFonts w:hint="eastAsia" w:ascii="宋体" w:hAnsi="宋体" w:cs="宋体"/>
          <w:color w:val="auto"/>
          <w:szCs w:val="21"/>
          <w:highlight w:val="none"/>
          <w:u w:val="single"/>
        </w:rPr>
        <w:t>14:00</w:t>
      </w:r>
      <w:r>
        <w:rPr>
          <w:rFonts w:hint="eastAsia" w:ascii="宋体" w:hAnsi="宋体" w:cs="宋体"/>
          <w:color w:val="auto"/>
          <w:szCs w:val="21"/>
          <w:highlight w:val="none"/>
        </w:rPr>
        <w:t>至</w:t>
      </w:r>
      <w:r>
        <w:rPr>
          <w:rFonts w:hint="eastAsia" w:ascii="宋体" w:hAnsi="宋体" w:cs="宋体"/>
          <w:color w:val="auto"/>
          <w:szCs w:val="21"/>
          <w:highlight w:val="none"/>
          <w:u w:val="single"/>
        </w:rPr>
        <w:t>17:00</w:t>
      </w:r>
      <w:r>
        <w:rPr>
          <w:rFonts w:hint="eastAsia" w:ascii="宋体" w:hAnsi="宋体" w:cs="宋体"/>
          <w:color w:val="auto"/>
          <w:szCs w:val="21"/>
          <w:highlight w:val="none"/>
        </w:rPr>
        <w:t>（北京时间，法定节假日除外 ）</w:t>
      </w:r>
    </w:p>
    <w:p w14:paraId="0CCB3F27">
      <w:pPr>
        <w:spacing w:line="44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地点：</w:t>
      </w:r>
      <w:r>
        <w:rPr>
          <w:rFonts w:hint="eastAsia" w:ascii="宋体" w:hAnsi="宋体" w:cs="宋体"/>
          <w:color w:val="auto"/>
          <w:szCs w:val="21"/>
          <w:highlight w:val="none"/>
          <w:lang w:eastAsia="zh-CN"/>
        </w:rPr>
        <w:t>广州市白云区鸦岗大道鸦岗创意园D栋三层</w:t>
      </w:r>
    </w:p>
    <w:p w14:paraId="5D83434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方式：网络购买。网购竞争性磋商文件者，请将购买资料扫描件发至采购代理机构邮箱（E-mail：</w:t>
      </w:r>
      <w:r>
        <w:rPr>
          <w:rStyle w:val="39"/>
          <w:rFonts w:hint="eastAsia" w:ascii="宋体" w:hAnsi="宋体" w:eastAsia="宋体" w:cs="宋体"/>
          <w:color w:val="auto"/>
          <w:sz w:val="22"/>
          <w:szCs w:val="22"/>
          <w:highlight w:val="none"/>
        </w:rPr>
        <w:t>576733015</w:t>
      </w:r>
      <w:r>
        <w:rPr>
          <w:rStyle w:val="39"/>
          <w:rFonts w:hint="eastAsia" w:ascii="宋体" w:hAnsi="宋体" w:eastAsia="宋体" w:cs="宋体"/>
          <w:color w:val="auto"/>
          <w:sz w:val="24"/>
          <w:szCs w:val="24"/>
          <w:highlight w:val="none"/>
        </w:rPr>
        <w:t>@qq.com</w:t>
      </w:r>
      <w:r>
        <w:rPr>
          <w:rFonts w:hint="eastAsia" w:ascii="宋体" w:hAnsi="宋体"/>
          <w:color w:val="auto"/>
          <w:szCs w:val="21"/>
          <w:highlight w:val="none"/>
        </w:rPr>
        <w:t>），经采购代理机构工作人员确认后办理相关手续。</w:t>
      </w:r>
    </w:p>
    <w:p w14:paraId="4897EC3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售价（元）：300</w:t>
      </w:r>
    </w:p>
    <w:p w14:paraId="26F9B142">
      <w:pPr>
        <w:spacing w:before="156" w:beforeLines="50" w:after="156" w:afterLines="50" w:line="440" w:lineRule="exact"/>
        <w:rPr>
          <w:rFonts w:ascii="宋体" w:hAnsi="宋体"/>
          <w:b/>
          <w:color w:val="auto"/>
          <w:szCs w:val="21"/>
          <w:highlight w:val="none"/>
        </w:rPr>
      </w:pPr>
      <w:bookmarkStart w:id="23" w:name="_Toc35393632"/>
      <w:bookmarkStart w:id="24" w:name="_Toc35393801"/>
      <w:bookmarkStart w:id="25" w:name="_Toc28359092"/>
      <w:bookmarkStart w:id="26" w:name="_Toc28359015"/>
      <w:r>
        <w:rPr>
          <w:rFonts w:hint="eastAsia" w:ascii="宋体" w:hAnsi="宋体"/>
          <w:b/>
          <w:color w:val="auto"/>
          <w:szCs w:val="21"/>
          <w:highlight w:val="none"/>
        </w:rPr>
        <w:t>四、响应文件提交</w:t>
      </w:r>
      <w:bookmarkEnd w:id="23"/>
      <w:bookmarkEnd w:id="24"/>
      <w:bookmarkEnd w:id="25"/>
      <w:bookmarkEnd w:id="26"/>
    </w:p>
    <w:p w14:paraId="5C314F1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u w:val="single"/>
        </w:rPr>
        <w:t>日1</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：00分-14:30分</w:t>
      </w:r>
      <w:r>
        <w:rPr>
          <w:rFonts w:hint="eastAsia" w:ascii="宋体" w:hAnsi="宋体" w:cs="宋体"/>
          <w:color w:val="auto"/>
          <w:szCs w:val="21"/>
          <w:highlight w:val="none"/>
        </w:rPr>
        <w:t>（北京时间）（从磋商文件开始发出之日起至供应商提交首次响应文件截止之日止不得少于10日）</w:t>
      </w:r>
    </w:p>
    <w:p w14:paraId="4C5FC021">
      <w:pPr>
        <w:spacing w:line="440" w:lineRule="exact"/>
        <w:ind w:firstLine="420" w:firstLineChars="200"/>
        <w:rPr>
          <w:rFonts w:hint="eastAsia" w:ascii="宋体" w:hAnsi="宋体" w:eastAsia="宋体"/>
          <w:bCs/>
          <w:color w:val="auto"/>
          <w:szCs w:val="21"/>
          <w:highlight w:val="none"/>
          <w:u w:val="single"/>
          <w:lang w:eastAsia="zh-CN"/>
        </w:rPr>
      </w:pPr>
      <w:r>
        <w:rPr>
          <w:rFonts w:hint="eastAsia" w:ascii="宋体" w:hAnsi="宋体"/>
          <w:color w:val="auto"/>
          <w:szCs w:val="21"/>
          <w:highlight w:val="none"/>
        </w:rPr>
        <w:t>地点：</w:t>
      </w:r>
      <w:r>
        <w:rPr>
          <w:rFonts w:hint="eastAsia" w:ascii="宋体" w:hAnsi="宋体"/>
          <w:color w:val="auto"/>
          <w:szCs w:val="21"/>
          <w:highlight w:val="none"/>
          <w:lang w:eastAsia="zh-CN"/>
        </w:rPr>
        <w:t>广州市白云区鸦岗大道鸦岗创意园D栋三层</w:t>
      </w:r>
    </w:p>
    <w:p w14:paraId="2CC31510">
      <w:pPr>
        <w:spacing w:before="156" w:beforeLines="50" w:after="156" w:afterLines="50" w:line="440" w:lineRule="exact"/>
        <w:rPr>
          <w:rFonts w:ascii="宋体" w:hAnsi="宋体"/>
          <w:b/>
          <w:color w:val="auto"/>
          <w:szCs w:val="21"/>
          <w:highlight w:val="none"/>
        </w:rPr>
      </w:pPr>
      <w:bookmarkStart w:id="27" w:name="_Toc35393633"/>
      <w:bookmarkStart w:id="28" w:name="_Toc35393802"/>
      <w:bookmarkStart w:id="29" w:name="_Toc28359093"/>
      <w:bookmarkStart w:id="30" w:name="_Toc28359016"/>
      <w:r>
        <w:rPr>
          <w:rFonts w:hint="eastAsia" w:ascii="宋体" w:hAnsi="宋体"/>
          <w:b/>
          <w:color w:val="auto"/>
          <w:szCs w:val="21"/>
          <w:highlight w:val="none"/>
        </w:rPr>
        <w:t>五、开启（竞争性磋商方式必须填写）</w:t>
      </w:r>
      <w:bookmarkEnd w:id="27"/>
      <w:bookmarkEnd w:id="28"/>
      <w:bookmarkEnd w:id="29"/>
      <w:bookmarkEnd w:id="30"/>
    </w:p>
    <w:p w14:paraId="062D4C41">
      <w:pPr>
        <w:spacing w:line="44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lang w:val="en-US" w:eastAsia="zh-CN"/>
        </w:rPr>
        <w:t>2024</w:t>
      </w:r>
      <w:r>
        <w:rPr>
          <w:rFonts w:ascii="宋体" w:hAnsi="宋体"/>
          <w:color w:val="auto"/>
          <w:szCs w:val="21"/>
          <w:highlight w:val="none"/>
          <w:u w:val="single"/>
        </w:rPr>
        <w:t xml:space="preserve"> </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29</w:t>
      </w:r>
      <w:r>
        <w:rPr>
          <w:rFonts w:hint="eastAsia" w:ascii="宋体" w:hAnsi="宋体"/>
          <w:bCs/>
          <w:color w:val="auto"/>
          <w:szCs w:val="21"/>
          <w:highlight w:val="none"/>
          <w:u w:val="single"/>
        </w:rPr>
        <w:t>日14点30分</w:t>
      </w:r>
      <w:r>
        <w:rPr>
          <w:rFonts w:hint="eastAsia" w:ascii="宋体" w:hAnsi="宋体"/>
          <w:bCs/>
          <w:color w:val="auto"/>
          <w:szCs w:val="21"/>
          <w:highlight w:val="none"/>
        </w:rPr>
        <w:t>（北京时间）</w:t>
      </w:r>
    </w:p>
    <w:p w14:paraId="2599A17F">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地点：</w:t>
      </w:r>
      <w:bookmarkStart w:id="31" w:name="_Toc28359094"/>
      <w:bookmarkStart w:id="32" w:name="_Toc28359017"/>
      <w:bookmarkStart w:id="33" w:name="_Toc35393634"/>
      <w:bookmarkStart w:id="34" w:name="_Toc35393803"/>
      <w:r>
        <w:rPr>
          <w:rFonts w:hint="eastAsia" w:ascii="宋体" w:hAnsi="宋体"/>
          <w:color w:val="auto"/>
          <w:szCs w:val="21"/>
          <w:highlight w:val="none"/>
          <w:lang w:eastAsia="zh-CN"/>
        </w:rPr>
        <w:t>广州市白云区鸦岗大道鸦岗创意园D栋三层</w:t>
      </w:r>
    </w:p>
    <w:p w14:paraId="5761EAEB">
      <w:pPr>
        <w:spacing w:line="440" w:lineRule="exact"/>
        <w:rPr>
          <w:rFonts w:ascii="宋体" w:hAnsi="宋体"/>
          <w:b/>
          <w:color w:val="auto"/>
          <w:szCs w:val="21"/>
          <w:highlight w:val="none"/>
        </w:rPr>
      </w:pPr>
      <w:r>
        <w:rPr>
          <w:rFonts w:hint="eastAsia" w:ascii="宋体" w:hAnsi="宋体"/>
          <w:b/>
          <w:color w:val="auto"/>
          <w:szCs w:val="21"/>
          <w:highlight w:val="none"/>
        </w:rPr>
        <w:t>六、</w:t>
      </w:r>
      <w:bookmarkEnd w:id="31"/>
      <w:bookmarkEnd w:id="32"/>
      <w:bookmarkEnd w:id="33"/>
      <w:bookmarkEnd w:id="34"/>
      <w:r>
        <w:rPr>
          <w:rFonts w:hint="eastAsia" w:ascii="宋体" w:hAnsi="宋体"/>
          <w:b/>
          <w:color w:val="auto"/>
          <w:szCs w:val="21"/>
          <w:highlight w:val="none"/>
        </w:rPr>
        <w:t>公告期限、发布公告的媒介</w:t>
      </w:r>
    </w:p>
    <w:p w14:paraId="7A97F25F">
      <w:pPr>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1.自本公告发布之日起3个工作日。</w:t>
      </w:r>
    </w:p>
    <w:p w14:paraId="3BF61821">
      <w:pPr>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2.发布公告的媒介：广州市南沙区人民政府网（http://www.gzns.gov.cn/zwgk/ztbxx/index.html）、</w:t>
      </w:r>
      <w:r>
        <w:rPr>
          <w:rFonts w:hint="eastAsia" w:ascii="宋体" w:hAnsi="宋体"/>
          <w:color w:val="auto"/>
          <w:kern w:val="0"/>
          <w:szCs w:val="21"/>
          <w:highlight w:val="none"/>
          <w:lang w:eastAsia="zh-CN"/>
        </w:rPr>
        <w:t>广州中天项目管理咨询有限公司</w:t>
      </w:r>
      <w:r>
        <w:rPr>
          <w:rFonts w:hint="eastAsia" w:ascii="宋体" w:hAnsi="宋体"/>
          <w:color w:val="auto"/>
          <w:kern w:val="0"/>
          <w:szCs w:val="21"/>
          <w:highlight w:val="none"/>
        </w:rPr>
        <w:t>网(</w:t>
      </w:r>
      <w:r>
        <w:rPr>
          <w:rFonts w:hint="eastAsia" w:ascii="宋体" w:hAnsi="宋体"/>
          <w:color w:val="auto"/>
          <w:kern w:val="0"/>
          <w:szCs w:val="21"/>
          <w:highlight w:val="none"/>
          <w:lang w:eastAsia="zh-CN"/>
        </w:rPr>
        <w:t>http://www.zt.11469.com/</w:t>
      </w:r>
      <w:r>
        <w:rPr>
          <w:rFonts w:hint="eastAsia" w:ascii="宋体" w:hAnsi="宋体"/>
          <w:color w:val="auto"/>
          <w:kern w:val="0"/>
          <w:szCs w:val="21"/>
          <w:highlight w:val="none"/>
        </w:rPr>
        <w:t>)。相关公告在法定媒体上公布之日即视为有效送达，不再另行通知。相关公告有不同之处以</w:t>
      </w:r>
      <w:r>
        <w:rPr>
          <w:rFonts w:hint="eastAsia" w:ascii="宋体" w:hAnsi="宋体"/>
          <w:color w:val="auto"/>
          <w:kern w:val="0"/>
          <w:szCs w:val="21"/>
          <w:highlight w:val="none"/>
          <w:lang w:eastAsia="zh-CN"/>
        </w:rPr>
        <w:t>广州中天项目管理咨询有限公司</w:t>
      </w:r>
      <w:r>
        <w:rPr>
          <w:rFonts w:hint="eastAsia" w:ascii="宋体" w:hAnsi="宋体"/>
          <w:color w:val="auto"/>
          <w:kern w:val="0"/>
          <w:szCs w:val="21"/>
          <w:highlight w:val="none"/>
        </w:rPr>
        <w:t>网站（</w:t>
      </w:r>
      <w:r>
        <w:rPr>
          <w:rFonts w:hint="eastAsia" w:ascii="宋体" w:hAnsi="宋体"/>
          <w:color w:val="auto"/>
          <w:kern w:val="0"/>
          <w:szCs w:val="21"/>
          <w:highlight w:val="none"/>
          <w:lang w:eastAsia="zh-CN"/>
        </w:rPr>
        <w:t>http://www.zt.11469.com/</w:t>
      </w:r>
      <w:r>
        <w:rPr>
          <w:rFonts w:hint="eastAsia" w:ascii="宋体" w:hAnsi="宋体"/>
          <w:color w:val="auto"/>
          <w:kern w:val="0"/>
          <w:szCs w:val="21"/>
          <w:highlight w:val="none"/>
        </w:rPr>
        <w:t>）为准。</w:t>
      </w:r>
    </w:p>
    <w:p w14:paraId="08B5EC35">
      <w:pPr>
        <w:spacing w:before="156" w:beforeLines="50" w:after="156" w:afterLines="50" w:line="440" w:lineRule="exact"/>
        <w:rPr>
          <w:rFonts w:ascii="宋体" w:hAnsi="宋体"/>
          <w:b/>
          <w:color w:val="auto"/>
          <w:szCs w:val="21"/>
          <w:highlight w:val="none"/>
        </w:rPr>
      </w:pPr>
      <w:bookmarkStart w:id="35" w:name="_Toc35393635"/>
      <w:bookmarkStart w:id="36" w:name="_Toc35393804"/>
      <w:r>
        <w:rPr>
          <w:rFonts w:hint="eastAsia" w:ascii="宋体" w:hAnsi="宋体"/>
          <w:b/>
          <w:color w:val="auto"/>
          <w:szCs w:val="21"/>
          <w:highlight w:val="none"/>
        </w:rPr>
        <w:t>七、其他补充事宜</w:t>
      </w:r>
      <w:bookmarkEnd w:id="35"/>
      <w:bookmarkEnd w:id="36"/>
    </w:p>
    <w:p w14:paraId="3F083457">
      <w:pPr>
        <w:spacing w:before="156" w:beforeLines="50" w:after="156" w:afterLines="50" w:line="440" w:lineRule="exact"/>
        <w:ind w:firstLine="420" w:firstLineChars="200"/>
        <w:rPr>
          <w:rFonts w:ascii="宋体" w:hAnsi="宋体"/>
          <w:color w:val="auto"/>
          <w:szCs w:val="21"/>
          <w:highlight w:val="none"/>
        </w:rPr>
      </w:pPr>
      <w:bookmarkStart w:id="37" w:name="_Toc35393636"/>
      <w:bookmarkStart w:id="38" w:name="_Toc28359018"/>
      <w:bookmarkStart w:id="39" w:name="_Toc35393805"/>
      <w:bookmarkStart w:id="40" w:name="_Toc28359095"/>
      <w:r>
        <w:rPr>
          <w:rFonts w:hint="eastAsia" w:ascii="宋体" w:hAnsi="宋体"/>
          <w:color w:val="auto"/>
          <w:szCs w:val="21"/>
          <w:highlight w:val="none"/>
        </w:rPr>
        <w:t>购买磋商文件资料：《购买招标文件登记表》盖章扫描件，详见附件。</w:t>
      </w:r>
    </w:p>
    <w:p w14:paraId="6543AF77">
      <w:pPr>
        <w:spacing w:before="156" w:beforeLines="50" w:after="156" w:afterLines="50" w:line="440" w:lineRule="exact"/>
        <w:rPr>
          <w:rFonts w:ascii="宋体" w:hAnsi="宋体"/>
          <w:b/>
          <w:color w:val="auto"/>
          <w:szCs w:val="21"/>
          <w:highlight w:val="none"/>
        </w:rPr>
      </w:pPr>
      <w:r>
        <w:rPr>
          <w:rFonts w:hint="eastAsia" w:ascii="宋体" w:hAnsi="宋体"/>
          <w:b/>
          <w:color w:val="auto"/>
          <w:szCs w:val="21"/>
          <w:highlight w:val="none"/>
        </w:rPr>
        <w:t>八、凡对本次采购提出询问，请按</w:t>
      </w:r>
      <w:r>
        <w:rPr>
          <w:rFonts w:ascii="宋体" w:hAnsi="宋体"/>
          <w:b/>
          <w:color w:val="auto"/>
          <w:szCs w:val="21"/>
          <w:highlight w:val="none"/>
        </w:rPr>
        <w:t>以下方式</w:t>
      </w:r>
      <w:r>
        <w:rPr>
          <w:rFonts w:hint="eastAsia" w:ascii="宋体" w:hAnsi="宋体"/>
          <w:b/>
          <w:color w:val="auto"/>
          <w:szCs w:val="21"/>
          <w:highlight w:val="none"/>
        </w:rPr>
        <w:t>联系。</w:t>
      </w:r>
      <w:bookmarkEnd w:id="37"/>
      <w:bookmarkEnd w:id="38"/>
      <w:bookmarkEnd w:id="39"/>
      <w:bookmarkEnd w:id="40"/>
    </w:p>
    <w:p w14:paraId="61CBD32B">
      <w:pPr>
        <w:spacing w:line="440" w:lineRule="exact"/>
        <w:ind w:firstLine="525" w:firstLineChars="250"/>
        <w:rPr>
          <w:rFonts w:ascii="宋体" w:hAnsi="宋体"/>
          <w:color w:val="auto"/>
          <w:szCs w:val="21"/>
          <w:highlight w:val="none"/>
        </w:rPr>
      </w:pPr>
      <w:bookmarkStart w:id="41" w:name="_Toc35393637"/>
      <w:bookmarkStart w:id="42" w:name="_Toc28359019"/>
      <w:bookmarkStart w:id="43" w:name="_Toc35393806"/>
      <w:bookmarkStart w:id="44" w:name="_Toc28359096"/>
      <w:r>
        <w:rPr>
          <w:rFonts w:hint="eastAsia" w:ascii="宋体" w:hAnsi="宋体"/>
          <w:color w:val="auto"/>
          <w:szCs w:val="21"/>
          <w:highlight w:val="none"/>
        </w:rPr>
        <w:t>1.采购人信息</w:t>
      </w:r>
      <w:bookmarkEnd w:id="41"/>
      <w:bookmarkEnd w:id="42"/>
      <w:bookmarkEnd w:id="43"/>
      <w:bookmarkEnd w:id="44"/>
    </w:p>
    <w:p w14:paraId="48B5CF56">
      <w:pPr>
        <w:spacing w:line="440" w:lineRule="exact"/>
        <w:ind w:firstLine="630" w:firstLineChars="300"/>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广州市南沙区万顷沙镇人民政府</w:t>
      </w:r>
    </w:p>
    <w:p w14:paraId="592D964C">
      <w:pPr>
        <w:spacing w:line="440" w:lineRule="exact"/>
        <w:ind w:firstLine="630" w:firstLineChars="300"/>
        <w:rPr>
          <w:rFonts w:ascii="宋体" w:hAnsi="宋体"/>
          <w:color w:val="auto"/>
          <w:szCs w:val="21"/>
          <w:highlight w:val="none"/>
        </w:rPr>
      </w:pPr>
      <w:bookmarkStart w:id="45" w:name="_Toc35393638"/>
      <w:bookmarkStart w:id="46" w:name="_Toc28359020"/>
      <w:bookmarkStart w:id="47" w:name="_Toc35393807"/>
      <w:bookmarkStart w:id="48" w:name="_Toc28359097"/>
      <w:r>
        <w:rPr>
          <w:rFonts w:hint="eastAsia" w:ascii="宋体" w:hAnsi="宋体"/>
          <w:color w:val="auto"/>
          <w:szCs w:val="21"/>
          <w:highlight w:val="none"/>
        </w:rPr>
        <w:t>地   址：广州市南沙区万顷沙镇光明路49号</w:t>
      </w:r>
    </w:p>
    <w:p w14:paraId="6A5FF5E4">
      <w:pPr>
        <w:spacing w:line="440" w:lineRule="exact"/>
        <w:ind w:firstLine="630" w:firstLineChars="300"/>
        <w:rPr>
          <w:rFonts w:hint="eastAsia" w:ascii="宋体" w:hAnsi="宋体" w:eastAsia="宋体"/>
          <w:color w:val="auto"/>
          <w:szCs w:val="21"/>
          <w:highlight w:val="none"/>
          <w:u w:val="single"/>
          <w:lang w:eastAsia="zh-CN"/>
        </w:rPr>
      </w:pPr>
      <w:r>
        <w:rPr>
          <w:rFonts w:hint="eastAsia" w:ascii="宋体" w:hAnsi="宋体"/>
          <w:color w:val="auto"/>
          <w:szCs w:val="21"/>
          <w:highlight w:val="none"/>
        </w:rPr>
        <w:t>联系方式：</w:t>
      </w:r>
      <w:r>
        <w:rPr>
          <w:rFonts w:hint="eastAsia" w:asciiTheme="minorEastAsia" w:hAnsiTheme="minorEastAsia" w:eastAsiaTheme="minorEastAsia" w:cstheme="minorEastAsia"/>
          <w:color w:val="auto"/>
          <w:szCs w:val="21"/>
          <w:highlight w:val="none"/>
          <w:lang w:val="en-US" w:eastAsia="zh-CN"/>
        </w:rPr>
        <w:t>020-</w:t>
      </w:r>
      <w:r>
        <w:rPr>
          <w:rFonts w:hint="eastAsia" w:asciiTheme="minorEastAsia" w:hAnsiTheme="minorEastAsia" w:eastAsiaTheme="minorEastAsia" w:cstheme="minorEastAsia"/>
          <w:color w:val="auto"/>
          <w:szCs w:val="21"/>
          <w:highlight w:val="none"/>
          <w:lang w:eastAsia="zh-CN"/>
        </w:rPr>
        <w:t>84943255</w:t>
      </w:r>
    </w:p>
    <w:p w14:paraId="4483B405">
      <w:pPr>
        <w:spacing w:line="440" w:lineRule="exact"/>
        <w:ind w:firstLine="525" w:firstLineChars="250"/>
        <w:rPr>
          <w:rFonts w:ascii="宋体" w:hAnsi="宋体"/>
          <w:color w:val="auto"/>
          <w:szCs w:val="21"/>
          <w:highlight w:val="none"/>
        </w:rPr>
      </w:pPr>
      <w:r>
        <w:rPr>
          <w:rFonts w:hint="eastAsia" w:ascii="宋体" w:hAnsi="宋体"/>
          <w:color w:val="auto"/>
          <w:szCs w:val="21"/>
          <w:highlight w:val="none"/>
        </w:rPr>
        <w:t>2.采购代理机构信息</w:t>
      </w:r>
      <w:bookmarkEnd w:id="45"/>
      <w:bookmarkEnd w:id="46"/>
      <w:bookmarkEnd w:id="47"/>
      <w:bookmarkEnd w:id="48"/>
    </w:p>
    <w:p w14:paraId="0D3AA1D5">
      <w:pPr>
        <w:spacing w:line="440" w:lineRule="exact"/>
        <w:ind w:firstLine="630" w:firstLineChars="300"/>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广州中天项目管理咨询有限公司</w:t>
      </w:r>
    </w:p>
    <w:p w14:paraId="3B8A10FC">
      <w:pPr>
        <w:spacing w:line="440" w:lineRule="exact"/>
        <w:ind w:firstLine="630" w:firstLineChars="300"/>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广州市白云区鸦岗大道鸦岗创意园D栋三层</w:t>
      </w:r>
    </w:p>
    <w:p w14:paraId="461D091D">
      <w:pPr>
        <w:spacing w:line="440" w:lineRule="exact"/>
        <w:ind w:firstLine="630" w:firstLineChars="300"/>
        <w:rPr>
          <w:rFonts w:hint="eastAsia" w:ascii="宋体" w:hAnsi="宋体" w:eastAsia="宋体"/>
          <w:color w:val="auto"/>
          <w:szCs w:val="21"/>
          <w:highlight w:val="none"/>
          <w:u w:val="single"/>
          <w:lang w:eastAsia="zh-CN"/>
        </w:rPr>
      </w:pPr>
      <w:r>
        <w:rPr>
          <w:rFonts w:hint="eastAsia" w:ascii="宋体" w:hAnsi="宋体"/>
          <w:color w:val="auto"/>
          <w:szCs w:val="21"/>
          <w:highlight w:val="none"/>
        </w:rPr>
        <w:t>联系方式：</w:t>
      </w:r>
      <w:r>
        <w:rPr>
          <w:rFonts w:hint="eastAsia" w:ascii="宋体" w:hAnsi="宋体"/>
          <w:color w:val="auto"/>
          <w:szCs w:val="21"/>
          <w:highlight w:val="none"/>
          <w:lang w:eastAsia="zh-CN"/>
        </w:rPr>
        <w:t xml:space="preserve">18820020903 </w:t>
      </w:r>
    </w:p>
    <w:p w14:paraId="67FBD9A0">
      <w:pPr>
        <w:spacing w:line="440" w:lineRule="exact"/>
        <w:ind w:firstLine="420" w:firstLineChars="200"/>
        <w:rPr>
          <w:rFonts w:hint="eastAsia" w:ascii="宋体" w:hAnsi="宋体" w:eastAsia="宋体"/>
          <w:color w:val="auto"/>
          <w:szCs w:val="21"/>
          <w:highlight w:val="none"/>
          <w:lang w:eastAsia="zh-CN"/>
        </w:rPr>
      </w:pPr>
      <w:bookmarkStart w:id="49" w:name="_Toc28359098"/>
      <w:bookmarkStart w:id="50" w:name="_Toc28359021"/>
      <w:bookmarkStart w:id="51" w:name="_Toc35393808"/>
      <w:bookmarkStart w:id="52" w:name="_Toc35393639"/>
      <w:r>
        <w:rPr>
          <w:rFonts w:hint="eastAsia" w:ascii="宋体" w:hAnsi="宋体"/>
          <w:color w:val="auto"/>
          <w:szCs w:val="21"/>
          <w:highlight w:val="none"/>
        </w:rPr>
        <w:t>3.</w:t>
      </w:r>
      <w:bookmarkEnd w:id="49"/>
      <w:bookmarkEnd w:id="50"/>
      <w:bookmarkEnd w:id="51"/>
      <w:bookmarkEnd w:id="52"/>
      <w:r>
        <w:rPr>
          <w:rFonts w:hint="eastAsia" w:ascii="宋体" w:hAnsi="宋体"/>
          <w:color w:val="auto"/>
          <w:szCs w:val="21"/>
          <w:highlight w:val="none"/>
        </w:rPr>
        <w:t>项目联系人：</w:t>
      </w:r>
      <w:r>
        <w:rPr>
          <w:rFonts w:hint="eastAsia" w:ascii="宋体" w:hAnsi="宋体"/>
          <w:color w:val="auto"/>
          <w:szCs w:val="21"/>
          <w:highlight w:val="none"/>
          <w:lang w:eastAsia="zh-CN"/>
        </w:rPr>
        <w:t>赵工</w:t>
      </w:r>
    </w:p>
    <w:p w14:paraId="164C722C">
      <w:pPr>
        <w:spacing w:line="440" w:lineRule="exact"/>
        <w:ind w:firstLine="630" w:firstLineChars="300"/>
        <w:rPr>
          <w:rFonts w:hint="eastAsia" w:ascii="宋体" w:hAnsi="宋体" w:eastAsia="宋体"/>
          <w:color w:val="auto"/>
          <w:szCs w:val="21"/>
          <w:highlight w:val="none"/>
          <w:lang w:eastAsia="zh-CN"/>
        </w:rPr>
      </w:pPr>
      <w:r>
        <w:rPr>
          <w:rFonts w:hint="eastAsia" w:ascii="宋体" w:hAnsi="宋体"/>
          <w:color w:val="auto"/>
          <w:szCs w:val="21"/>
          <w:highlight w:val="none"/>
        </w:rPr>
        <w:t>电话：</w:t>
      </w:r>
      <w:r>
        <w:rPr>
          <w:rFonts w:hint="eastAsia" w:ascii="宋体" w:hAnsi="宋体"/>
          <w:color w:val="auto"/>
          <w:szCs w:val="21"/>
          <w:highlight w:val="none"/>
          <w:lang w:eastAsia="zh-CN"/>
        </w:rPr>
        <w:t xml:space="preserve">18820020903 </w:t>
      </w:r>
    </w:p>
    <w:p w14:paraId="52B510FD">
      <w:pPr>
        <w:pStyle w:val="16"/>
        <w:spacing w:line="440" w:lineRule="exact"/>
        <w:ind w:firstLine="630" w:firstLineChars="300"/>
        <w:jc w:val="right"/>
        <w:rPr>
          <w:rFonts w:hint="eastAsia" w:hAnsi="宋体" w:eastAsia="宋体"/>
          <w:color w:val="auto"/>
          <w:sz w:val="21"/>
          <w:highlight w:val="none"/>
          <w:lang w:eastAsia="zh-CN"/>
        </w:rPr>
      </w:pPr>
      <w:r>
        <w:rPr>
          <w:rFonts w:hint="eastAsia" w:hAnsi="宋体"/>
          <w:color w:val="auto"/>
          <w:sz w:val="21"/>
          <w:highlight w:val="none"/>
        </w:rPr>
        <w:t>发布人：</w:t>
      </w:r>
      <w:r>
        <w:rPr>
          <w:rFonts w:hint="eastAsia" w:hAnsi="宋体"/>
          <w:color w:val="auto"/>
          <w:sz w:val="21"/>
          <w:highlight w:val="none"/>
          <w:lang w:eastAsia="zh-CN"/>
        </w:rPr>
        <w:t>广州中天项目管理咨询有限公司</w:t>
      </w:r>
    </w:p>
    <w:p w14:paraId="2F46302D">
      <w:pPr>
        <w:wordWrap w:val="0"/>
        <w:spacing w:line="440" w:lineRule="exact"/>
        <w:ind w:firstLine="420" w:firstLineChars="200"/>
        <w:jc w:val="right"/>
        <w:rPr>
          <w:rFonts w:ascii="宋体" w:hAnsi="宋体"/>
          <w:color w:val="auto"/>
          <w:szCs w:val="21"/>
          <w:highlight w:val="none"/>
        </w:rPr>
      </w:pPr>
      <w:r>
        <w:rPr>
          <w:rFonts w:hint="eastAsia" w:ascii="宋体" w:hAnsi="宋体"/>
          <w:color w:val="auto"/>
          <w:szCs w:val="21"/>
          <w:highlight w:val="none"/>
        </w:rPr>
        <w:t>发布时间：</w:t>
      </w:r>
      <w:r>
        <w:rPr>
          <w:rFonts w:hint="eastAsia" w:ascii="宋体" w:hAnsi="宋体"/>
          <w:color w:val="auto"/>
          <w:szCs w:val="21"/>
          <w:highlight w:val="none"/>
          <w:lang w:val="en-US" w:eastAsia="zh-CN"/>
        </w:rPr>
        <w:t>2024</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8 </w:t>
      </w:r>
      <w:r>
        <w:rPr>
          <w:rFonts w:hint="eastAsia" w:ascii="宋体" w:hAnsi="宋体"/>
          <w:color w:val="auto"/>
          <w:szCs w:val="21"/>
          <w:highlight w:val="none"/>
        </w:rPr>
        <w:t>月</w:t>
      </w:r>
      <w:r>
        <w:rPr>
          <w:rFonts w:hint="eastAsia" w:ascii="宋体" w:hAnsi="宋体"/>
          <w:color w:val="auto"/>
          <w:szCs w:val="21"/>
          <w:highlight w:val="none"/>
          <w:lang w:val="en-US" w:eastAsia="zh-CN"/>
        </w:rPr>
        <w:t>19</w:t>
      </w:r>
      <w:r>
        <w:rPr>
          <w:rFonts w:hint="eastAsia" w:ascii="宋体" w:hAnsi="宋体"/>
          <w:color w:val="auto"/>
          <w:szCs w:val="21"/>
          <w:highlight w:val="none"/>
        </w:rPr>
        <w:t>日</w:t>
      </w:r>
    </w:p>
    <w:bookmarkEnd w:id="3"/>
    <w:p w14:paraId="6F998B59">
      <w:pPr>
        <w:pStyle w:val="2"/>
        <w:spacing w:before="0" w:after="0" w:line="360" w:lineRule="auto"/>
        <w:rPr>
          <w:rFonts w:ascii="宋体" w:hAnsi="宋体"/>
          <w:color w:val="auto"/>
          <w:highlight w:val="none"/>
        </w:rPr>
      </w:pPr>
      <w:bookmarkStart w:id="53" w:name="_Hlt507989741"/>
      <w:bookmarkEnd w:id="53"/>
      <w:bookmarkStart w:id="54" w:name="_Toc111890778"/>
      <w:bookmarkStart w:id="55" w:name="_Toc495977854"/>
      <w:bookmarkStart w:id="56" w:name="_Toc56911022"/>
      <w:r>
        <w:rPr>
          <w:rFonts w:ascii="宋体" w:hAnsi="宋体"/>
          <w:color w:val="auto"/>
          <w:highlight w:val="none"/>
        </w:rPr>
        <w:br w:type="page"/>
      </w:r>
      <w:bookmarkEnd w:id="5"/>
      <w:bookmarkEnd w:id="54"/>
      <w:bookmarkStart w:id="57" w:name="_Toc337541094"/>
      <w:bookmarkStart w:id="58" w:name="_Toc2587"/>
      <w:r>
        <w:rPr>
          <w:rFonts w:hint="eastAsia" w:ascii="宋体" w:hAnsi="宋体"/>
          <w:color w:val="auto"/>
          <w:highlight w:val="none"/>
        </w:rPr>
        <w:t>第一部分  磋商须知</w:t>
      </w:r>
      <w:bookmarkEnd w:id="57"/>
      <w:bookmarkEnd w:id="58"/>
    </w:p>
    <w:p w14:paraId="263A77F7">
      <w:pPr>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磋商须知前附表</w:t>
      </w:r>
    </w:p>
    <w:tbl>
      <w:tblPr>
        <w:tblStyle w:val="33"/>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1"/>
        <w:gridCol w:w="2193"/>
        <w:gridCol w:w="6873"/>
      </w:tblGrid>
      <w:tr w14:paraId="4136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18972606">
            <w:pPr>
              <w:pStyle w:val="16"/>
              <w:adjustRightInd w:val="0"/>
              <w:snapToGrid w:val="0"/>
              <w:spacing w:line="276" w:lineRule="auto"/>
              <w:jc w:val="center"/>
              <w:rPr>
                <w:rFonts w:hAnsi="宋体" w:cs="宋体"/>
                <w:b/>
                <w:color w:val="auto"/>
                <w:sz w:val="21"/>
                <w:highlight w:val="none"/>
              </w:rPr>
            </w:pPr>
            <w:r>
              <w:rPr>
                <w:rFonts w:hint="eastAsia" w:hAnsi="宋体" w:cs="宋体"/>
                <w:b/>
                <w:color w:val="auto"/>
                <w:sz w:val="21"/>
                <w:highlight w:val="none"/>
              </w:rPr>
              <w:t>序号</w:t>
            </w:r>
          </w:p>
        </w:tc>
        <w:tc>
          <w:tcPr>
            <w:tcW w:w="2193" w:type="dxa"/>
            <w:tcBorders>
              <w:top w:val="single" w:color="auto" w:sz="4" w:space="0"/>
              <w:left w:val="single" w:color="auto" w:sz="4" w:space="0"/>
              <w:bottom w:val="single" w:color="auto" w:sz="4" w:space="0"/>
              <w:right w:val="single" w:color="auto" w:sz="4" w:space="0"/>
            </w:tcBorders>
            <w:vAlign w:val="center"/>
          </w:tcPr>
          <w:p w14:paraId="2BAE8301">
            <w:pPr>
              <w:pStyle w:val="16"/>
              <w:adjustRightInd w:val="0"/>
              <w:snapToGrid w:val="0"/>
              <w:spacing w:line="276" w:lineRule="auto"/>
              <w:jc w:val="center"/>
              <w:rPr>
                <w:rFonts w:hAnsi="宋体" w:cs="宋体"/>
                <w:b/>
                <w:color w:val="auto"/>
                <w:sz w:val="21"/>
                <w:highlight w:val="none"/>
              </w:rPr>
            </w:pPr>
            <w:r>
              <w:rPr>
                <w:rFonts w:hint="eastAsia" w:hAnsi="宋体" w:cs="宋体"/>
                <w:b/>
                <w:color w:val="auto"/>
                <w:sz w:val="21"/>
                <w:highlight w:val="none"/>
              </w:rPr>
              <w:t>项目</w:t>
            </w:r>
          </w:p>
        </w:tc>
        <w:tc>
          <w:tcPr>
            <w:tcW w:w="6873" w:type="dxa"/>
            <w:tcBorders>
              <w:top w:val="single" w:color="auto" w:sz="4" w:space="0"/>
              <w:left w:val="single" w:color="auto" w:sz="4" w:space="0"/>
              <w:bottom w:val="single" w:color="auto" w:sz="4" w:space="0"/>
              <w:right w:val="single" w:color="auto" w:sz="4" w:space="0"/>
            </w:tcBorders>
            <w:vAlign w:val="center"/>
          </w:tcPr>
          <w:p w14:paraId="129B6B1D">
            <w:pPr>
              <w:pStyle w:val="16"/>
              <w:adjustRightInd w:val="0"/>
              <w:snapToGrid w:val="0"/>
              <w:spacing w:line="276" w:lineRule="auto"/>
              <w:jc w:val="center"/>
              <w:rPr>
                <w:rFonts w:hAnsi="宋体" w:cs="宋体"/>
                <w:b/>
                <w:color w:val="auto"/>
                <w:sz w:val="21"/>
                <w:highlight w:val="none"/>
              </w:rPr>
            </w:pPr>
            <w:r>
              <w:rPr>
                <w:rFonts w:hint="eastAsia" w:hAnsi="宋体" w:cs="宋体"/>
                <w:b/>
                <w:color w:val="auto"/>
                <w:sz w:val="21"/>
                <w:highlight w:val="none"/>
              </w:rPr>
              <w:t>内容</w:t>
            </w:r>
          </w:p>
        </w:tc>
      </w:tr>
      <w:tr w14:paraId="4347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B57216D">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74AB9580">
            <w:pPr>
              <w:pStyle w:val="16"/>
              <w:adjustRightInd w:val="0"/>
              <w:snapToGrid w:val="0"/>
              <w:spacing w:line="276" w:lineRule="auto"/>
              <w:jc w:val="center"/>
              <w:rPr>
                <w:rFonts w:hAnsi="宋体" w:cs="宋体"/>
                <w:color w:val="auto"/>
                <w:sz w:val="21"/>
                <w:highlight w:val="none"/>
              </w:rPr>
            </w:pPr>
            <w:r>
              <w:rPr>
                <w:rFonts w:hint="eastAsia" w:hAnsi="宋体" w:cs="宋体"/>
                <w:color w:val="auto"/>
                <w:sz w:val="21"/>
                <w:highlight w:val="none"/>
              </w:rPr>
              <w:t>采购人名称</w:t>
            </w:r>
          </w:p>
        </w:tc>
        <w:tc>
          <w:tcPr>
            <w:tcW w:w="6873" w:type="dxa"/>
            <w:tcBorders>
              <w:top w:val="single" w:color="auto" w:sz="4" w:space="0"/>
              <w:left w:val="single" w:color="auto" w:sz="4" w:space="0"/>
              <w:bottom w:val="single" w:color="auto" w:sz="4" w:space="0"/>
              <w:right w:val="single" w:color="auto" w:sz="4" w:space="0"/>
            </w:tcBorders>
            <w:vAlign w:val="center"/>
          </w:tcPr>
          <w:p w14:paraId="570905C3">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广州市南沙区万顷沙镇人民政府</w:t>
            </w:r>
          </w:p>
        </w:tc>
      </w:tr>
      <w:tr w14:paraId="3B61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AD7D6AE">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1F4296CE">
            <w:pPr>
              <w:pStyle w:val="16"/>
              <w:adjustRightInd w:val="0"/>
              <w:snapToGrid w:val="0"/>
              <w:spacing w:line="276" w:lineRule="auto"/>
              <w:jc w:val="center"/>
              <w:rPr>
                <w:rFonts w:hAnsi="宋体" w:cs="宋体"/>
                <w:color w:val="auto"/>
                <w:sz w:val="21"/>
                <w:highlight w:val="none"/>
              </w:rPr>
            </w:pPr>
            <w:r>
              <w:rPr>
                <w:rFonts w:hint="eastAsia" w:hAnsi="宋体" w:cs="宋体"/>
                <w:bCs/>
                <w:color w:val="auto"/>
                <w:sz w:val="21"/>
                <w:highlight w:val="none"/>
              </w:rPr>
              <w:t>最高限价及资金来源</w:t>
            </w:r>
          </w:p>
        </w:tc>
        <w:tc>
          <w:tcPr>
            <w:tcW w:w="6873" w:type="dxa"/>
            <w:tcBorders>
              <w:top w:val="single" w:color="auto" w:sz="4" w:space="0"/>
              <w:left w:val="single" w:color="auto" w:sz="4" w:space="0"/>
              <w:bottom w:val="single" w:color="auto" w:sz="4" w:space="0"/>
              <w:right w:val="single" w:color="auto" w:sz="4" w:space="0"/>
            </w:tcBorders>
            <w:vAlign w:val="center"/>
          </w:tcPr>
          <w:p w14:paraId="0BE6A69A">
            <w:pPr>
              <w:pStyle w:val="16"/>
              <w:adjustRightInd w:val="0"/>
              <w:snapToGrid w:val="0"/>
              <w:spacing w:line="276" w:lineRule="auto"/>
              <w:rPr>
                <w:rFonts w:hAnsi="宋体" w:cs="宋体"/>
                <w:color w:val="auto"/>
                <w:sz w:val="21"/>
                <w:highlight w:val="none"/>
              </w:rPr>
            </w:pPr>
            <w:r>
              <w:rPr>
                <w:rFonts w:hint="eastAsia" w:hAnsi="宋体" w:cs="宋体"/>
                <w:color w:val="auto"/>
                <w:sz w:val="21"/>
                <w:highlight w:val="none"/>
              </w:rPr>
              <w:t>本项目最高限价：人民币</w:t>
            </w:r>
            <w:r>
              <w:rPr>
                <w:rFonts w:hint="eastAsia" w:hAnsi="宋体" w:cs="宋体"/>
                <w:color w:val="auto"/>
                <w:sz w:val="21"/>
                <w:highlight w:val="none"/>
                <w:lang w:eastAsia="zh-CN"/>
              </w:rPr>
              <w:t>891432.00</w:t>
            </w:r>
            <w:r>
              <w:rPr>
                <w:rFonts w:hint="eastAsia" w:hAnsi="宋体" w:cs="宋体"/>
                <w:color w:val="auto"/>
                <w:sz w:val="21"/>
                <w:highlight w:val="none"/>
              </w:rPr>
              <w:t>元</w:t>
            </w:r>
            <w:r>
              <w:rPr>
                <w:rFonts w:hint="eastAsia" w:hAnsi="宋体" w:cs="宋体"/>
                <w:color w:val="auto"/>
                <w:sz w:val="21"/>
                <w:highlight w:val="none"/>
                <w:lang w:val="en-US" w:eastAsia="zh-CN"/>
              </w:rPr>
              <w:t>（大写：捌拾玖万壹仟肆佰叁拾贰元整）</w:t>
            </w:r>
          </w:p>
          <w:p w14:paraId="12D30B0E">
            <w:pPr>
              <w:pStyle w:val="16"/>
              <w:adjustRightInd w:val="0"/>
              <w:snapToGrid w:val="0"/>
              <w:spacing w:line="276" w:lineRule="auto"/>
              <w:rPr>
                <w:rFonts w:hAnsi="宋体" w:cs="宋体"/>
                <w:color w:val="auto"/>
                <w:sz w:val="21"/>
                <w:highlight w:val="none"/>
              </w:rPr>
            </w:pPr>
            <w:r>
              <w:rPr>
                <w:rFonts w:hint="eastAsia" w:hAnsi="宋体" w:cs="宋体"/>
                <w:color w:val="auto"/>
                <w:sz w:val="21"/>
                <w:highlight w:val="none"/>
              </w:rPr>
              <w:t>资金来源：财政性资金。</w:t>
            </w:r>
          </w:p>
        </w:tc>
      </w:tr>
      <w:tr w14:paraId="78F2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75C7429">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736F532F">
            <w:pPr>
              <w:pStyle w:val="16"/>
              <w:adjustRightInd w:val="0"/>
              <w:snapToGrid w:val="0"/>
              <w:spacing w:line="276" w:lineRule="auto"/>
              <w:jc w:val="center"/>
              <w:rPr>
                <w:rFonts w:hAnsi="宋体" w:cs="宋体"/>
                <w:color w:val="auto"/>
                <w:sz w:val="21"/>
                <w:highlight w:val="none"/>
              </w:rPr>
            </w:pPr>
            <w:r>
              <w:rPr>
                <w:rFonts w:hint="eastAsia" w:hAnsi="宋体" w:cs="宋体"/>
                <w:bCs/>
                <w:color w:val="auto"/>
                <w:sz w:val="21"/>
                <w:highlight w:val="none"/>
              </w:rPr>
              <w:t>答疑及踏勘现场等</w:t>
            </w:r>
          </w:p>
        </w:tc>
        <w:tc>
          <w:tcPr>
            <w:tcW w:w="6873" w:type="dxa"/>
            <w:tcBorders>
              <w:top w:val="single" w:color="auto" w:sz="4" w:space="0"/>
              <w:left w:val="single" w:color="auto" w:sz="4" w:space="0"/>
              <w:bottom w:val="single" w:color="auto" w:sz="4" w:space="0"/>
              <w:right w:val="single" w:color="auto" w:sz="4" w:space="0"/>
            </w:tcBorders>
            <w:vAlign w:val="center"/>
          </w:tcPr>
          <w:p w14:paraId="1B259CFD">
            <w:pPr>
              <w:pStyle w:val="16"/>
              <w:adjustRightInd w:val="0"/>
              <w:snapToGrid w:val="0"/>
              <w:spacing w:line="276" w:lineRule="auto"/>
              <w:rPr>
                <w:rFonts w:hAnsi="宋体" w:cs="宋体"/>
                <w:bCs/>
                <w:color w:val="auto"/>
                <w:sz w:val="21"/>
                <w:highlight w:val="none"/>
              </w:rPr>
            </w:pPr>
            <w:r>
              <w:rPr>
                <w:rFonts w:hint="eastAsia" w:hAnsi="宋体" w:cs="宋体"/>
                <w:color w:val="auto"/>
                <w:sz w:val="21"/>
                <w:highlight w:val="none"/>
              </w:rPr>
              <w:t>本项目不举行集中答疑会</w:t>
            </w:r>
            <w:r>
              <w:rPr>
                <w:rFonts w:hint="eastAsia" w:hAnsi="宋体" w:cs="宋体"/>
                <w:bCs/>
                <w:color w:val="auto"/>
                <w:sz w:val="21"/>
                <w:highlight w:val="none"/>
              </w:rPr>
              <w:t>。</w:t>
            </w:r>
          </w:p>
          <w:p w14:paraId="5A2FD42E">
            <w:pPr>
              <w:pStyle w:val="16"/>
              <w:tabs>
                <w:tab w:val="left" w:pos="1084"/>
              </w:tabs>
              <w:adjustRightInd w:val="0"/>
              <w:snapToGrid w:val="0"/>
              <w:spacing w:line="276" w:lineRule="auto"/>
              <w:rPr>
                <w:rFonts w:hAnsi="宋体" w:cs="宋体"/>
                <w:bCs/>
                <w:color w:val="auto"/>
                <w:sz w:val="21"/>
                <w:highlight w:val="none"/>
              </w:rPr>
            </w:pPr>
            <w:r>
              <w:rPr>
                <w:rFonts w:hint="eastAsia" w:hAnsi="宋体" w:cs="宋体"/>
                <w:color w:val="auto"/>
                <w:sz w:val="21"/>
                <w:highlight w:val="none"/>
              </w:rPr>
              <w:t>本项目不举行</w:t>
            </w:r>
            <w:r>
              <w:rPr>
                <w:rFonts w:hint="eastAsia" w:hAnsi="宋体" w:cs="宋体"/>
                <w:bCs/>
                <w:color w:val="auto"/>
                <w:sz w:val="21"/>
                <w:highlight w:val="none"/>
              </w:rPr>
              <w:t>现场踏勘。</w:t>
            </w:r>
          </w:p>
        </w:tc>
      </w:tr>
      <w:tr w14:paraId="13CD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571DB43">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2E4F0AEF">
            <w:pPr>
              <w:pStyle w:val="16"/>
              <w:adjustRightInd w:val="0"/>
              <w:snapToGrid w:val="0"/>
              <w:spacing w:line="276" w:lineRule="auto"/>
              <w:jc w:val="center"/>
              <w:rPr>
                <w:rFonts w:hAnsi="宋体" w:cs="宋体"/>
                <w:color w:val="auto"/>
                <w:sz w:val="21"/>
                <w:highlight w:val="none"/>
              </w:rPr>
            </w:pPr>
            <w:r>
              <w:rPr>
                <w:rFonts w:hint="eastAsia" w:hAnsi="宋体" w:cs="宋体"/>
                <w:color w:val="auto"/>
                <w:sz w:val="21"/>
                <w:highlight w:val="none"/>
              </w:rPr>
              <w:t>磋商有效期</w:t>
            </w:r>
          </w:p>
        </w:tc>
        <w:tc>
          <w:tcPr>
            <w:tcW w:w="6873" w:type="dxa"/>
            <w:tcBorders>
              <w:top w:val="single" w:color="auto" w:sz="4" w:space="0"/>
              <w:left w:val="single" w:color="auto" w:sz="4" w:space="0"/>
              <w:bottom w:val="single" w:color="auto" w:sz="4" w:space="0"/>
              <w:right w:val="single" w:color="auto" w:sz="4" w:space="0"/>
            </w:tcBorders>
            <w:vAlign w:val="center"/>
          </w:tcPr>
          <w:p w14:paraId="585870C4">
            <w:pPr>
              <w:pStyle w:val="11"/>
              <w:spacing w:line="276" w:lineRule="auto"/>
              <w:jc w:val="both"/>
              <w:rPr>
                <w:rFonts w:ascii="宋体" w:hAnsi="宋体" w:cs="宋体"/>
                <w:color w:val="auto"/>
                <w:szCs w:val="21"/>
                <w:highlight w:val="none"/>
                <w:lang w:val="en-US"/>
              </w:rPr>
            </w:pPr>
            <w:r>
              <w:rPr>
                <w:rFonts w:hint="eastAsia" w:ascii="宋体" w:hAnsi="宋体" w:cs="宋体"/>
                <w:color w:val="auto"/>
                <w:szCs w:val="21"/>
                <w:highlight w:val="none"/>
                <w:lang w:val="en-US"/>
              </w:rPr>
              <w:t>自</w:t>
            </w:r>
            <w:r>
              <w:rPr>
                <w:rFonts w:hint="eastAsia" w:ascii="宋体" w:hAnsi="宋体" w:cs="宋体"/>
                <w:color w:val="auto"/>
                <w:szCs w:val="21"/>
                <w:highlight w:val="none"/>
                <w:shd w:val="clear" w:color="auto" w:fill="FFFFFF"/>
              </w:rPr>
              <w:t>提交首次响应文件</w:t>
            </w:r>
            <w:r>
              <w:rPr>
                <w:rFonts w:hint="eastAsia" w:ascii="宋体" w:hAnsi="宋体" w:cs="宋体"/>
                <w:color w:val="auto"/>
                <w:szCs w:val="21"/>
                <w:highlight w:val="none"/>
                <w:lang w:val="en-US"/>
              </w:rPr>
              <w:t>截止之日起</w:t>
            </w:r>
            <w:r>
              <w:rPr>
                <w:rFonts w:hint="eastAsia" w:ascii="宋体" w:hAnsi="宋体" w:cs="宋体"/>
                <w:color w:val="auto"/>
                <w:szCs w:val="21"/>
                <w:highlight w:val="none"/>
                <w:u w:val="single"/>
                <w:lang w:val="en-US"/>
              </w:rPr>
              <w:t>90</w:t>
            </w:r>
            <w:r>
              <w:rPr>
                <w:rFonts w:hint="eastAsia" w:ascii="宋体" w:hAnsi="宋体" w:cs="宋体"/>
                <w:color w:val="auto"/>
                <w:szCs w:val="21"/>
                <w:highlight w:val="none"/>
                <w:lang w:val="en-US"/>
              </w:rPr>
              <w:t>日。</w:t>
            </w:r>
          </w:p>
        </w:tc>
      </w:tr>
      <w:tr w14:paraId="5C46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right w:val="single" w:color="auto" w:sz="4" w:space="0"/>
            </w:tcBorders>
            <w:vAlign w:val="center"/>
          </w:tcPr>
          <w:p w14:paraId="1F87E11A">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41A62C65">
            <w:pPr>
              <w:pStyle w:val="16"/>
              <w:adjustRightInd w:val="0"/>
              <w:snapToGrid w:val="0"/>
              <w:spacing w:line="276" w:lineRule="auto"/>
              <w:jc w:val="center"/>
              <w:rPr>
                <w:rFonts w:hAnsi="宋体" w:cs="宋体"/>
                <w:color w:val="auto"/>
                <w:sz w:val="21"/>
                <w:highlight w:val="none"/>
              </w:rPr>
            </w:pPr>
            <w:r>
              <w:rPr>
                <w:rFonts w:hint="eastAsia" w:hAnsi="宋体" w:cs="宋体"/>
                <w:bCs/>
                <w:color w:val="auto"/>
                <w:sz w:val="21"/>
                <w:highlight w:val="none"/>
              </w:rPr>
              <w:t>磋商保证金</w:t>
            </w:r>
          </w:p>
        </w:tc>
        <w:tc>
          <w:tcPr>
            <w:tcW w:w="6873" w:type="dxa"/>
            <w:tcBorders>
              <w:top w:val="single" w:color="auto" w:sz="4" w:space="0"/>
              <w:left w:val="single" w:color="auto" w:sz="4" w:space="0"/>
              <w:right w:val="single" w:color="auto" w:sz="4" w:space="0"/>
            </w:tcBorders>
            <w:vAlign w:val="center"/>
          </w:tcPr>
          <w:p w14:paraId="5102BC40">
            <w:pPr>
              <w:pStyle w:val="11"/>
              <w:spacing w:line="276" w:lineRule="auto"/>
              <w:jc w:val="both"/>
              <w:rPr>
                <w:rFonts w:ascii="宋体" w:hAnsi="宋体" w:cs="宋体"/>
                <w:color w:val="auto"/>
                <w:szCs w:val="21"/>
                <w:highlight w:val="none"/>
                <w:lang w:val="en-US"/>
              </w:rPr>
            </w:pPr>
            <w:r>
              <w:rPr>
                <w:rFonts w:hint="eastAsia" w:ascii="宋体" w:hAnsi="宋体" w:cs="宋体"/>
                <w:color w:val="auto"/>
                <w:szCs w:val="21"/>
                <w:highlight w:val="none"/>
                <w:lang w:val="en-US"/>
              </w:rPr>
              <w:t>本项目不需要提交磋商保证金。</w:t>
            </w:r>
          </w:p>
        </w:tc>
      </w:tr>
      <w:tr w14:paraId="330A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vMerge w:val="restart"/>
            <w:tcBorders>
              <w:top w:val="single" w:color="auto" w:sz="4" w:space="0"/>
              <w:left w:val="single" w:color="auto" w:sz="4" w:space="0"/>
              <w:right w:val="single" w:color="auto" w:sz="4" w:space="0"/>
            </w:tcBorders>
            <w:vAlign w:val="center"/>
          </w:tcPr>
          <w:p w14:paraId="3ECC5213">
            <w:pPr>
              <w:numPr>
                <w:ilvl w:val="0"/>
                <w:numId w:val="4"/>
              </w:numPr>
              <w:tabs>
                <w:tab w:val="clear" w:pos="0"/>
              </w:tabs>
              <w:spacing w:line="300" w:lineRule="exact"/>
              <w:jc w:val="center"/>
              <w:rPr>
                <w:rFonts w:ascii="宋体" w:hAnsi="宋体" w:cs="宋体"/>
                <w:color w:val="auto"/>
                <w:szCs w:val="21"/>
                <w:highlight w:val="none"/>
              </w:rPr>
            </w:pPr>
          </w:p>
        </w:tc>
        <w:tc>
          <w:tcPr>
            <w:tcW w:w="2193" w:type="dxa"/>
            <w:vMerge w:val="restart"/>
            <w:tcBorders>
              <w:top w:val="single" w:color="auto" w:sz="4" w:space="0"/>
              <w:left w:val="single" w:color="auto" w:sz="4" w:space="0"/>
              <w:right w:val="single" w:color="auto" w:sz="4" w:space="0"/>
            </w:tcBorders>
            <w:vAlign w:val="center"/>
          </w:tcPr>
          <w:p w14:paraId="5EB64DF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6873" w:type="dxa"/>
            <w:tcBorders>
              <w:top w:val="single" w:color="auto" w:sz="4" w:space="0"/>
              <w:left w:val="single" w:color="auto" w:sz="4" w:space="0"/>
              <w:bottom w:val="single" w:color="auto" w:sz="4" w:space="0"/>
              <w:right w:val="single" w:color="auto" w:sz="4" w:space="0"/>
            </w:tcBorders>
            <w:vAlign w:val="center"/>
          </w:tcPr>
          <w:p w14:paraId="1D31EA2F">
            <w:pPr>
              <w:tabs>
                <w:tab w:val="left" w:pos="720"/>
              </w:tabs>
              <w:snapToGrid w:val="0"/>
              <w:spacing w:line="276" w:lineRule="auto"/>
              <w:ind w:left="4" w:leftChars="2"/>
              <w:rPr>
                <w:rFonts w:ascii="宋体" w:hAnsi="宋体" w:cs="宋体"/>
                <w:color w:val="auto"/>
                <w:szCs w:val="21"/>
                <w:highlight w:val="none"/>
              </w:rPr>
            </w:pPr>
            <w:r>
              <w:rPr>
                <w:rFonts w:hint="eastAsia" w:ascii="宋体" w:hAnsi="宋体" w:cs="宋体"/>
                <w:color w:val="auto"/>
                <w:szCs w:val="21"/>
                <w:highlight w:val="none"/>
              </w:rPr>
              <w:t>正本壹份、副本叁份和不作任何加密的电子响应文件（U盘或光盘）壹份。电子响应文件须带签章且与纸质响应文件一致，提供纸质响应文件的PDF扫描版本。</w:t>
            </w:r>
          </w:p>
        </w:tc>
      </w:tr>
      <w:tr w14:paraId="7017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vMerge w:val="continue"/>
            <w:tcBorders>
              <w:left w:val="single" w:color="auto" w:sz="4" w:space="0"/>
              <w:bottom w:val="single" w:color="auto" w:sz="4" w:space="0"/>
              <w:right w:val="single" w:color="auto" w:sz="4" w:space="0"/>
            </w:tcBorders>
            <w:vAlign w:val="center"/>
          </w:tcPr>
          <w:p w14:paraId="77BE3E94">
            <w:pPr>
              <w:numPr>
                <w:ilvl w:val="0"/>
                <w:numId w:val="4"/>
              </w:numPr>
              <w:tabs>
                <w:tab w:val="clear" w:pos="0"/>
              </w:tabs>
              <w:spacing w:line="300" w:lineRule="exact"/>
              <w:jc w:val="center"/>
              <w:rPr>
                <w:rFonts w:ascii="宋体" w:hAnsi="宋体" w:cs="宋体"/>
                <w:color w:val="auto"/>
                <w:szCs w:val="21"/>
                <w:highlight w:val="none"/>
              </w:rPr>
            </w:pPr>
          </w:p>
        </w:tc>
        <w:tc>
          <w:tcPr>
            <w:tcW w:w="2193" w:type="dxa"/>
            <w:vMerge w:val="continue"/>
            <w:tcBorders>
              <w:left w:val="single" w:color="auto" w:sz="4" w:space="0"/>
              <w:bottom w:val="single" w:color="auto" w:sz="4" w:space="0"/>
              <w:right w:val="single" w:color="auto" w:sz="4" w:space="0"/>
            </w:tcBorders>
            <w:vAlign w:val="center"/>
          </w:tcPr>
          <w:p w14:paraId="153F86F6">
            <w:pPr>
              <w:spacing w:line="276" w:lineRule="auto"/>
              <w:jc w:val="center"/>
              <w:rPr>
                <w:rFonts w:ascii="宋体" w:hAnsi="宋体" w:cs="宋体"/>
                <w:color w:val="auto"/>
                <w:szCs w:val="21"/>
                <w:highlight w:val="none"/>
              </w:rPr>
            </w:pPr>
          </w:p>
        </w:tc>
        <w:tc>
          <w:tcPr>
            <w:tcW w:w="6873" w:type="dxa"/>
            <w:tcBorders>
              <w:top w:val="single" w:color="auto" w:sz="4" w:space="0"/>
              <w:left w:val="single" w:color="auto" w:sz="4" w:space="0"/>
              <w:bottom w:val="single" w:color="auto" w:sz="4" w:space="0"/>
              <w:right w:val="single" w:color="auto" w:sz="4" w:space="0"/>
            </w:tcBorders>
            <w:vAlign w:val="center"/>
          </w:tcPr>
          <w:p w14:paraId="054A5C3C">
            <w:pPr>
              <w:tabs>
                <w:tab w:val="left" w:pos="720"/>
              </w:tabs>
              <w:snapToGrid w:val="0"/>
              <w:spacing w:line="276" w:lineRule="auto"/>
              <w:ind w:left="4" w:leftChars="2"/>
              <w:rPr>
                <w:rFonts w:ascii="宋体" w:hAnsi="宋体" w:cs="宋体"/>
                <w:color w:val="auto"/>
                <w:szCs w:val="21"/>
                <w:highlight w:val="none"/>
              </w:rPr>
            </w:pPr>
            <w:r>
              <w:rPr>
                <w:rFonts w:hint="eastAsia" w:ascii="宋体" w:hAnsi="宋体" w:cs="宋体"/>
                <w:color w:val="auto"/>
                <w:szCs w:val="21"/>
                <w:highlight w:val="none"/>
              </w:rPr>
              <w:t>正本和电子响应文件一起封装，副本一起封装，建议封套盖章并标明项目名称、项目编号、供应商名称及“正本”、“副本”等字样。</w:t>
            </w:r>
          </w:p>
        </w:tc>
      </w:tr>
      <w:tr w14:paraId="1E47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left w:val="single" w:color="auto" w:sz="4" w:space="0"/>
              <w:bottom w:val="single" w:color="auto" w:sz="4" w:space="0"/>
              <w:right w:val="single" w:color="auto" w:sz="4" w:space="0"/>
            </w:tcBorders>
            <w:vAlign w:val="center"/>
          </w:tcPr>
          <w:p w14:paraId="4A44CC5E">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left w:val="single" w:color="auto" w:sz="4" w:space="0"/>
              <w:bottom w:val="single" w:color="auto" w:sz="4" w:space="0"/>
              <w:right w:val="single" w:color="auto" w:sz="4" w:space="0"/>
            </w:tcBorders>
            <w:vAlign w:val="center"/>
          </w:tcPr>
          <w:p w14:paraId="73A5E57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演示与述标</w:t>
            </w:r>
          </w:p>
        </w:tc>
        <w:tc>
          <w:tcPr>
            <w:tcW w:w="6873" w:type="dxa"/>
            <w:tcBorders>
              <w:top w:val="single" w:color="auto" w:sz="4" w:space="0"/>
              <w:left w:val="single" w:color="auto" w:sz="4" w:space="0"/>
              <w:bottom w:val="single" w:color="auto" w:sz="4" w:space="0"/>
              <w:right w:val="single" w:color="auto" w:sz="4" w:space="0"/>
            </w:tcBorders>
            <w:vAlign w:val="center"/>
          </w:tcPr>
          <w:p w14:paraId="26FF620B">
            <w:pPr>
              <w:tabs>
                <w:tab w:val="left" w:pos="720"/>
              </w:tabs>
              <w:snapToGrid w:val="0"/>
              <w:spacing w:line="276" w:lineRule="auto"/>
              <w:ind w:left="4" w:leftChars="2"/>
              <w:rPr>
                <w:rFonts w:ascii="宋体" w:hAnsi="宋体" w:cs="宋体"/>
                <w:color w:val="auto"/>
                <w:szCs w:val="21"/>
                <w:highlight w:val="none"/>
              </w:rPr>
            </w:pPr>
            <w:r>
              <w:rPr>
                <w:rFonts w:hint="eastAsia" w:ascii="宋体" w:hAnsi="宋体" w:cs="宋体"/>
                <w:color w:val="auto"/>
                <w:szCs w:val="21"/>
                <w:highlight w:val="none"/>
              </w:rPr>
              <w:t>无。</w:t>
            </w:r>
          </w:p>
        </w:tc>
      </w:tr>
      <w:tr w14:paraId="4F09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28376764">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666469A2">
            <w:pPr>
              <w:widowControl/>
              <w:spacing w:line="276" w:lineRule="auto"/>
              <w:jc w:val="center"/>
              <w:rPr>
                <w:rFonts w:ascii="宋体" w:hAnsi="宋体" w:cs="宋体"/>
                <w:color w:val="auto"/>
                <w:szCs w:val="21"/>
                <w:highlight w:val="none"/>
              </w:rPr>
            </w:pPr>
            <w:r>
              <w:rPr>
                <w:rFonts w:hint="eastAsia" w:ascii="宋体" w:hAnsi="宋体" w:cs="宋体"/>
                <w:color w:val="auto"/>
                <w:szCs w:val="21"/>
                <w:highlight w:val="none"/>
              </w:rPr>
              <w:t>样品要求</w:t>
            </w:r>
          </w:p>
        </w:tc>
        <w:tc>
          <w:tcPr>
            <w:tcW w:w="6873" w:type="dxa"/>
            <w:tcBorders>
              <w:top w:val="single" w:color="auto" w:sz="4" w:space="0"/>
              <w:left w:val="single" w:color="auto" w:sz="4" w:space="0"/>
              <w:bottom w:val="single" w:color="auto" w:sz="4" w:space="0"/>
              <w:right w:val="single" w:color="auto" w:sz="4" w:space="0"/>
            </w:tcBorders>
            <w:vAlign w:val="center"/>
          </w:tcPr>
          <w:p w14:paraId="20BA63BC">
            <w:pPr>
              <w:tabs>
                <w:tab w:val="left" w:pos="720"/>
              </w:tabs>
              <w:snapToGrid w:val="0"/>
              <w:spacing w:line="276" w:lineRule="auto"/>
              <w:ind w:left="4" w:leftChars="2"/>
              <w:rPr>
                <w:rFonts w:ascii="宋体" w:hAnsi="宋体" w:cs="宋体"/>
                <w:color w:val="auto"/>
                <w:szCs w:val="21"/>
                <w:highlight w:val="none"/>
              </w:rPr>
            </w:pPr>
            <w:r>
              <w:rPr>
                <w:rFonts w:hint="eastAsia" w:ascii="宋体" w:hAnsi="宋体" w:cs="宋体"/>
                <w:color w:val="auto"/>
                <w:szCs w:val="21"/>
                <w:highlight w:val="none"/>
              </w:rPr>
              <w:t>无。</w:t>
            </w:r>
          </w:p>
        </w:tc>
      </w:tr>
      <w:tr w14:paraId="6C6F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78157A3">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4E5F6C9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磋商小组组成</w:t>
            </w:r>
          </w:p>
        </w:tc>
        <w:tc>
          <w:tcPr>
            <w:tcW w:w="6873" w:type="dxa"/>
            <w:tcBorders>
              <w:top w:val="single" w:color="auto" w:sz="4" w:space="0"/>
              <w:left w:val="single" w:color="auto" w:sz="4" w:space="0"/>
              <w:bottom w:val="single" w:color="auto" w:sz="4" w:space="0"/>
              <w:right w:val="single" w:color="auto" w:sz="4" w:space="0"/>
            </w:tcBorders>
            <w:vAlign w:val="center"/>
          </w:tcPr>
          <w:p w14:paraId="37EE3EB3">
            <w:pPr>
              <w:tabs>
                <w:tab w:val="left" w:pos="54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本项目评审工作由依法组建的磋商小组负责完成，磋商小组由3人组成。</w:t>
            </w:r>
          </w:p>
        </w:tc>
      </w:tr>
      <w:tr w14:paraId="7DB6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DF2CB42">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557DD1D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评审方法</w:t>
            </w:r>
          </w:p>
        </w:tc>
        <w:tc>
          <w:tcPr>
            <w:tcW w:w="6873" w:type="dxa"/>
            <w:tcBorders>
              <w:top w:val="single" w:color="auto" w:sz="4" w:space="0"/>
              <w:left w:val="single" w:color="auto" w:sz="4" w:space="0"/>
              <w:bottom w:val="single" w:color="auto" w:sz="4" w:space="0"/>
              <w:right w:val="single" w:color="auto" w:sz="4" w:space="0"/>
            </w:tcBorders>
            <w:vAlign w:val="center"/>
          </w:tcPr>
          <w:p w14:paraId="27DCE8E2">
            <w:pPr>
              <w:spacing w:line="276" w:lineRule="auto"/>
              <w:rPr>
                <w:rFonts w:ascii="宋体" w:hAnsi="宋体" w:cs="宋体"/>
                <w:color w:val="auto"/>
                <w:szCs w:val="21"/>
                <w:highlight w:val="none"/>
              </w:rPr>
            </w:pP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C8D0A85">
            <w:pPr>
              <w:spacing w:line="276" w:lineRule="auto"/>
              <w:rPr>
                <w:rFonts w:ascii="宋体" w:hAnsi="宋体" w:cs="宋体"/>
                <w:color w:val="auto"/>
                <w:szCs w:val="21"/>
                <w:highlight w:val="none"/>
              </w:rPr>
            </w:pPr>
            <w:r>
              <w:rPr>
                <w:rFonts w:hint="eastAsia" w:ascii="宋体" w:hAnsi="宋体" w:cs="宋体"/>
                <w:color w:val="auto"/>
                <w:szCs w:val="21"/>
                <w:highlight w:val="none"/>
              </w:rPr>
              <w:t>综合评分法，是指响应文件满足磋商文件全部实质性要求且按评审因素的量化指标评审得分最高的供应商为成交候选供应商的评审方法。</w:t>
            </w:r>
          </w:p>
        </w:tc>
      </w:tr>
      <w:tr w14:paraId="2C33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6DE6D71">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148FB5B7">
            <w:pPr>
              <w:spacing w:line="276" w:lineRule="auto"/>
              <w:jc w:val="center"/>
              <w:rPr>
                <w:rFonts w:ascii="宋体" w:hAnsi="宋体" w:cs="宋体"/>
                <w:color w:val="auto"/>
                <w:szCs w:val="21"/>
                <w:highlight w:val="none"/>
              </w:rPr>
            </w:pPr>
            <w:r>
              <w:rPr>
                <w:rFonts w:hint="eastAsia" w:ascii="宋体" w:hAnsi="宋体" w:cs="宋体"/>
                <w:bCs/>
                <w:color w:val="auto"/>
                <w:szCs w:val="21"/>
                <w:highlight w:val="none"/>
              </w:rPr>
              <w:t>成交候选人的推荐</w:t>
            </w:r>
          </w:p>
        </w:tc>
        <w:tc>
          <w:tcPr>
            <w:tcW w:w="6873" w:type="dxa"/>
            <w:tcBorders>
              <w:top w:val="single" w:color="auto" w:sz="4" w:space="0"/>
              <w:left w:val="single" w:color="auto" w:sz="4" w:space="0"/>
              <w:bottom w:val="single" w:color="auto" w:sz="4" w:space="0"/>
              <w:right w:val="single" w:color="auto" w:sz="4" w:space="0"/>
            </w:tcBorders>
            <w:vAlign w:val="center"/>
          </w:tcPr>
          <w:p w14:paraId="210486B2">
            <w:pPr>
              <w:numPr>
                <w:ilvl w:val="0"/>
                <w:numId w:val="5"/>
              </w:numPr>
              <w:autoSpaceDE w:val="0"/>
              <w:autoSpaceDN w:val="0"/>
              <w:adjustRightInd w:val="0"/>
              <w:spacing w:before="96" w:line="276" w:lineRule="auto"/>
              <w:ind w:right="140"/>
              <w:rPr>
                <w:rFonts w:ascii="宋体" w:hAnsi="宋体" w:cs="宋体"/>
                <w:bCs/>
                <w:color w:val="auto"/>
                <w:szCs w:val="21"/>
                <w:highlight w:val="none"/>
              </w:rPr>
            </w:pPr>
            <w:r>
              <w:rPr>
                <w:rFonts w:hint="eastAsia" w:ascii="宋体" w:hAnsi="宋体" w:cs="宋体"/>
                <w:color w:val="auto"/>
                <w:szCs w:val="21"/>
                <w:highlight w:val="none"/>
              </w:rPr>
              <w:t>磋商小组根据综合评分情况，</w:t>
            </w:r>
            <w:r>
              <w:rPr>
                <w:rFonts w:hint="eastAsia" w:ascii="宋体" w:hAnsi="宋体" w:cs="宋体"/>
                <w:bCs/>
                <w:color w:val="auto"/>
                <w:szCs w:val="21"/>
                <w:highlight w:val="none"/>
              </w:rPr>
              <w:t>编写书面的评审报告，按综合得分高低次序排出名次，并推荐综合得分排名第一的供应商为第一成交候选人，排名第二的供应商为第二成交候选人，排名第三的供应商为第三成交候选人。</w:t>
            </w:r>
          </w:p>
          <w:p w14:paraId="249DF0AC">
            <w:pPr>
              <w:numPr>
                <w:ilvl w:val="0"/>
                <w:numId w:val="5"/>
              </w:numPr>
              <w:autoSpaceDE w:val="0"/>
              <w:autoSpaceDN w:val="0"/>
              <w:adjustRightInd w:val="0"/>
              <w:spacing w:before="96" w:line="276" w:lineRule="auto"/>
              <w:ind w:right="140"/>
              <w:rPr>
                <w:rFonts w:ascii="宋体" w:hAnsi="宋体" w:cs="宋体"/>
                <w:bCs/>
                <w:color w:val="auto"/>
                <w:szCs w:val="21"/>
                <w:highlight w:val="none"/>
              </w:rPr>
            </w:pPr>
            <w:r>
              <w:rPr>
                <w:rFonts w:hint="eastAsia" w:ascii="宋体" w:hAnsi="宋体" w:cs="宋体"/>
                <w:bCs/>
                <w:color w:val="auto"/>
                <w:szCs w:val="21"/>
                <w:highlight w:val="none"/>
              </w:rPr>
              <w:t>若排名第二的供应商的报价高于第一成交候选人报价20%以上的，只推荐1名成交候选人。排名第三的供应商报价高于排名第二的供应商报价 20％（含）以上的，只推荐 2 名成交候选人。</w:t>
            </w:r>
          </w:p>
          <w:p w14:paraId="0F3DC808">
            <w:pPr>
              <w:numPr>
                <w:ilvl w:val="0"/>
                <w:numId w:val="5"/>
              </w:numPr>
              <w:autoSpaceDE w:val="0"/>
              <w:autoSpaceDN w:val="0"/>
              <w:adjustRightInd w:val="0"/>
              <w:spacing w:before="96" w:line="276" w:lineRule="auto"/>
              <w:ind w:right="140"/>
              <w:rPr>
                <w:rFonts w:ascii="宋体" w:hAnsi="宋体" w:cs="宋体"/>
                <w:bCs/>
                <w:color w:val="auto"/>
                <w:szCs w:val="21"/>
                <w:highlight w:val="none"/>
              </w:rPr>
            </w:pPr>
            <w:r>
              <w:rPr>
                <w:rFonts w:hint="eastAsia" w:ascii="宋体" w:hAnsi="宋体" w:cs="宋体"/>
                <w:bCs/>
                <w:color w:val="auto"/>
                <w:szCs w:val="21"/>
                <w:highlight w:val="none"/>
              </w:rPr>
              <w:t>综合</w:t>
            </w:r>
            <w:r>
              <w:rPr>
                <w:rFonts w:hint="eastAsia" w:ascii="宋体" w:hAnsi="宋体" w:cs="宋体"/>
                <w:color w:val="auto"/>
                <w:szCs w:val="21"/>
                <w:highlight w:val="none"/>
              </w:rPr>
              <w:t>得分相同的，按照最后报价由低到高的顺序推荐。</w:t>
            </w:r>
            <w:r>
              <w:rPr>
                <w:rFonts w:hint="eastAsia" w:ascii="宋体" w:hAnsi="宋体" w:cs="宋体"/>
                <w:bCs/>
                <w:color w:val="auto"/>
                <w:szCs w:val="21"/>
                <w:highlight w:val="none"/>
              </w:rPr>
              <w:t>综合得分</w:t>
            </w:r>
            <w:r>
              <w:rPr>
                <w:rFonts w:hint="eastAsia" w:ascii="宋体" w:hAnsi="宋体" w:cs="宋体"/>
                <w:color w:val="auto"/>
                <w:szCs w:val="21"/>
                <w:highlight w:val="none"/>
              </w:rPr>
              <w:t>且最后报价相同的，按照技术指标优劣顺序推荐。</w:t>
            </w:r>
            <w:r>
              <w:rPr>
                <w:rFonts w:hint="eastAsia" w:ascii="宋体" w:hAnsi="宋体" w:cs="宋体"/>
                <w:bCs/>
                <w:color w:val="auto"/>
                <w:szCs w:val="21"/>
                <w:highlight w:val="none"/>
              </w:rPr>
              <w:t>综合得分相同、评审价和技术评分均相同的，名次由磋商小组抽签确定。法律法规有明确规定的，以法律法规规定为准。</w:t>
            </w:r>
          </w:p>
        </w:tc>
      </w:tr>
      <w:tr w14:paraId="1AE9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right w:val="single" w:color="auto" w:sz="4" w:space="0"/>
            </w:tcBorders>
            <w:vAlign w:val="center"/>
          </w:tcPr>
          <w:p w14:paraId="5F95EF71">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6B20B9ED">
            <w:pPr>
              <w:pStyle w:val="16"/>
              <w:adjustRightInd w:val="0"/>
              <w:snapToGrid w:val="0"/>
              <w:spacing w:line="276" w:lineRule="auto"/>
              <w:jc w:val="center"/>
              <w:rPr>
                <w:rFonts w:hAnsi="宋体" w:cs="宋体"/>
                <w:color w:val="auto"/>
                <w:sz w:val="21"/>
                <w:highlight w:val="none"/>
              </w:rPr>
            </w:pPr>
            <w:r>
              <w:rPr>
                <w:rFonts w:hint="eastAsia" w:hAnsi="宋体" w:cs="宋体"/>
                <w:color w:val="auto"/>
                <w:sz w:val="21"/>
                <w:highlight w:val="none"/>
              </w:rPr>
              <w:t>采购代理服务费</w:t>
            </w:r>
          </w:p>
        </w:tc>
        <w:tc>
          <w:tcPr>
            <w:tcW w:w="6873" w:type="dxa"/>
            <w:tcBorders>
              <w:top w:val="single" w:color="auto" w:sz="4" w:space="0"/>
              <w:left w:val="single" w:color="auto" w:sz="4" w:space="0"/>
              <w:bottom w:val="single" w:color="auto" w:sz="4" w:space="0"/>
              <w:right w:val="single" w:color="auto" w:sz="4" w:space="0"/>
            </w:tcBorders>
            <w:vAlign w:val="center"/>
          </w:tcPr>
          <w:p w14:paraId="67AC8F34">
            <w:pPr>
              <w:pStyle w:val="68"/>
              <w:numPr>
                <w:ilvl w:val="0"/>
                <w:numId w:val="6"/>
              </w:numPr>
              <w:tabs>
                <w:tab w:val="left" w:pos="524"/>
                <w:tab w:val="left" w:pos="601"/>
              </w:tabs>
              <w:snapToGrid w:val="0"/>
              <w:ind w:left="99" w:hanging="99" w:firstLineChars="0"/>
              <w:rPr>
                <w:rFonts w:ascii="宋体" w:hAnsi="宋体" w:cs="宋体"/>
                <w:color w:val="auto"/>
                <w:szCs w:val="21"/>
                <w:highlight w:val="none"/>
              </w:rPr>
            </w:pPr>
            <w:r>
              <w:rPr>
                <w:rFonts w:hint="eastAsia" w:ascii="宋体" w:hAnsi="宋体" w:cs="宋体"/>
                <w:color w:val="auto"/>
                <w:szCs w:val="21"/>
                <w:highlight w:val="none"/>
              </w:rPr>
              <w:t>本次采购代理服务费向</w:t>
            </w:r>
            <w:r>
              <w:rPr>
                <w:rFonts w:hint="eastAsia" w:ascii="宋体" w:hAnsi="宋体" w:cs="宋体"/>
                <w:color w:val="auto"/>
                <w:szCs w:val="21"/>
                <w:highlight w:val="none"/>
                <w:u w:val="single"/>
                <w:lang w:val="en-US" w:eastAsia="zh-CN"/>
              </w:rPr>
              <w:t>中标人</w:t>
            </w:r>
            <w:r>
              <w:rPr>
                <w:rFonts w:hint="eastAsia" w:ascii="宋体" w:hAnsi="宋体" w:cs="宋体"/>
                <w:color w:val="auto"/>
                <w:szCs w:val="21"/>
                <w:highlight w:val="none"/>
              </w:rPr>
              <w:t>收取；</w:t>
            </w:r>
          </w:p>
          <w:p w14:paraId="6380608B">
            <w:pPr>
              <w:pStyle w:val="68"/>
              <w:numPr>
                <w:ilvl w:val="0"/>
                <w:numId w:val="6"/>
              </w:numPr>
              <w:tabs>
                <w:tab w:val="left" w:pos="524"/>
                <w:tab w:val="left" w:pos="601"/>
              </w:tabs>
              <w:snapToGrid w:val="0"/>
              <w:ind w:left="99" w:hanging="99" w:firstLineChars="0"/>
              <w:rPr>
                <w:rFonts w:ascii="宋体" w:hAnsi="宋体" w:cs="宋体"/>
                <w:color w:val="auto"/>
                <w:szCs w:val="21"/>
                <w:highlight w:val="none"/>
              </w:rPr>
            </w:pPr>
            <w:r>
              <w:rPr>
                <w:rFonts w:hint="eastAsia" w:ascii="宋体" w:hAnsi="宋体" w:cs="宋体"/>
                <w:color w:val="auto"/>
                <w:szCs w:val="21"/>
                <w:highlight w:val="none"/>
              </w:rPr>
              <w:t>按下述第（3）点方式进行独立计算；</w:t>
            </w:r>
          </w:p>
          <w:p w14:paraId="59221A0F">
            <w:pPr>
              <w:pStyle w:val="68"/>
              <w:numPr>
                <w:ilvl w:val="0"/>
                <w:numId w:val="6"/>
              </w:numPr>
              <w:tabs>
                <w:tab w:val="left" w:pos="524"/>
                <w:tab w:val="left" w:pos="601"/>
              </w:tabs>
              <w:snapToGrid w:val="0"/>
              <w:ind w:left="99" w:hanging="99" w:firstLineChars="0"/>
              <w:rPr>
                <w:rFonts w:ascii="宋体" w:hAnsi="宋体" w:cs="宋体"/>
                <w:color w:val="auto"/>
                <w:kern w:val="0"/>
                <w:szCs w:val="21"/>
                <w:highlight w:val="none"/>
              </w:rPr>
            </w:pPr>
            <w:r>
              <w:rPr>
                <w:rFonts w:hint="eastAsia" w:ascii="宋体" w:hAnsi="宋体" w:cs="宋体"/>
                <w:color w:val="auto"/>
                <w:szCs w:val="21"/>
                <w:highlight w:val="none"/>
              </w:rPr>
              <w:t>按照下述方式向采购代理机构按如下标准和规定缴纳采购代理服务费：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在领取《成交通知书》时须向采购代理机构缴纳招标代理服务费及专家评审费。招标代理服务费参照《招标代理服务收费管理暂行办法》计价格[2002]1980号、《招标代理服务收费管理暂行办法》(发改办价格[2003]857号) 文规定的收费标准，费率参照规定中的“服务招标”收取；专家评审费依据《广东省财政厅关于修订广东省政府采购评审专家劳务报酬标准的通知》(粤财采购[2020]17号) 按实际发生的收取。</w:t>
            </w:r>
          </w:p>
        </w:tc>
      </w:tr>
      <w:tr w14:paraId="63BE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5BAA28E">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3810188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73" w:type="dxa"/>
            <w:tcBorders>
              <w:top w:val="single" w:color="auto" w:sz="4" w:space="0"/>
              <w:left w:val="single" w:color="auto" w:sz="4" w:space="0"/>
              <w:bottom w:val="single" w:color="auto" w:sz="4" w:space="0"/>
              <w:right w:val="single" w:color="auto" w:sz="4" w:space="0"/>
            </w:tcBorders>
            <w:vAlign w:val="center"/>
          </w:tcPr>
          <w:p w14:paraId="3AAB71BA">
            <w:pPr>
              <w:tabs>
                <w:tab w:val="left" w:pos="0"/>
              </w:tabs>
              <w:snapToGrid w:val="0"/>
              <w:spacing w:line="276" w:lineRule="auto"/>
              <w:rPr>
                <w:rFonts w:ascii="宋体" w:hAnsi="宋体" w:cs="宋体"/>
                <w:bCs/>
                <w:color w:val="auto"/>
                <w:szCs w:val="21"/>
                <w:highlight w:val="none"/>
              </w:rPr>
            </w:pPr>
            <w:r>
              <w:rPr>
                <w:rFonts w:hint="eastAsia" w:ascii="宋体" w:hAnsi="宋体" w:cs="宋体"/>
                <w:bCs/>
                <w:color w:val="auto"/>
                <w:szCs w:val="21"/>
                <w:highlight w:val="none"/>
              </w:rPr>
              <w:t>无。</w:t>
            </w:r>
          </w:p>
        </w:tc>
      </w:tr>
      <w:tr w14:paraId="55A7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1EE308C">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2064E56C">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供应商信用</w:t>
            </w:r>
          </w:p>
        </w:tc>
        <w:tc>
          <w:tcPr>
            <w:tcW w:w="6873" w:type="dxa"/>
            <w:tcBorders>
              <w:top w:val="single" w:color="auto" w:sz="4" w:space="0"/>
              <w:left w:val="single" w:color="auto" w:sz="4" w:space="0"/>
              <w:bottom w:val="single" w:color="auto" w:sz="4" w:space="0"/>
              <w:right w:val="single" w:color="auto" w:sz="4" w:space="0"/>
            </w:tcBorders>
            <w:vAlign w:val="center"/>
          </w:tcPr>
          <w:p w14:paraId="6E1CEA6B">
            <w:pPr>
              <w:tabs>
                <w:tab w:val="left" w:pos="0"/>
              </w:tabs>
              <w:snapToGrid w:val="0"/>
              <w:spacing w:line="276" w:lineRule="auto"/>
              <w:rPr>
                <w:rFonts w:ascii="宋体" w:hAnsi="宋体" w:cs="宋体"/>
                <w:bCs/>
                <w:color w:val="auto"/>
                <w:szCs w:val="21"/>
                <w:highlight w:val="none"/>
              </w:rPr>
            </w:pPr>
            <w:r>
              <w:rPr>
                <w:rFonts w:hint="eastAsia" w:ascii="宋体" w:hAnsi="宋体" w:cs="宋体"/>
                <w:bCs/>
                <w:color w:val="auto"/>
                <w:szCs w:val="21"/>
                <w:highlight w:val="none"/>
              </w:rPr>
              <w:t>采购代理机构在磋商当日通过“信用中国”网站（www.creditchina.gov.cn）、中国政府采购网（www.ccgp.gov.cn）查询供应商信用记录。</w:t>
            </w:r>
          </w:p>
          <w:p w14:paraId="220528E2">
            <w:pPr>
              <w:tabs>
                <w:tab w:val="left" w:pos="0"/>
              </w:tabs>
              <w:snapToGrid w:val="0"/>
              <w:spacing w:line="276" w:lineRule="auto"/>
              <w:rPr>
                <w:rFonts w:ascii="宋体" w:hAnsi="宋体" w:cs="宋体"/>
                <w:bCs/>
                <w:color w:val="auto"/>
                <w:szCs w:val="21"/>
                <w:highlight w:val="none"/>
              </w:rPr>
            </w:pPr>
            <w:r>
              <w:rPr>
                <w:rFonts w:hint="eastAsia" w:ascii="宋体" w:hAnsi="宋体" w:cs="宋体"/>
                <w:bCs/>
                <w:color w:val="auto"/>
                <w:szCs w:val="21"/>
                <w:highlight w:val="none"/>
              </w:rPr>
              <w:t>对列入失信被执行人、重大税收违法案件当事人名单、政府采购严重违法失信行为记录名单及其他不符合《中华人民共和国政府采购法》第二十二条规定条件的供应商，拒绝其参与政府采购活动。（处罚期限届满的除外</w:t>
            </w:r>
            <w:r>
              <w:rPr>
                <w:rFonts w:hint="eastAsia" w:ascii="宋体" w:hAnsi="宋体" w:cs="宋体"/>
                <w:color w:val="auto"/>
                <w:szCs w:val="21"/>
                <w:highlight w:val="none"/>
              </w:rPr>
              <w:t>，如“信用中国”网站查询结果显示“没有找到您搜索的企业”或“没有找到您搜索数据”，视为没有上述三类不良信用记录</w:t>
            </w:r>
            <w:r>
              <w:rPr>
                <w:rFonts w:hint="eastAsia" w:ascii="宋体" w:hAnsi="宋体" w:cs="宋体"/>
                <w:bCs/>
                <w:color w:val="auto"/>
                <w:szCs w:val="21"/>
                <w:highlight w:val="none"/>
              </w:rPr>
              <w:t>）</w:t>
            </w:r>
          </w:p>
          <w:p w14:paraId="53846AE8">
            <w:pPr>
              <w:tabs>
                <w:tab w:val="left" w:pos="1276"/>
              </w:tabs>
              <w:ind w:firstLine="31" w:firstLineChars="15"/>
              <w:rPr>
                <w:rFonts w:ascii="宋体" w:hAnsi="宋体" w:cs="宋体"/>
                <w:color w:val="auto"/>
                <w:szCs w:val="21"/>
                <w:highlight w:val="none"/>
              </w:rPr>
            </w:pPr>
            <w:r>
              <w:rPr>
                <w:rFonts w:hint="eastAsia" w:ascii="宋体" w:hAnsi="宋体" w:cs="宋体"/>
                <w:color w:val="auto"/>
                <w:szCs w:val="21"/>
                <w:highlight w:val="none"/>
              </w:rPr>
              <w:t>若供应商具有分公司的，其所属分公司有上述不良信用记录的，视同该供应商存在不良信用记录。</w:t>
            </w:r>
          </w:p>
          <w:p w14:paraId="767D5809">
            <w:pPr>
              <w:tabs>
                <w:tab w:val="left" w:pos="1276"/>
              </w:tabs>
              <w:ind w:firstLine="31" w:firstLineChars="15"/>
              <w:rPr>
                <w:rFonts w:ascii="宋体" w:hAnsi="宋体" w:cs="宋体"/>
                <w:bCs/>
                <w:color w:val="auto"/>
                <w:szCs w:val="21"/>
                <w:highlight w:val="none"/>
              </w:rPr>
            </w:pPr>
            <w:r>
              <w:rPr>
                <w:rFonts w:hint="eastAsia" w:ascii="宋体" w:hAnsi="宋体" w:cs="宋体"/>
                <w:color w:val="auto"/>
                <w:szCs w:val="21"/>
                <w:highlight w:val="none"/>
              </w:rPr>
              <w:t>若供应商为分公司的，其所属总公司（总所）存在上述不良信用记录的，视同该分公司存在不良信用记录。</w:t>
            </w:r>
          </w:p>
          <w:p w14:paraId="452DF859">
            <w:pPr>
              <w:tabs>
                <w:tab w:val="left" w:pos="1276"/>
              </w:tabs>
              <w:spacing w:line="276" w:lineRule="auto"/>
              <w:ind w:firstLine="31" w:firstLineChars="15"/>
              <w:rPr>
                <w:rFonts w:ascii="宋体" w:hAnsi="宋体" w:cs="宋体"/>
                <w:color w:val="auto"/>
                <w:szCs w:val="21"/>
                <w:highlight w:val="none"/>
              </w:rPr>
            </w:pPr>
            <w:r>
              <w:rPr>
                <w:rFonts w:hint="eastAsia" w:ascii="宋体" w:hAnsi="宋体" w:cs="宋体"/>
                <w:bCs/>
                <w:color w:val="auto"/>
                <w:szCs w:val="21"/>
                <w:highlight w:val="none"/>
              </w:rPr>
              <w:t>采购代理机构将</w:t>
            </w:r>
            <w:r>
              <w:rPr>
                <w:rFonts w:hint="eastAsia" w:ascii="宋体" w:hAnsi="宋体" w:cs="宋体"/>
                <w:color w:val="auto"/>
                <w:szCs w:val="21"/>
                <w:highlight w:val="none"/>
              </w:rPr>
              <w:t>信用信息查询记录和证据打印留存，信用信息查询记录及相关证据与其他采购文件一并保存。</w:t>
            </w:r>
          </w:p>
        </w:tc>
      </w:tr>
      <w:tr w14:paraId="709F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89261D6">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5781C429">
            <w:pPr>
              <w:spacing w:line="276" w:lineRule="auto"/>
              <w:jc w:val="center"/>
              <w:rPr>
                <w:rFonts w:ascii="宋体" w:hAnsi="宋体" w:cs="宋体"/>
                <w:b/>
                <w:color w:val="auto"/>
                <w:szCs w:val="21"/>
                <w:highlight w:val="none"/>
                <w:u w:val="single"/>
              </w:rPr>
            </w:pPr>
            <w:r>
              <w:rPr>
                <w:rFonts w:hint="eastAsia" w:ascii="宋体" w:hAnsi="宋体" w:cs="宋体"/>
                <w:color w:val="auto"/>
                <w:szCs w:val="21"/>
                <w:highlight w:val="none"/>
              </w:rPr>
              <w:t>★</w:t>
            </w:r>
            <w:r>
              <w:rPr>
                <w:rFonts w:hint="eastAsia" w:ascii="宋体" w:hAnsi="宋体" w:cs="宋体"/>
                <w:b/>
                <w:color w:val="auto"/>
                <w:szCs w:val="21"/>
                <w:highlight w:val="none"/>
                <w:u w:val="single"/>
              </w:rPr>
              <w:t>其他</w:t>
            </w:r>
          </w:p>
        </w:tc>
        <w:tc>
          <w:tcPr>
            <w:tcW w:w="6873" w:type="dxa"/>
            <w:tcBorders>
              <w:top w:val="single" w:color="auto" w:sz="4" w:space="0"/>
              <w:left w:val="single" w:color="auto" w:sz="4" w:space="0"/>
              <w:bottom w:val="single" w:color="auto" w:sz="4" w:space="0"/>
              <w:right w:val="single" w:color="auto" w:sz="4" w:space="0"/>
            </w:tcBorders>
            <w:vAlign w:val="center"/>
          </w:tcPr>
          <w:p w14:paraId="793F21B6">
            <w:pPr>
              <w:tabs>
                <w:tab w:val="left" w:pos="0"/>
              </w:tabs>
              <w:snapToGrid w:val="0"/>
              <w:spacing w:line="276" w:lineRule="auto"/>
              <w:rPr>
                <w:rFonts w:ascii="宋体" w:hAnsi="宋体" w:cs="宋体"/>
                <w:b/>
                <w:bCs/>
                <w:color w:val="auto"/>
                <w:szCs w:val="21"/>
                <w:highlight w:val="none"/>
                <w:u w:val="single"/>
              </w:rPr>
            </w:pPr>
            <w:r>
              <w:rPr>
                <w:rFonts w:hint="eastAsia" w:ascii="宋体" w:hAnsi="宋体" w:cs="宋体"/>
                <w:b/>
                <w:bCs/>
                <w:color w:val="auto"/>
                <w:szCs w:val="21"/>
                <w:highlight w:val="none"/>
                <w:u w:val="single"/>
              </w:rPr>
              <w:t>本项目不接受备选方案，不接受有任何选择或具有附加条件的报价。否则，磋商小组将对其作无效处理。</w:t>
            </w:r>
          </w:p>
        </w:tc>
      </w:tr>
      <w:tr w14:paraId="6072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025B194">
            <w:pPr>
              <w:numPr>
                <w:ilvl w:val="0"/>
                <w:numId w:val="4"/>
              </w:numPr>
              <w:tabs>
                <w:tab w:val="clear" w:pos="0"/>
              </w:tabs>
              <w:spacing w:line="300" w:lineRule="exact"/>
              <w:jc w:val="center"/>
              <w:rPr>
                <w:rFonts w:ascii="宋体" w:hAnsi="宋体" w:cs="宋体"/>
                <w:color w:val="auto"/>
                <w:szCs w:val="21"/>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11CC2B55">
            <w:pPr>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政府采购合同融资</w:t>
            </w:r>
          </w:p>
        </w:tc>
        <w:tc>
          <w:tcPr>
            <w:tcW w:w="6873" w:type="dxa"/>
            <w:tcBorders>
              <w:top w:val="single" w:color="auto" w:sz="4" w:space="0"/>
              <w:left w:val="single" w:color="auto" w:sz="4" w:space="0"/>
              <w:bottom w:val="single" w:color="auto" w:sz="4" w:space="0"/>
              <w:right w:val="single" w:color="auto" w:sz="4" w:space="0"/>
            </w:tcBorders>
            <w:vAlign w:val="center"/>
          </w:tcPr>
          <w:p w14:paraId="76724E8C">
            <w:pPr>
              <w:tabs>
                <w:tab w:val="left" w:pos="0"/>
                <w:tab w:val="left" w:pos="4200"/>
              </w:tabs>
              <w:snapToGrid w:val="0"/>
              <w:spacing w:line="300" w:lineRule="exact"/>
              <w:rPr>
                <w:rFonts w:ascii="宋体" w:hAnsi="宋体" w:cs="宋体"/>
                <w:bCs/>
                <w:color w:val="auto"/>
                <w:szCs w:val="21"/>
                <w:highlight w:val="none"/>
              </w:rPr>
            </w:pPr>
            <w:r>
              <w:rPr>
                <w:rFonts w:hint="eastAsia" w:ascii="宋体" w:hAnsi="宋体" w:cs="宋体"/>
                <w:bCs/>
                <w:color w:val="auto"/>
                <w:szCs w:val="21"/>
                <w:highlight w:val="none"/>
              </w:rPr>
              <w:t>中小微企业供应商在中标（成交）后需要融资时可以申请政府采购合同融资。</w:t>
            </w:r>
          </w:p>
          <w:p w14:paraId="7DBD42BA">
            <w:pPr>
              <w:tabs>
                <w:tab w:val="left" w:pos="0"/>
                <w:tab w:val="left" w:pos="4200"/>
              </w:tabs>
              <w:snapToGrid w:val="0"/>
              <w:spacing w:line="300" w:lineRule="exact"/>
              <w:rPr>
                <w:rFonts w:ascii="宋体" w:hAnsi="宋体" w:cs="宋体"/>
                <w:bCs/>
                <w:color w:val="auto"/>
                <w:szCs w:val="21"/>
                <w:highlight w:val="none"/>
              </w:rPr>
            </w:pPr>
            <w:r>
              <w:rPr>
                <w:rFonts w:hint="eastAsia" w:ascii="宋体" w:hAnsi="宋体" w:cs="宋体"/>
                <w:bCs/>
                <w:color w:val="auto"/>
                <w:szCs w:val="21"/>
                <w:highlight w:val="none"/>
              </w:rPr>
              <w:t>详情请见</w:t>
            </w:r>
          </w:p>
          <w:p w14:paraId="7CC1F43C">
            <w:pPr>
              <w:tabs>
                <w:tab w:val="left" w:pos="0"/>
                <w:tab w:val="left" w:pos="4200"/>
              </w:tabs>
              <w:snapToGrid w:val="0"/>
              <w:spacing w:line="300" w:lineRule="exact"/>
              <w:rPr>
                <w:rFonts w:ascii="宋体" w:hAnsi="宋体" w:cs="宋体"/>
                <w:bCs/>
                <w:color w:val="auto"/>
                <w:szCs w:val="21"/>
                <w:highlight w:val="none"/>
              </w:rPr>
            </w:pPr>
            <w:r>
              <w:rPr>
                <w:rFonts w:hint="eastAsia" w:ascii="宋体" w:hAnsi="宋体" w:cs="宋体"/>
                <w:bCs/>
                <w:color w:val="auto"/>
                <w:szCs w:val="21"/>
                <w:highlight w:val="none"/>
              </w:rPr>
              <w:t>（1）《广州市财政局关于进一步做好已融资政府采购合同支付工作的通知》</w:t>
            </w:r>
          </w:p>
          <w:p w14:paraId="7A1E3178">
            <w:pPr>
              <w:tabs>
                <w:tab w:val="left" w:pos="0"/>
                <w:tab w:val="left" w:pos="4200"/>
              </w:tabs>
              <w:snapToGrid w:val="0"/>
              <w:spacing w:line="300" w:lineRule="exact"/>
              <w:rPr>
                <w:rFonts w:ascii="宋体" w:hAnsi="宋体" w:cs="宋体"/>
                <w:bCs/>
                <w:color w:val="auto"/>
                <w:szCs w:val="21"/>
                <w:highlight w:val="none"/>
                <w:u w:val="single"/>
              </w:rPr>
            </w:pPr>
            <w:r>
              <w:rPr>
                <w:rFonts w:hint="eastAsia" w:ascii="宋体" w:hAnsi="宋体" w:cs="宋体"/>
                <w:bCs/>
                <w:color w:val="auto"/>
                <w:szCs w:val="21"/>
                <w:highlight w:val="none"/>
              </w:rPr>
              <w:t>（2）《广州市财政局中国人民银行广州分行营业管理部关于开展广州市政府采购合同线上融资业务的通知》</w:t>
            </w:r>
          </w:p>
        </w:tc>
      </w:tr>
    </w:tbl>
    <w:p w14:paraId="1C8BC41B">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供应商必须认真阅读以上内容，以免造成响应失败。</w:t>
      </w:r>
    </w:p>
    <w:p w14:paraId="34207725">
      <w:pPr>
        <w:pStyle w:val="3"/>
        <w:ind w:firstLine="0"/>
        <w:jc w:val="center"/>
        <w:rPr>
          <w:rFonts w:hAnsi="宋体"/>
          <w:color w:val="auto"/>
          <w:highlight w:val="none"/>
        </w:rPr>
      </w:pPr>
      <w:bookmarkStart w:id="59" w:name="_Toc337541095"/>
      <w:bookmarkStart w:id="60" w:name="_Toc111890779"/>
      <w:r>
        <w:rPr>
          <w:rFonts w:hAnsi="宋体"/>
          <w:color w:val="auto"/>
          <w:highlight w:val="none"/>
        </w:rPr>
        <w:br w:type="page"/>
      </w:r>
      <w:bookmarkStart w:id="61" w:name="_Toc26572"/>
      <w:bookmarkStart w:id="62" w:name="_Toc67046875"/>
      <w:r>
        <w:rPr>
          <w:rFonts w:hint="eastAsia" w:hAnsi="宋体"/>
          <w:color w:val="auto"/>
          <w:highlight w:val="none"/>
        </w:rPr>
        <w:t>（一）总  则</w:t>
      </w:r>
      <w:bookmarkEnd w:id="59"/>
      <w:bookmarkEnd w:id="60"/>
      <w:bookmarkEnd w:id="61"/>
      <w:bookmarkEnd w:id="62"/>
    </w:p>
    <w:bookmarkEnd w:id="55"/>
    <w:bookmarkEnd w:id="56"/>
    <w:p w14:paraId="27697E0F">
      <w:pPr>
        <w:numPr>
          <w:ilvl w:val="0"/>
          <w:numId w:val="7"/>
        </w:numPr>
        <w:tabs>
          <w:tab w:val="clear" w:pos="851"/>
        </w:tabs>
        <w:snapToGrid w:val="0"/>
        <w:spacing w:line="360" w:lineRule="auto"/>
        <w:rPr>
          <w:rFonts w:ascii="宋体" w:hAnsi="宋体"/>
          <w:b/>
          <w:color w:val="auto"/>
          <w:sz w:val="24"/>
          <w:highlight w:val="none"/>
        </w:rPr>
      </w:pPr>
      <w:bookmarkStart w:id="63" w:name="_Toc367012631"/>
      <w:bookmarkStart w:id="64" w:name="_Toc307826680"/>
      <w:bookmarkStart w:id="65" w:name="_Toc206584372"/>
      <w:bookmarkStart w:id="66" w:name="_Toc307826051"/>
      <w:bookmarkStart w:id="67" w:name="_Toc37486830"/>
      <w:bookmarkStart w:id="68" w:name="_Toc37051848"/>
      <w:bookmarkStart w:id="69" w:name="_Toc34814721"/>
      <w:bookmarkStart w:id="70" w:name="_Toc35412191"/>
      <w:bookmarkStart w:id="71" w:name="_Toc17693875"/>
      <w:bookmarkStart w:id="72" w:name="_Hlt37749135"/>
      <w:r>
        <w:rPr>
          <w:rFonts w:hint="eastAsia" w:ascii="宋体" w:hAnsi="宋体"/>
          <w:b/>
          <w:color w:val="auto"/>
          <w:sz w:val="24"/>
          <w:highlight w:val="none"/>
        </w:rPr>
        <w:t>适用范围</w:t>
      </w:r>
      <w:bookmarkEnd w:id="63"/>
    </w:p>
    <w:p w14:paraId="3AF9A0FC">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依据</w:t>
      </w:r>
      <w:r>
        <w:rPr>
          <w:rFonts w:hint="eastAsia" w:ascii="宋体" w:hAnsi="宋体"/>
          <w:bCs/>
          <w:color w:val="auto"/>
          <w:szCs w:val="21"/>
          <w:highlight w:val="none"/>
        </w:rPr>
        <w:t>《中华人民共和国政府采购法》、《中华人民共和国政府采购法实施条例》、《</w:t>
      </w:r>
      <w:r>
        <w:rPr>
          <w:rFonts w:hint="eastAsia" w:ascii="宋体" w:hAnsi="宋体" w:cs="宋体"/>
          <w:color w:val="auto"/>
          <w:highlight w:val="none"/>
          <w:shd w:val="clear" w:color="auto" w:fill="FFFFFF"/>
        </w:rPr>
        <w:t>政府采购非招标采购方式管理办法</w:t>
      </w:r>
      <w:r>
        <w:rPr>
          <w:rFonts w:hint="eastAsia" w:ascii="宋体" w:hAnsi="宋体"/>
          <w:bCs/>
          <w:color w:val="auto"/>
          <w:szCs w:val="21"/>
          <w:highlight w:val="none"/>
        </w:rPr>
        <w:t>》、</w:t>
      </w:r>
      <w:bookmarkStart w:id="73" w:name="_Toc421110650"/>
      <w:r>
        <w:rPr>
          <w:rFonts w:hint="eastAsia" w:ascii="宋体" w:hAnsi="宋体"/>
          <w:color w:val="auto"/>
          <w:szCs w:val="21"/>
          <w:highlight w:val="none"/>
        </w:rPr>
        <w:t>《政府采购竞争性磋商采购方式管理暂行办法》</w:t>
      </w:r>
      <w:bookmarkEnd w:id="73"/>
      <w:r>
        <w:rPr>
          <w:rFonts w:hint="eastAsia" w:ascii="宋体" w:hAnsi="宋体"/>
          <w:bCs/>
          <w:color w:val="auto"/>
          <w:szCs w:val="21"/>
          <w:highlight w:val="none"/>
        </w:rPr>
        <w:t>等政府采购</w:t>
      </w:r>
      <w:r>
        <w:rPr>
          <w:rFonts w:hint="eastAsia" w:ascii="宋体" w:hAnsi="宋体"/>
          <w:color w:val="auto"/>
          <w:szCs w:val="21"/>
          <w:highlight w:val="none"/>
        </w:rPr>
        <w:t>有关规定制定本须知。</w:t>
      </w:r>
    </w:p>
    <w:p w14:paraId="317842E3">
      <w:pPr>
        <w:numPr>
          <w:ilvl w:val="1"/>
          <w:numId w:val="7"/>
        </w:numPr>
        <w:tabs>
          <w:tab w:val="left" w:pos="567"/>
          <w:tab w:val="left" w:pos="747"/>
        </w:tabs>
        <w:snapToGrid w:val="0"/>
        <w:spacing w:line="360" w:lineRule="auto"/>
        <w:rPr>
          <w:rFonts w:ascii="宋体" w:hAnsi="宋体"/>
          <w:b/>
          <w:bCs/>
          <w:color w:val="auto"/>
          <w:szCs w:val="21"/>
          <w:highlight w:val="none"/>
        </w:rPr>
      </w:pPr>
      <w:r>
        <w:rPr>
          <w:rFonts w:hint="eastAsia" w:ascii="宋体" w:hAnsi="宋体"/>
          <w:color w:val="auto"/>
          <w:szCs w:val="21"/>
          <w:highlight w:val="none"/>
        </w:rPr>
        <w:t>本项目的采购人、采购代理机构、供应商及各方当事人适用本须知。</w:t>
      </w:r>
    </w:p>
    <w:p w14:paraId="5BFF3190">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项目说明</w:t>
      </w:r>
    </w:p>
    <w:p w14:paraId="71CC3D02">
      <w:pPr>
        <w:numPr>
          <w:ilvl w:val="1"/>
          <w:numId w:val="7"/>
        </w:numPr>
        <w:tabs>
          <w:tab w:val="left" w:pos="567"/>
          <w:tab w:val="left" w:pos="747"/>
        </w:tabs>
        <w:snapToGrid w:val="0"/>
        <w:spacing w:line="360" w:lineRule="auto"/>
        <w:rPr>
          <w:rFonts w:ascii="宋体" w:hAnsi="宋体"/>
          <w:color w:val="auto"/>
          <w:szCs w:val="21"/>
          <w:highlight w:val="none"/>
        </w:rPr>
      </w:pPr>
      <w:r>
        <w:rPr>
          <w:rFonts w:hint="eastAsia" w:ascii="宋体" w:hAnsi="宋体"/>
          <w:color w:val="auto"/>
          <w:szCs w:val="21"/>
          <w:highlight w:val="none"/>
        </w:rPr>
        <w:t>资金性质、资金来源，详见磋商须知前附表第2项。</w:t>
      </w:r>
    </w:p>
    <w:p w14:paraId="01F8277B">
      <w:pPr>
        <w:numPr>
          <w:ilvl w:val="1"/>
          <w:numId w:val="7"/>
        </w:numPr>
        <w:tabs>
          <w:tab w:val="left" w:pos="567"/>
          <w:tab w:val="left" w:pos="747"/>
        </w:tabs>
        <w:snapToGrid w:val="0"/>
        <w:spacing w:line="360" w:lineRule="auto"/>
        <w:rPr>
          <w:rFonts w:ascii="宋体" w:hAnsi="宋体"/>
          <w:color w:val="auto"/>
          <w:szCs w:val="21"/>
          <w:highlight w:val="none"/>
        </w:rPr>
      </w:pPr>
      <w:r>
        <w:rPr>
          <w:rFonts w:hint="eastAsia" w:ascii="宋体" w:hAnsi="宋体"/>
          <w:color w:val="auto"/>
          <w:szCs w:val="21"/>
          <w:highlight w:val="none"/>
        </w:rPr>
        <w:t>最高限价，详见磋商须知前附表第2项。</w:t>
      </w:r>
    </w:p>
    <w:p w14:paraId="30E55994">
      <w:pPr>
        <w:numPr>
          <w:ilvl w:val="1"/>
          <w:numId w:val="7"/>
        </w:numPr>
        <w:tabs>
          <w:tab w:val="left" w:pos="567"/>
          <w:tab w:val="left" w:pos="747"/>
        </w:tabs>
        <w:snapToGrid w:val="0"/>
        <w:spacing w:line="360" w:lineRule="auto"/>
        <w:rPr>
          <w:rFonts w:ascii="宋体" w:hAnsi="宋体"/>
          <w:color w:val="auto"/>
          <w:szCs w:val="21"/>
          <w:highlight w:val="none"/>
        </w:rPr>
      </w:pPr>
      <w:r>
        <w:rPr>
          <w:rFonts w:hint="eastAsia" w:ascii="宋体" w:hAnsi="宋体"/>
          <w:color w:val="auto"/>
          <w:szCs w:val="21"/>
          <w:highlight w:val="none"/>
        </w:rPr>
        <w:t>磋商内容</w:t>
      </w:r>
    </w:p>
    <w:p w14:paraId="2A1D01C6">
      <w:pPr>
        <w:snapToGrid w:val="0"/>
        <w:spacing w:line="360" w:lineRule="auto"/>
        <w:ind w:left="840" w:leftChars="270" w:hanging="273" w:hangingChars="130"/>
        <w:rPr>
          <w:rFonts w:ascii="宋体" w:hAnsi="宋体"/>
          <w:color w:val="auto"/>
          <w:highlight w:val="none"/>
        </w:rPr>
      </w:pPr>
      <w:r>
        <w:rPr>
          <w:rFonts w:hint="eastAsia" w:ascii="宋体" w:hAnsi="宋体"/>
          <w:color w:val="auto"/>
          <w:highlight w:val="none"/>
        </w:rPr>
        <w:t>（详细内容请参阅磋商文件中的相关内容）</w:t>
      </w:r>
    </w:p>
    <w:p w14:paraId="0AF63BE0">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概念释义</w:t>
      </w:r>
    </w:p>
    <w:p w14:paraId="7DE41C10">
      <w:pPr>
        <w:numPr>
          <w:ilvl w:val="1"/>
          <w:numId w:val="7"/>
        </w:numPr>
        <w:tabs>
          <w:tab w:val="left" w:pos="567"/>
        </w:tabs>
        <w:snapToGrid w:val="0"/>
        <w:spacing w:line="360" w:lineRule="auto"/>
        <w:rPr>
          <w:rFonts w:ascii="宋体" w:hAnsi="宋体"/>
          <w:color w:val="auto"/>
          <w:szCs w:val="21"/>
          <w:highlight w:val="none"/>
        </w:rPr>
      </w:pPr>
      <w:r>
        <w:rPr>
          <w:rFonts w:hint="eastAsia" w:ascii="宋体" w:hAnsi="宋体"/>
          <w:color w:val="auto"/>
          <w:szCs w:val="21"/>
          <w:highlight w:val="none"/>
        </w:rPr>
        <w:t>监管部门：指同级或以上人民政府财政部门。</w:t>
      </w:r>
    </w:p>
    <w:p w14:paraId="3E718D3D">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采购人：指依法进行政府采购的</w:t>
      </w:r>
      <w:r>
        <w:rPr>
          <w:rFonts w:ascii="宋体" w:hAnsi="宋体"/>
          <w:color w:val="auto"/>
          <w:szCs w:val="21"/>
          <w:highlight w:val="none"/>
        </w:rPr>
        <w:t>国家机关、事业单位和团体组织</w:t>
      </w:r>
      <w:r>
        <w:rPr>
          <w:rFonts w:hint="eastAsia" w:ascii="宋体" w:hAnsi="宋体"/>
          <w:color w:val="auto"/>
          <w:szCs w:val="21"/>
          <w:highlight w:val="none"/>
        </w:rPr>
        <w:t>，详见磋商须知前附表第1项。在采购阶段称为采购人</w:t>
      </w:r>
      <w:r>
        <w:rPr>
          <w:rFonts w:ascii="宋体" w:hAnsi="宋体"/>
          <w:color w:val="auto"/>
          <w:szCs w:val="21"/>
          <w:highlight w:val="none"/>
        </w:rPr>
        <w:t>，</w:t>
      </w:r>
      <w:r>
        <w:rPr>
          <w:rFonts w:hint="eastAsia" w:ascii="宋体" w:hAnsi="宋体"/>
          <w:color w:val="auto"/>
          <w:szCs w:val="21"/>
          <w:highlight w:val="none"/>
        </w:rPr>
        <w:t>在合同阶段称为甲方或买方。为便于磋商文件及附件直接转化为合同条款，在磋商文件中有时称采购人为买方、甲方或业主。</w:t>
      </w:r>
    </w:p>
    <w:p w14:paraId="778B7430">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采购代理机构：依法设立、从事采购代理业务并提供相关服务的社会中介组织</w:t>
      </w:r>
      <w:r>
        <w:rPr>
          <w:rFonts w:ascii="宋体" w:hAnsi="宋体"/>
          <w:color w:val="auto"/>
          <w:szCs w:val="21"/>
          <w:highlight w:val="none"/>
        </w:rPr>
        <w:t>-</w:t>
      </w:r>
      <w:r>
        <w:rPr>
          <w:rFonts w:hint="eastAsia" w:ascii="宋体" w:hAnsi="宋体"/>
          <w:color w:val="auto"/>
          <w:szCs w:val="21"/>
          <w:highlight w:val="none"/>
          <w:lang w:eastAsia="zh-CN"/>
        </w:rPr>
        <w:t>广州中天项目管理咨询有限公司</w:t>
      </w:r>
      <w:r>
        <w:rPr>
          <w:rFonts w:hint="eastAsia" w:ascii="宋体" w:hAnsi="宋体"/>
          <w:color w:val="auto"/>
          <w:szCs w:val="21"/>
          <w:highlight w:val="none"/>
        </w:rPr>
        <w:t>。</w:t>
      </w:r>
    </w:p>
    <w:p w14:paraId="30C1EA96">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磋商小组：磋商小组是依法组建专门负责本次评审工作的临时性机构。</w:t>
      </w:r>
    </w:p>
    <w:p w14:paraId="70C7F23C">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响应供应商：符合资格要求，响应磋商、参加磋商竞争的依法成立的法人或其他组织。</w:t>
      </w:r>
    </w:p>
    <w:p w14:paraId="334F8036">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成交供应商：经合法磋商程序评选出来并经采购人确认的获得本项目成交资格的供应商。</w:t>
      </w:r>
    </w:p>
    <w:p w14:paraId="43C2219B">
      <w:pPr>
        <w:numPr>
          <w:ilvl w:val="1"/>
          <w:numId w:val="7"/>
        </w:numPr>
        <w:tabs>
          <w:tab w:val="clear" w:pos="851"/>
        </w:tabs>
        <w:snapToGrid w:val="0"/>
        <w:spacing w:line="360" w:lineRule="auto"/>
        <w:ind w:left="567" w:hanging="567"/>
        <w:rPr>
          <w:rFonts w:ascii="宋体" w:hAnsi="宋体"/>
          <w:color w:val="auto"/>
          <w:szCs w:val="21"/>
          <w:highlight w:val="none"/>
        </w:rPr>
      </w:pPr>
      <w:r>
        <w:rPr>
          <w:rFonts w:ascii="宋体" w:hAnsi="宋体"/>
          <w:color w:val="auto"/>
          <w:szCs w:val="21"/>
          <w:highlight w:val="none"/>
        </w:rPr>
        <w:t>日期：指公历日</w:t>
      </w:r>
      <w:r>
        <w:rPr>
          <w:rFonts w:hint="eastAsia" w:ascii="宋体" w:hAnsi="宋体"/>
          <w:color w:val="auto"/>
          <w:szCs w:val="21"/>
          <w:highlight w:val="none"/>
        </w:rPr>
        <w:t>。</w:t>
      </w:r>
    </w:p>
    <w:p w14:paraId="669A17D5">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时间：指北京时间。</w:t>
      </w:r>
    </w:p>
    <w:p w14:paraId="4E6E5F50">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合格的供应商</w:t>
      </w:r>
    </w:p>
    <w:p w14:paraId="08975FAB">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对供应商的要求：</w:t>
      </w:r>
      <w:r>
        <w:rPr>
          <w:rFonts w:hint="eastAsia" w:ascii="宋体" w:hAnsi="宋体"/>
          <w:b/>
          <w:bCs/>
          <w:color w:val="auto"/>
          <w:highlight w:val="none"/>
        </w:rPr>
        <w:t>详见竞争性磋商公告中“供应商资格”部分。</w:t>
      </w:r>
    </w:p>
    <w:p w14:paraId="00769D71">
      <w:pPr>
        <w:numPr>
          <w:ilvl w:val="1"/>
          <w:numId w:val="7"/>
        </w:numPr>
        <w:tabs>
          <w:tab w:val="clear" w:pos="851"/>
        </w:tabs>
        <w:snapToGrid w:val="0"/>
        <w:spacing w:line="360" w:lineRule="auto"/>
        <w:ind w:left="567" w:hanging="567"/>
        <w:rPr>
          <w:rFonts w:ascii="宋体" w:hAnsi="宋体"/>
          <w:color w:val="auto"/>
          <w:highlight w:val="none"/>
        </w:rPr>
      </w:pPr>
      <w:r>
        <w:rPr>
          <w:rFonts w:hint="eastAsia" w:ascii="宋体" w:hAnsi="宋体"/>
          <w:color w:val="auto"/>
          <w:highlight w:val="none"/>
        </w:rPr>
        <w:t>供应商需由法定代表人（负责人）或其委托代理人（</w:t>
      </w:r>
      <w:r>
        <w:rPr>
          <w:rFonts w:ascii="宋体" w:hAnsi="宋体"/>
          <w:color w:val="auto"/>
          <w:highlight w:val="none"/>
        </w:rPr>
        <w:t>具有法定代表人签署的授权书</w:t>
      </w:r>
      <w:r>
        <w:rPr>
          <w:rFonts w:hint="eastAsia" w:ascii="宋体" w:hAnsi="宋体"/>
          <w:color w:val="auto"/>
          <w:highlight w:val="none"/>
        </w:rPr>
        <w:t>）</w:t>
      </w:r>
      <w:r>
        <w:rPr>
          <w:rFonts w:hint="eastAsia" w:ascii="宋体" w:hAnsi="宋体"/>
          <w:b/>
          <w:bCs/>
          <w:color w:val="auto"/>
          <w:highlight w:val="none"/>
        </w:rPr>
        <w:t>携带身份证明原件</w:t>
      </w:r>
      <w:r>
        <w:rPr>
          <w:rFonts w:hint="eastAsia" w:ascii="宋体" w:hAnsi="宋体"/>
          <w:color w:val="auto"/>
          <w:highlight w:val="none"/>
        </w:rPr>
        <w:t>参加磋商，在评审过程中随时接受磋商小组就响应文件的内容提出的质询，并予以解答。</w:t>
      </w:r>
    </w:p>
    <w:p w14:paraId="1F3CD579">
      <w:pPr>
        <w:numPr>
          <w:ilvl w:val="0"/>
          <w:numId w:val="7"/>
        </w:numPr>
        <w:tabs>
          <w:tab w:val="clear" w:pos="851"/>
        </w:tabs>
        <w:snapToGrid w:val="0"/>
        <w:spacing w:line="360" w:lineRule="auto"/>
        <w:rPr>
          <w:rFonts w:ascii="宋体" w:hAnsi="宋体"/>
          <w:b/>
          <w:color w:val="auto"/>
          <w:sz w:val="24"/>
          <w:highlight w:val="none"/>
        </w:rPr>
      </w:pPr>
      <w:bookmarkStart w:id="74" w:name="_Toc368513761"/>
      <w:r>
        <w:rPr>
          <w:rFonts w:hint="eastAsia" w:ascii="宋体" w:hAnsi="宋体"/>
          <w:b/>
          <w:color w:val="auto"/>
          <w:sz w:val="24"/>
          <w:highlight w:val="none"/>
        </w:rPr>
        <w:t>合格的货物和服务</w:t>
      </w:r>
      <w:bookmarkEnd w:id="74"/>
    </w:p>
    <w:p w14:paraId="11A5CAB1">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提供的所有货物和服务，必须是合法生产、合法来源，符合国家有关标准要求，并满足磋商文件规定的规格、参数、质量、价格、有效期、售后服务及供应商须承担的运输、安装、技术支持、培训和磋商文件规定的其它伴随服务等要求。</w:t>
      </w:r>
    </w:p>
    <w:p w14:paraId="61A260A9">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采购人有权拒绝接受任何不合格的货物和服务，由此产生的费用及相关后果均由供应商自行承担。</w:t>
      </w:r>
    </w:p>
    <w:p w14:paraId="240F98A3">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政府采购若需采购进口产品的，依据《政府采购进口产品管理办法》执行。</w:t>
      </w:r>
    </w:p>
    <w:p w14:paraId="3BF923D5">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进口产品是指通过中国海关报关验放进入中国境内且产自关境外的产品。</w:t>
      </w:r>
    </w:p>
    <w:p w14:paraId="25A6E266">
      <w:pPr>
        <w:numPr>
          <w:ilvl w:val="0"/>
          <w:numId w:val="7"/>
        </w:numPr>
        <w:tabs>
          <w:tab w:val="clear" w:pos="851"/>
        </w:tabs>
        <w:snapToGrid w:val="0"/>
        <w:spacing w:line="360" w:lineRule="auto"/>
        <w:ind w:left="567" w:hanging="567"/>
        <w:rPr>
          <w:rFonts w:ascii="宋体" w:hAnsi="宋体"/>
          <w:b/>
          <w:color w:val="auto"/>
          <w:sz w:val="24"/>
          <w:highlight w:val="none"/>
        </w:rPr>
      </w:pPr>
      <w:r>
        <w:rPr>
          <w:rFonts w:hint="eastAsia" w:ascii="宋体" w:hAnsi="宋体"/>
          <w:b/>
          <w:bCs/>
          <w:color w:val="auto"/>
          <w:highlight w:val="none"/>
        </w:rPr>
        <w:t>磋商文件中，凡标有“★”的地方，供应商要特别加以注意，必须对此作出一一响应。若有一项带“★”的指标未响应或不满足，将对其响应文件作无效处理。（注：若磋商小组在磋商过程中对磋商文件作出了实质性变动，本条中的磋商文件指变动后的磋商文件）</w:t>
      </w:r>
    </w:p>
    <w:p w14:paraId="0CD678CE">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关于分支机构</w:t>
      </w:r>
    </w:p>
    <w:p w14:paraId="13655817">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分公司作为响应供应商的，需提供具有法人资格的总公司的营业执照副本复印件及授权书。总公司可就本项目或此类项目在一定范围或时间内出具唯一的磋商授权书。已由总公司授权的，总公司取得的相关资质证书对分公司有效，但总公司及总公司下属其他分公司的人员及业绩不作为响应供应商的人员或业绩；若磋商文件另有详细规定的遵从其规定。</w:t>
      </w:r>
    </w:p>
    <w:p w14:paraId="5763742B">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总公司作为供应商参与，但授权分公司进行磋商活动的，需由总公司对分公司出具唯一的授权授章书进行磋商。</w:t>
      </w:r>
    </w:p>
    <w:p w14:paraId="47449B87">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法律法规或者行业另有规定的，法人的分支机构参与磋商不受前两款的约束。</w:t>
      </w:r>
    </w:p>
    <w:p w14:paraId="63A42B82">
      <w:pPr>
        <w:numPr>
          <w:ilvl w:val="0"/>
          <w:numId w:val="7"/>
        </w:numPr>
        <w:tabs>
          <w:tab w:val="clear" w:pos="851"/>
        </w:tabs>
        <w:snapToGrid w:val="0"/>
        <w:spacing w:line="360" w:lineRule="auto"/>
        <w:rPr>
          <w:rFonts w:ascii="宋体" w:hAnsi="宋体"/>
          <w:b/>
          <w:bCs/>
          <w:color w:val="auto"/>
          <w:szCs w:val="21"/>
          <w:highlight w:val="none"/>
          <w:u w:val="single"/>
        </w:rPr>
      </w:pPr>
      <w:bookmarkStart w:id="75" w:name="_Toc325537971"/>
      <w:bookmarkStart w:id="76" w:name="_Toc307881272"/>
      <w:bookmarkStart w:id="77" w:name="_Toc357161069"/>
      <w:r>
        <w:rPr>
          <w:rFonts w:hint="eastAsia" w:ascii="宋体" w:hAnsi="宋体"/>
          <w:b/>
          <w:bCs/>
          <w:color w:val="auto"/>
          <w:szCs w:val="21"/>
          <w:highlight w:val="none"/>
          <w:u w:val="single"/>
        </w:rPr>
        <w:t>不得参与同一采购项目竞争的供应商</w:t>
      </w:r>
    </w:p>
    <w:p w14:paraId="23D42B2A">
      <w:pPr>
        <w:tabs>
          <w:tab w:val="left" w:pos="567"/>
        </w:tabs>
        <w:snapToGrid w:val="0"/>
        <w:spacing w:line="360" w:lineRule="auto"/>
        <w:ind w:left="567" w:leftChars="270"/>
        <w:rPr>
          <w:rFonts w:ascii="宋体" w:hAnsi="宋体"/>
          <w:b/>
          <w:color w:val="auto"/>
          <w:szCs w:val="21"/>
          <w:highlight w:val="none"/>
          <w:u w:val="single"/>
        </w:rPr>
      </w:pPr>
      <w:r>
        <w:rPr>
          <w:rFonts w:hint="eastAsia" w:ascii="宋体" w:hAnsi="宋体"/>
          <w:b/>
          <w:color w:val="auto"/>
          <w:szCs w:val="21"/>
          <w:highlight w:val="none"/>
          <w:u w:val="single"/>
        </w:rPr>
        <w:t>单位负责人为同一人或者存在直接控股、管理关系的不同供应商，不得参加同一包组磋商或者未划分包组的同一采购项目的政府采购活动。如同时参加，则评审时均作无效响应处理。</w:t>
      </w:r>
    </w:p>
    <w:p w14:paraId="4F150ADD">
      <w:pPr>
        <w:tabs>
          <w:tab w:val="left" w:pos="567"/>
        </w:tabs>
        <w:snapToGrid w:val="0"/>
        <w:spacing w:line="360" w:lineRule="auto"/>
        <w:ind w:left="567" w:leftChars="270"/>
        <w:rPr>
          <w:rFonts w:ascii="宋体" w:hAnsi="宋体"/>
          <w:b/>
          <w:color w:val="auto"/>
          <w:szCs w:val="21"/>
          <w:highlight w:val="none"/>
          <w:u w:val="single"/>
        </w:rPr>
      </w:pPr>
      <w:r>
        <w:rPr>
          <w:rFonts w:hint="eastAsia" w:ascii="宋体" w:hAnsi="宋体"/>
          <w:b/>
          <w:color w:val="auto"/>
          <w:szCs w:val="21"/>
          <w:highlight w:val="none"/>
          <w:u w:val="single"/>
        </w:rPr>
        <w:t>为采购项目提供整体设计、规范编制或者项目管理、监理、检测等服务的供应商，不得再参加该采购项目的其他采购活动。</w:t>
      </w:r>
    </w:p>
    <w:p w14:paraId="625359DD">
      <w:pPr>
        <w:numPr>
          <w:ilvl w:val="0"/>
          <w:numId w:val="7"/>
        </w:numPr>
        <w:tabs>
          <w:tab w:val="clear" w:pos="851"/>
        </w:tabs>
        <w:snapToGrid w:val="0"/>
        <w:spacing w:line="360" w:lineRule="auto"/>
        <w:rPr>
          <w:rFonts w:ascii="宋体" w:hAnsi="宋体"/>
          <w:b/>
          <w:bCs/>
          <w:color w:val="auto"/>
          <w:szCs w:val="21"/>
          <w:highlight w:val="none"/>
        </w:rPr>
      </w:pPr>
      <w:r>
        <w:rPr>
          <w:rFonts w:hint="eastAsia" w:ascii="宋体" w:hAnsi="宋体"/>
          <w:b/>
          <w:bCs/>
          <w:color w:val="auto"/>
          <w:szCs w:val="21"/>
          <w:highlight w:val="none"/>
        </w:rPr>
        <w:t>关于中型、小型、微型企业参与磋商</w:t>
      </w:r>
    </w:p>
    <w:p w14:paraId="3E5946E7">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根据财政部、工业和信息化部印发的《政府采购促进中小企业发展管理办法》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2D7FED2">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对符合《政府采购促进中小企业发展管理办法》规定的小微企业报价给予</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10%的扣除，</w:t>
      </w:r>
      <w:r>
        <w:rPr>
          <w:rFonts w:hint="eastAsia" w:ascii="宋体" w:hAnsi="宋体"/>
          <w:color w:val="auto"/>
          <w:szCs w:val="21"/>
          <w:highlight w:val="none"/>
        </w:rPr>
        <w:t>用扣除后的价格参与评审。</w:t>
      </w:r>
    </w:p>
    <w:p w14:paraId="20CA8924">
      <w:pPr>
        <w:tabs>
          <w:tab w:val="left" w:pos="567"/>
        </w:tabs>
        <w:snapToGrid w:val="0"/>
        <w:spacing w:line="360" w:lineRule="auto"/>
        <w:ind w:left="567" w:leftChars="270"/>
        <w:rPr>
          <w:rFonts w:ascii="宋体" w:hAnsi="宋体"/>
          <w:color w:val="auto"/>
          <w:szCs w:val="21"/>
          <w:highlight w:val="none"/>
        </w:rPr>
      </w:pPr>
      <w:r>
        <w:rPr>
          <w:rFonts w:hint="eastAsia" w:ascii="宋体" w:hAnsi="宋体"/>
          <w:color w:val="auto"/>
          <w:szCs w:val="21"/>
          <w:highlight w:val="none"/>
        </w:rPr>
        <w:t>货物采购</w:t>
      </w:r>
      <w:r>
        <w:rPr>
          <w:rFonts w:ascii="宋体" w:hAnsi="宋体"/>
          <w:color w:val="auto"/>
          <w:szCs w:val="21"/>
          <w:highlight w:val="none"/>
        </w:rPr>
        <w:t>需符合下列条件：</w:t>
      </w:r>
      <w:r>
        <w:rPr>
          <w:rFonts w:hint="eastAsia" w:ascii="宋体" w:hAnsi="宋体"/>
          <w:color w:val="auto"/>
          <w:szCs w:val="21"/>
          <w:highlight w:val="none"/>
        </w:rPr>
        <w:t>供应商提供的全部货物由小微企业制造（即全部货物由小微企业生产且使用该小微企业商号或者注册商标）。报价产品中仅有部分小型和微型企业产品的，不享受小微企业价格评审优惠政策。</w:t>
      </w:r>
    </w:p>
    <w:p w14:paraId="44017E52">
      <w:pPr>
        <w:tabs>
          <w:tab w:val="left" w:pos="567"/>
        </w:tabs>
        <w:snapToGrid w:val="0"/>
        <w:spacing w:line="360" w:lineRule="auto"/>
        <w:ind w:left="567" w:leftChars="270"/>
        <w:rPr>
          <w:rFonts w:ascii="宋体" w:hAnsi="宋体"/>
          <w:color w:val="auto"/>
          <w:szCs w:val="21"/>
          <w:highlight w:val="none"/>
        </w:rPr>
      </w:pPr>
      <w:r>
        <w:rPr>
          <w:rFonts w:hint="eastAsia" w:ascii="宋体" w:hAnsi="宋体"/>
          <w:color w:val="auto"/>
          <w:szCs w:val="21"/>
          <w:highlight w:val="none"/>
        </w:rPr>
        <w:t>服务采购</w:t>
      </w:r>
      <w:r>
        <w:rPr>
          <w:rFonts w:ascii="宋体" w:hAnsi="宋体"/>
          <w:color w:val="auto"/>
          <w:szCs w:val="21"/>
          <w:highlight w:val="none"/>
        </w:rPr>
        <w:t>需</w:t>
      </w:r>
      <w:r>
        <w:rPr>
          <w:rFonts w:hint="eastAsia" w:ascii="宋体" w:hAnsi="宋体"/>
          <w:color w:val="auto"/>
          <w:szCs w:val="21"/>
          <w:highlight w:val="none"/>
        </w:rPr>
        <w:t>符合</w:t>
      </w:r>
      <w:r>
        <w:rPr>
          <w:rFonts w:ascii="宋体" w:hAnsi="宋体"/>
          <w:color w:val="auto"/>
          <w:szCs w:val="21"/>
          <w:highlight w:val="none"/>
        </w:rPr>
        <w:t>下列条件：</w:t>
      </w:r>
      <w:r>
        <w:rPr>
          <w:rFonts w:hint="eastAsia" w:ascii="宋体" w:hAnsi="宋体"/>
          <w:color w:val="auto"/>
          <w:szCs w:val="21"/>
          <w:highlight w:val="none"/>
        </w:rPr>
        <w:t>服务由小微企业承接（即提供服务的人员为小微企业依照《中华人民共和国劳动合同法》订立劳动合同的从业人员。）</w:t>
      </w:r>
    </w:p>
    <w:p w14:paraId="3BBBF230">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中小微企业参与磋商应提供《中小企业声明函》。</w:t>
      </w:r>
    </w:p>
    <w:p w14:paraId="3FD35BE6">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磋商提供由省级以上监狱管理局、戒毒管理局(含新疆生产建设兵团)出具的属于监狱企业的证明文件，不再提供《中小企业声明函》。</w:t>
      </w:r>
    </w:p>
    <w:p w14:paraId="5044E5A7">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根据</w:t>
      </w:r>
      <w:bookmarkStart w:id="78" w:name="sendNo"/>
      <w:r>
        <w:rPr>
          <w:rFonts w:hint="eastAsia" w:ascii="宋体" w:hAnsi="宋体"/>
          <w:color w:val="auto"/>
          <w:szCs w:val="21"/>
          <w:highlight w:val="none"/>
        </w:rPr>
        <w:t>财库〔</w:t>
      </w:r>
      <w:bookmarkEnd w:id="78"/>
      <w:r>
        <w:rPr>
          <w:rFonts w:hint="eastAsia" w:ascii="宋体" w:hAnsi="宋体"/>
          <w:color w:val="auto"/>
          <w:szCs w:val="21"/>
          <w:highlight w:val="none"/>
        </w:rPr>
        <w:t>2017〕141号《</w:t>
      </w:r>
      <w:r>
        <w:rPr>
          <w:rFonts w:ascii="宋体" w:hAnsi="宋体"/>
          <w:color w:val="auto"/>
          <w:szCs w:val="21"/>
          <w:highlight w:val="none"/>
        </w:rPr>
        <w:t>三部门联合发布关于促进残疾人就业政府采购政策的通知</w:t>
      </w:r>
      <w:r>
        <w:rPr>
          <w:rFonts w:hint="eastAsia" w:ascii="宋体" w:hAnsi="宋体"/>
          <w:color w:val="auto"/>
          <w:szCs w:val="21"/>
          <w:highlight w:val="none"/>
        </w:rPr>
        <w:t>》，符合条件的残疾人福利性单位在参加政府采购活动时，应当提供《残疾人福利性单位声明函》，并对声明的真实性负责。残疾人福利性单位视同小型、微型企业，享受评审中价格扣除的政府采购政策。成交供应商为残疾人福利性单位的，采购人或者其委托的采购代理机构应当随成交结果同时公告其《残疾人福利性单位声明函》，接受社会监督。</w:t>
      </w:r>
    </w:p>
    <w:bookmarkEnd w:id="75"/>
    <w:bookmarkEnd w:id="76"/>
    <w:bookmarkEnd w:id="77"/>
    <w:p w14:paraId="4EAED219">
      <w:pPr>
        <w:numPr>
          <w:ilvl w:val="1"/>
          <w:numId w:val="7"/>
        </w:numPr>
        <w:tabs>
          <w:tab w:val="clear" w:pos="851"/>
        </w:tabs>
        <w:snapToGrid w:val="0"/>
        <w:spacing w:line="360" w:lineRule="auto"/>
        <w:ind w:left="567" w:hanging="567"/>
        <w:rPr>
          <w:rFonts w:ascii="宋体" w:hAnsi="宋体"/>
          <w:color w:val="auto"/>
          <w:szCs w:val="21"/>
          <w:highlight w:val="none"/>
        </w:rPr>
      </w:pPr>
      <w:bookmarkStart w:id="79" w:name="_Toc111890780"/>
      <w:r>
        <w:rPr>
          <w:rFonts w:hint="eastAsia" w:ascii="宋体" w:hAnsi="宋体"/>
          <w:color w:val="auto"/>
          <w:szCs w:val="21"/>
          <w:highlight w:val="none"/>
        </w:rPr>
        <w:t>依据上述规定享受扶持政策获得政府采购合同的，小微企业不得将合同分包给大中型企业，中型企业不得将合同分包给大型企业。</w:t>
      </w:r>
    </w:p>
    <w:p w14:paraId="28EED544">
      <w:pPr>
        <w:numPr>
          <w:ilvl w:val="0"/>
          <w:numId w:val="7"/>
        </w:numPr>
        <w:tabs>
          <w:tab w:val="left" w:pos="567"/>
        </w:tabs>
        <w:snapToGrid w:val="0"/>
        <w:spacing w:line="360" w:lineRule="auto"/>
        <w:ind w:left="567" w:hanging="567"/>
        <w:rPr>
          <w:rFonts w:ascii="宋体" w:hAnsi="宋体"/>
          <w:b/>
          <w:bCs/>
          <w:color w:val="auto"/>
          <w:szCs w:val="21"/>
          <w:highlight w:val="none"/>
        </w:rPr>
      </w:pPr>
      <w:r>
        <w:rPr>
          <w:rFonts w:hint="eastAsia" w:ascii="宋体" w:hAnsi="宋体"/>
          <w:b/>
          <w:bCs/>
          <w:color w:val="auto"/>
          <w:szCs w:val="21"/>
          <w:highlight w:val="none"/>
        </w:rPr>
        <w:t>关于节能产品、环境标志产品</w:t>
      </w:r>
    </w:p>
    <w:p w14:paraId="350F2686">
      <w:pPr>
        <w:snapToGrid w:val="0"/>
        <w:spacing w:line="360" w:lineRule="auto"/>
        <w:ind w:left="567"/>
        <w:rPr>
          <w:rFonts w:ascii="宋体" w:hAnsi="宋体"/>
          <w:b/>
          <w:bCs/>
          <w:color w:val="auto"/>
          <w:szCs w:val="21"/>
          <w:highlight w:val="none"/>
        </w:rPr>
      </w:pPr>
      <w:r>
        <w:rPr>
          <w:rFonts w:hint="eastAsia" w:ascii="宋体" w:hAnsi="宋体"/>
          <w:color w:val="auto"/>
          <w:szCs w:val="21"/>
          <w:highlight w:val="none"/>
        </w:rPr>
        <w:t>国家行业主管部门对政府采购节能产品、环境标志产品实施品目清单管理。</w:t>
      </w:r>
    </w:p>
    <w:p w14:paraId="6BA639CB">
      <w:pPr>
        <w:numPr>
          <w:ilvl w:val="0"/>
          <w:numId w:val="7"/>
        </w:numPr>
        <w:tabs>
          <w:tab w:val="clear" w:pos="851"/>
        </w:tabs>
        <w:snapToGrid w:val="0"/>
        <w:spacing w:line="360" w:lineRule="auto"/>
        <w:rPr>
          <w:rFonts w:ascii="宋体" w:hAnsi="宋体"/>
          <w:b/>
          <w:color w:val="auto"/>
          <w:kern w:val="0"/>
          <w:highlight w:val="none"/>
        </w:rPr>
      </w:pPr>
      <w:r>
        <w:rPr>
          <w:rFonts w:hint="eastAsia" w:ascii="宋体" w:hAnsi="宋体"/>
          <w:b/>
          <w:color w:val="auto"/>
          <w:kern w:val="0"/>
          <w:highlight w:val="none"/>
        </w:rPr>
        <w:t>保密事项</w:t>
      </w:r>
    </w:p>
    <w:p w14:paraId="4213913D">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供应商自获取采购文件之日起，须履行本采购项目下保密义务，不得将因本次采购获得的信息向第三人外传。</w:t>
      </w:r>
    </w:p>
    <w:p w14:paraId="55DBD9DC">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采购人或采购代理机构有权将供应商提供的所有资料向有关政府部门或评审委员会披露。</w:t>
      </w:r>
    </w:p>
    <w:p w14:paraId="713380FA">
      <w:pPr>
        <w:numPr>
          <w:ilvl w:val="1"/>
          <w:numId w:val="7"/>
        </w:numPr>
        <w:tabs>
          <w:tab w:val="clear" w:pos="851"/>
        </w:tabs>
        <w:snapToGrid w:val="0"/>
        <w:spacing w:line="360" w:lineRule="auto"/>
        <w:ind w:left="567" w:hanging="567"/>
        <w:rPr>
          <w:rFonts w:ascii="宋体" w:hAnsi="宋体"/>
          <w:b/>
          <w:color w:val="auto"/>
          <w:kern w:val="0"/>
          <w:highlight w:val="none"/>
        </w:rPr>
      </w:pPr>
      <w:r>
        <w:rPr>
          <w:rFonts w:hint="eastAsia" w:ascii="宋体" w:hAnsi="宋体"/>
          <w:color w:val="auto"/>
          <w:szCs w:val="21"/>
          <w:highlight w:val="none"/>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72F11A0E">
      <w:pPr>
        <w:numPr>
          <w:ilvl w:val="0"/>
          <w:numId w:val="7"/>
        </w:numPr>
        <w:tabs>
          <w:tab w:val="clear" w:pos="851"/>
        </w:tabs>
        <w:snapToGrid w:val="0"/>
        <w:spacing w:line="360" w:lineRule="auto"/>
        <w:rPr>
          <w:rFonts w:ascii="宋体" w:hAnsi="宋体"/>
          <w:b/>
          <w:color w:val="auto"/>
          <w:kern w:val="0"/>
          <w:highlight w:val="none"/>
        </w:rPr>
      </w:pPr>
      <w:r>
        <w:rPr>
          <w:rFonts w:hint="eastAsia" w:ascii="宋体" w:hAnsi="宋体"/>
          <w:b/>
          <w:color w:val="auto"/>
          <w:kern w:val="0"/>
          <w:highlight w:val="none"/>
        </w:rPr>
        <w:t>磋商文件的解释权</w:t>
      </w:r>
    </w:p>
    <w:p w14:paraId="515A45FB">
      <w:pPr>
        <w:snapToGrid w:val="0"/>
        <w:spacing w:line="360" w:lineRule="auto"/>
        <w:ind w:left="426"/>
        <w:rPr>
          <w:rFonts w:ascii="宋体" w:hAnsi="宋体"/>
          <w:bCs/>
          <w:color w:val="auto"/>
          <w:kern w:val="0"/>
          <w:highlight w:val="none"/>
        </w:rPr>
      </w:pPr>
      <w:r>
        <w:rPr>
          <w:rFonts w:hint="eastAsia" w:ascii="宋体" w:hAnsi="宋体"/>
          <w:bCs/>
          <w:color w:val="auto"/>
          <w:kern w:val="0"/>
          <w:highlight w:val="none"/>
        </w:rPr>
        <w:t>本磋商文件的解释权归“</w:t>
      </w:r>
      <w:r>
        <w:rPr>
          <w:rFonts w:hint="eastAsia" w:ascii="宋体" w:hAnsi="宋体"/>
          <w:bCs/>
          <w:color w:val="auto"/>
          <w:kern w:val="0"/>
          <w:highlight w:val="none"/>
          <w:lang w:eastAsia="zh-CN"/>
        </w:rPr>
        <w:t>广州中天项目管理咨询有限公司</w:t>
      </w:r>
      <w:r>
        <w:rPr>
          <w:rFonts w:hint="eastAsia" w:ascii="宋体" w:hAnsi="宋体"/>
          <w:bCs/>
          <w:color w:val="auto"/>
          <w:kern w:val="0"/>
          <w:highlight w:val="none"/>
        </w:rPr>
        <w:t>”所有。</w:t>
      </w:r>
    </w:p>
    <w:p w14:paraId="1830B427">
      <w:pPr>
        <w:pStyle w:val="3"/>
        <w:ind w:firstLine="0"/>
        <w:jc w:val="center"/>
        <w:rPr>
          <w:rFonts w:hAnsi="宋体"/>
          <w:color w:val="auto"/>
          <w:highlight w:val="none"/>
        </w:rPr>
      </w:pPr>
      <w:bookmarkStart w:id="80" w:name="_Toc337541096"/>
      <w:bookmarkStart w:id="81" w:name="_Toc510511179"/>
      <w:bookmarkStart w:id="82" w:name="_Toc30379"/>
      <w:bookmarkStart w:id="83" w:name="_Toc67046876"/>
      <w:r>
        <w:rPr>
          <w:rFonts w:hint="eastAsia" w:hAnsi="宋体"/>
          <w:color w:val="auto"/>
          <w:highlight w:val="none"/>
        </w:rPr>
        <w:t>（二）磋商文件</w:t>
      </w:r>
      <w:bookmarkEnd w:id="79"/>
      <w:bookmarkEnd w:id="80"/>
      <w:bookmarkEnd w:id="81"/>
      <w:bookmarkEnd w:id="82"/>
      <w:bookmarkEnd w:id="83"/>
    </w:p>
    <w:p w14:paraId="1F3900B4">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磋商文件构成</w:t>
      </w:r>
    </w:p>
    <w:p w14:paraId="342834F7">
      <w:pPr>
        <w:snapToGrid w:val="0"/>
        <w:spacing w:line="360" w:lineRule="auto"/>
        <w:ind w:left="420" w:leftChars="200" w:firstLine="147" w:firstLineChars="70"/>
        <w:rPr>
          <w:rFonts w:ascii="宋体" w:hAnsi="宋体"/>
          <w:color w:val="auto"/>
          <w:highlight w:val="none"/>
        </w:rPr>
      </w:pPr>
      <w:r>
        <w:rPr>
          <w:rFonts w:hint="eastAsia" w:ascii="宋体" w:hAnsi="宋体"/>
          <w:color w:val="auto"/>
          <w:highlight w:val="none"/>
        </w:rPr>
        <w:t>要求提供的服务、磋商过程和合同条件在磋商文件中均有说明。磋商文件包括：</w:t>
      </w:r>
    </w:p>
    <w:p w14:paraId="42EB4433">
      <w:pPr>
        <w:numPr>
          <w:ilvl w:val="0"/>
          <w:numId w:val="8"/>
        </w:numPr>
        <w:tabs>
          <w:tab w:val="left" w:pos="1080"/>
        </w:tabs>
        <w:snapToGrid w:val="0"/>
        <w:spacing w:line="360" w:lineRule="auto"/>
        <w:ind w:firstLine="289"/>
        <w:rPr>
          <w:rFonts w:ascii="宋体" w:hAnsi="宋体"/>
          <w:color w:val="auto"/>
          <w:highlight w:val="none"/>
        </w:rPr>
      </w:pPr>
      <w:r>
        <w:rPr>
          <w:rFonts w:hint="eastAsia" w:ascii="宋体" w:hAnsi="宋体"/>
          <w:color w:val="auto"/>
          <w:highlight w:val="none"/>
        </w:rPr>
        <w:t>竞争性磋商公告；</w:t>
      </w:r>
    </w:p>
    <w:p w14:paraId="271C751D">
      <w:pPr>
        <w:numPr>
          <w:ilvl w:val="0"/>
          <w:numId w:val="8"/>
        </w:numPr>
        <w:tabs>
          <w:tab w:val="left" w:pos="1080"/>
        </w:tabs>
        <w:snapToGrid w:val="0"/>
        <w:spacing w:line="360" w:lineRule="auto"/>
        <w:ind w:firstLine="289"/>
        <w:rPr>
          <w:rFonts w:ascii="宋体" w:hAnsi="宋体"/>
          <w:color w:val="auto"/>
          <w:highlight w:val="none"/>
        </w:rPr>
      </w:pPr>
      <w:r>
        <w:rPr>
          <w:rFonts w:hint="eastAsia" w:ascii="宋体" w:hAnsi="宋体"/>
          <w:color w:val="auto"/>
          <w:highlight w:val="none"/>
        </w:rPr>
        <w:t>磋商须知；</w:t>
      </w:r>
    </w:p>
    <w:p w14:paraId="07A522B9">
      <w:pPr>
        <w:numPr>
          <w:ilvl w:val="0"/>
          <w:numId w:val="8"/>
        </w:numPr>
        <w:tabs>
          <w:tab w:val="left" w:pos="1080"/>
        </w:tabs>
        <w:snapToGrid w:val="0"/>
        <w:spacing w:line="360" w:lineRule="auto"/>
        <w:ind w:firstLine="289"/>
        <w:rPr>
          <w:rFonts w:ascii="宋体" w:hAnsi="宋体"/>
          <w:color w:val="auto"/>
          <w:highlight w:val="none"/>
        </w:rPr>
      </w:pPr>
      <w:r>
        <w:rPr>
          <w:rFonts w:hint="eastAsia" w:ascii="宋体" w:hAnsi="宋体"/>
          <w:color w:val="auto"/>
          <w:highlight w:val="none"/>
        </w:rPr>
        <w:t>用户需求；</w:t>
      </w:r>
    </w:p>
    <w:p w14:paraId="058377F0">
      <w:pPr>
        <w:numPr>
          <w:ilvl w:val="0"/>
          <w:numId w:val="8"/>
        </w:numPr>
        <w:tabs>
          <w:tab w:val="left" w:pos="1080"/>
        </w:tabs>
        <w:snapToGrid w:val="0"/>
        <w:spacing w:line="360" w:lineRule="auto"/>
        <w:ind w:firstLine="289"/>
        <w:rPr>
          <w:rFonts w:ascii="宋体" w:hAnsi="宋体"/>
          <w:color w:val="auto"/>
          <w:highlight w:val="none"/>
        </w:rPr>
      </w:pPr>
      <w:r>
        <w:rPr>
          <w:rFonts w:hint="eastAsia" w:ascii="宋体" w:hAnsi="宋体"/>
          <w:color w:val="auto"/>
          <w:highlight w:val="none"/>
        </w:rPr>
        <w:t>合同草案；</w:t>
      </w:r>
    </w:p>
    <w:p w14:paraId="6301138B">
      <w:pPr>
        <w:numPr>
          <w:ilvl w:val="0"/>
          <w:numId w:val="8"/>
        </w:numPr>
        <w:tabs>
          <w:tab w:val="left" w:pos="1080"/>
        </w:tabs>
        <w:snapToGrid w:val="0"/>
        <w:spacing w:line="360" w:lineRule="auto"/>
        <w:ind w:firstLine="289"/>
        <w:rPr>
          <w:rFonts w:ascii="宋体" w:hAnsi="宋体"/>
          <w:color w:val="auto"/>
          <w:highlight w:val="none"/>
        </w:rPr>
      </w:pPr>
      <w:r>
        <w:rPr>
          <w:rFonts w:hint="eastAsia" w:ascii="宋体" w:hAnsi="宋体"/>
          <w:color w:val="auto"/>
          <w:highlight w:val="none"/>
        </w:rPr>
        <w:t>响应文件格式；</w:t>
      </w:r>
    </w:p>
    <w:p w14:paraId="1A3AECC6">
      <w:pPr>
        <w:numPr>
          <w:ilvl w:val="0"/>
          <w:numId w:val="8"/>
        </w:numPr>
        <w:tabs>
          <w:tab w:val="left" w:pos="1080"/>
        </w:tabs>
        <w:snapToGrid w:val="0"/>
        <w:spacing w:line="360" w:lineRule="auto"/>
        <w:ind w:firstLine="289"/>
        <w:rPr>
          <w:rFonts w:ascii="宋体" w:hAnsi="宋体"/>
          <w:color w:val="auto"/>
          <w:highlight w:val="none"/>
        </w:rPr>
      </w:pPr>
      <w:r>
        <w:rPr>
          <w:rFonts w:hint="eastAsia" w:ascii="宋体" w:hAnsi="宋体"/>
          <w:color w:val="auto"/>
          <w:highlight w:val="none"/>
        </w:rPr>
        <w:t>磋商过程中发生的澄清、修改和补充文件（如有）。</w:t>
      </w:r>
    </w:p>
    <w:p w14:paraId="40EE2A59">
      <w:pPr>
        <w:numPr>
          <w:ilvl w:val="0"/>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应认真阅读、并充分理解磋商文件的全部内容（包括所有的补充、修改内容、重要事项、格式、条款和技术规范、参数及要求等）。供应商没有按照磋商文件要求提交全部资料，或者响应文件没有对磋商文件在各方面都作出实质性响应是供应商的风险，有可能导致其磋商响应被拒绝，或被确定为响应无效。</w:t>
      </w:r>
    </w:p>
    <w:p w14:paraId="0FF195CA">
      <w:pPr>
        <w:numPr>
          <w:ilvl w:val="0"/>
          <w:numId w:val="7"/>
        </w:numPr>
        <w:tabs>
          <w:tab w:val="clear" w:pos="851"/>
        </w:tabs>
        <w:snapToGrid w:val="0"/>
        <w:spacing w:line="360" w:lineRule="auto"/>
        <w:rPr>
          <w:rFonts w:ascii="宋体" w:hAnsi="宋体"/>
          <w:b/>
          <w:color w:val="auto"/>
          <w:szCs w:val="21"/>
          <w:highlight w:val="none"/>
        </w:rPr>
      </w:pPr>
      <w:r>
        <w:rPr>
          <w:rFonts w:hint="eastAsia" w:ascii="宋体" w:hAnsi="宋体"/>
          <w:b/>
          <w:color w:val="auto"/>
          <w:szCs w:val="21"/>
          <w:highlight w:val="none"/>
        </w:rPr>
        <w:t>磋商文件的澄清和修改</w:t>
      </w:r>
    </w:p>
    <w:p w14:paraId="529EBBCF">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 日前，以书面形式通知所有获取磋商文件的供应商；不足5 日的，采购人、采购代理机构应当顺延提交首次响应文件截止时间。潜在供应商在收到上述通知后，应立即以书面形式向采购代理机构确认。如在24小时之内无书面回复则视为同意澄清或者修改的内容，并有责任履行相应的义务。</w:t>
      </w:r>
    </w:p>
    <w:p w14:paraId="453BDAD1">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对磋商文件中描述有歧义或前后不一致的地方，磋商小组有权进行评判，但对同一条款的评判应适用于每个供应商。</w:t>
      </w:r>
    </w:p>
    <w:p w14:paraId="04577594">
      <w:pPr>
        <w:numPr>
          <w:ilvl w:val="0"/>
          <w:numId w:val="7"/>
        </w:numPr>
        <w:tabs>
          <w:tab w:val="clear" w:pos="851"/>
        </w:tabs>
        <w:snapToGrid w:val="0"/>
        <w:spacing w:line="360" w:lineRule="auto"/>
        <w:rPr>
          <w:rFonts w:ascii="宋体" w:hAnsi="宋体"/>
          <w:b/>
          <w:color w:val="auto"/>
          <w:szCs w:val="21"/>
          <w:highlight w:val="none"/>
        </w:rPr>
      </w:pPr>
      <w:r>
        <w:rPr>
          <w:rFonts w:hint="eastAsia" w:ascii="宋体" w:hAnsi="宋体"/>
          <w:b/>
          <w:color w:val="auto"/>
          <w:szCs w:val="21"/>
          <w:highlight w:val="none"/>
        </w:rPr>
        <w:t>答疑会或现场考察</w:t>
      </w:r>
    </w:p>
    <w:p w14:paraId="78B3616D">
      <w:pPr>
        <w:snapToGrid w:val="0"/>
        <w:spacing w:line="360" w:lineRule="auto"/>
        <w:ind w:left="567" w:leftChars="270"/>
        <w:rPr>
          <w:rFonts w:ascii="宋体" w:hAnsi="宋体"/>
          <w:color w:val="auto"/>
          <w:highlight w:val="none"/>
        </w:rPr>
      </w:pPr>
      <w:bookmarkStart w:id="84" w:name="_Toc337541097"/>
      <w:bookmarkStart w:id="85" w:name="_Toc111890781"/>
      <w:r>
        <w:rPr>
          <w:rFonts w:hint="eastAsia" w:ascii="宋体" w:hAnsi="宋体"/>
          <w:color w:val="auto"/>
          <w:szCs w:val="21"/>
          <w:highlight w:val="none"/>
        </w:rPr>
        <w:t>详见磋商须知前附表第3项。</w:t>
      </w:r>
    </w:p>
    <w:p w14:paraId="4554A5AA">
      <w:pPr>
        <w:pStyle w:val="3"/>
        <w:jc w:val="center"/>
        <w:rPr>
          <w:rFonts w:hAnsi="宋体"/>
          <w:color w:val="auto"/>
          <w:highlight w:val="none"/>
        </w:rPr>
      </w:pPr>
      <w:bookmarkStart w:id="86" w:name="_Toc67046877"/>
      <w:bookmarkStart w:id="87" w:name="_Toc510511180"/>
      <w:bookmarkStart w:id="88" w:name="_Toc14056"/>
      <w:r>
        <w:rPr>
          <w:rFonts w:hint="eastAsia" w:hAnsi="宋体"/>
          <w:color w:val="auto"/>
          <w:highlight w:val="none"/>
        </w:rPr>
        <w:t>（三）响应文件的编制</w:t>
      </w:r>
      <w:bookmarkEnd w:id="84"/>
      <w:bookmarkEnd w:id="85"/>
      <w:bookmarkEnd w:id="86"/>
      <w:bookmarkEnd w:id="87"/>
      <w:bookmarkEnd w:id="88"/>
    </w:p>
    <w:p w14:paraId="3FECFEBE">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响应文件的构成</w:t>
      </w:r>
    </w:p>
    <w:p w14:paraId="3664B000">
      <w:pPr>
        <w:snapToGrid w:val="0"/>
        <w:spacing w:line="360" w:lineRule="auto"/>
        <w:ind w:left="567" w:leftChars="270"/>
        <w:rPr>
          <w:rFonts w:ascii="宋体" w:hAnsi="宋体"/>
          <w:color w:val="auto"/>
          <w:highlight w:val="none"/>
        </w:rPr>
      </w:pPr>
      <w:r>
        <w:rPr>
          <w:rFonts w:hint="eastAsia" w:ascii="宋体" w:hAnsi="宋体"/>
          <w:color w:val="auto"/>
          <w:highlight w:val="none"/>
        </w:rPr>
        <w:t>供应商编写的响应文件</w:t>
      </w:r>
      <w:r>
        <w:rPr>
          <w:rFonts w:hint="eastAsia" w:ascii="宋体" w:hAnsi="宋体"/>
          <w:color w:val="auto"/>
          <w:szCs w:val="21"/>
          <w:highlight w:val="none"/>
        </w:rPr>
        <w:t>应包括资格证明文件、商务文件和技术文件，编排顺序参见响应文件格式。资格证明文件、商务文件部分指供应商提交的证明其有资格参加磋商和成交后有能力履行合同的文件。技术方案说明部分是能够证明供应商提供的货物及服务符合磋商文件规定的文件。供应商应按规定提交资格证明文件、商务文件部分和技术文件。</w:t>
      </w:r>
    </w:p>
    <w:p w14:paraId="53A75477">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磋商费用</w:t>
      </w:r>
    </w:p>
    <w:p w14:paraId="466E957E">
      <w:pPr>
        <w:snapToGrid w:val="0"/>
        <w:spacing w:line="360" w:lineRule="auto"/>
        <w:ind w:left="567" w:leftChars="270"/>
        <w:rPr>
          <w:rFonts w:ascii="宋体" w:hAnsi="宋体"/>
          <w:color w:val="auto"/>
          <w:highlight w:val="none"/>
        </w:rPr>
      </w:pPr>
      <w:r>
        <w:rPr>
          <w:rFonts w:hint="eastAsia" w:ascii="宋体" w:hAnsi="宋体"/>
          <w:color w:val="auto"/>
          <w:highlight w:val="none"/>
        </w:rPr>
        <w:t>供应商应承担所有与编写和提交响应文件有关的费用，不论磋商的结果如何，采购代理机构、采购人在任何情况下均无义务和责任承担这些费用。</w:t>
      </w:r>
    </w:p>
    <w:p w14:paraId="711DB9E1">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报价函</w:t>
      </w:r>
    </w:p>
    <w:p w14:paraId="451509BD">
      <w:pPr>
        <w:snapToGrid w:val="0"/>
        <w:spacing w:line="360" w:lineRule="auto"/>
        <w:ind w:left="567" w:leftChars="270"/>
        <w:rPr>
          <w:rFonts w:ascii="宋体" w:hAnsi="宋体"/>
          <w:color w:val="auto"/>
          <w:highlight w:val="none"/>
        </w:rPr>
      </w:pPr>
      <w:r>
        <w:rPr>
          <w:rFonts w:hint="eastAsia" w:ascii="宋体" w:hAnsi="宋体"/>
          <w:color w:val="auto"/>
          <w:highlight w:val="none"/>
        </w:rPr>
        <w:t>供应商应完整地填写磋商文件格式中规定的报价函。</w:t>
      </w:r>
    </w:p>
    <w:p w14:paraId="74399BCF">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报价说明</w:t>
      </w:r>
    </w:p>
    <w:p w14:paraId="2260AF22">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供应商应以人民币报价。</w:t>
      </w:r>
    </w:p>
    <w:p w14:paraId="07860FA4">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供应商应按磋商文件格式要求填写报价明细表。</w:t>
      </w:r>
    </w:p>
    <w:p w14:paraId="50D6A3C0">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供应商所报的价格在合同执行期间是固定不变的，不得以任何理由予以变更。报价不是固定价的，将作为非响应性报价而予以拒绝。</w:t>
      </w:r>
    </w:p>
    <w:p w14:paraId="0C3DD26C">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所报的最后价格应为所投项目的最终报价，包含一切税费；供应商应自行增加正常运行及使用所必需但磋商文件没有包含的所有部件、工具、版权、专利等一切费用，如果供应商在成交并签署合同后，在项目实施等工作中出现任何遗漏，均由成交供应商免费提供，买方将不再支付任何费用。</w:t>
      </w:r>
    </w:p>
    <w:p w14:paraId="2E15E3D9">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响应文件的编写原则</w:t>
      </w:r>
    </w:p>
    <w:p w14:paraId="13560A77">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磋商语言：响应文件、供应商与采购代理机构就磋商交换的文件和来往信件，应以中文书写。供应商提供的支持文件、技术资料和印刷的文献可以用其他语言，但相应实质性内容须附有中文翻译本，并以中文为准。</w:t>
      </w:r>
    </w:p>
    <w:p w14:paraId="15531E23">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计量单位：除在磋商文件的技术规格中另有规定外，计量单位应使用中华人民共和国法定计量单位(国际单位制和国家选定的其他计量单位)。</w:t>
      </w:r>
    </w:p>
    <w:p w14:paraId="4346003E">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供应商应保证所提供的所有资料的真实性、准确性、完整性。</w:t>
      </w:r>
    </w:p>
    <w:p w14:paraId="1BC3F229">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应当对响应文件进行装订，对未经装订的响应文件可能发生的文件散落或缺损，由此造成的后果和责任由供应商承担。若项目含有多个包组，且供应商参与对多个包组磋商的，建议其响应文件的编制按每个包组的要求分别装订和封装。</w:t>
      </w:r>
    </w:p>
    <w:p w14:paraId="41D68A80">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供应商在采购过程中提供不真实的材料，无论其材料是否重要，采购人均有权拒绝，并取消供应商的成交资格，供应商需承担相应的后果及法律责任。</w:t>
      </w:r>
    </w:p>
    <w:p w14:paraId="247A2565">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本项目概不接受电报、电话、电子邮件或传真形式提交的响应文件。</w:t>
      </w:r>
    </w:p>
    <w:p w14:paraId="7C9F3662">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证明供应商合格的资格文件</w:t>
      </w:r>
    </w:p>
    <w:p w14:paraId="51C69E90">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应提交证明其有资格参加磋商和被确定为成交供应商后有能力履行合同的文件，以及证明其提供的合同项下，服务的合格性符合磋商文件规定的文件，并作为响应文件的一部分。如果供应商为联合体，应提交联合体各方的资格证明文件、共同磋商协议并注明主体方及各方拟承担的工作和责任。否则，将导致其磋商响应无效。</w:t>
      </w:r>
    </w:p>
    <w:p w14:paraId="2E97BAA2">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磋商有效期</w:t>
      </w:r>
    </w:p>
    <w:p w14:paraId="6242B020">
      <w:pPr>
        <w:numPr>
          <w:ilvl w:val="1"/>
          <w:numId w:val="7"/>
        </w:numPr>
        <w:tabs>
          <w:tab w:val="clear" w:pos="851"/>
        </w:tabs>
        <w:snapToGrid w:val="0"/>
        <w:spacing w:line="360" w:lineRule="auto"/>
        <w:ind w:left="567" w:hanging="567"/>
        <w:rPr>
          <w:rFonts w:ascii="宋体" w:hAnsi="宋体"/>
          <w:b/>
          <w:color w:val="auto"/>
          <w:szCs w:val="21"/>
          <w:highlight w:val="none"/>
        </w:rPr>
      </w:pPr>
      <w:r>
        <w:rPr>
          <w:rFonts w:hint="eastAsia" w:ascii="宋体" w:hAnsi="宋体"/>
          <w:b/>
          <w:color w:val="auto"/>
          <w:szCs w:val="21"/>
          <w:highlight w:val="none"/>
        </w:rPr>
        <w:t>响应文件在磋商须知前附表第4项规定的磋商有效期内有效。磋商有效期比规定期限短的将被视为无效响应文件。</w:t>
      </w:r>
    </w:p>
    <w:p w14:paraId="7CFE28F2">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特殊情况下，在原磋商有效期截止之前，采购代理机构可要求供应商延长磋商有效期。这种要求与答复均应以书面形式提交。供应商可拒绝政府采购代理机构的这种要求，但其磋商在原磋商有效期期满后将不再有效。同意延长磋商有效期的供应商将不会被要求和允许修正其磋商。</w:t>
      </w:r>
    </w:p>
    <w:p w14:paraId="141299AB">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响应文件的式样和签署</w:t>
      </w:r>
    </w:p>
    <w:p w14:paraId="4742640C">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供应商应按磋商须知前附表第6项准备响应文件正本、副本和电子响应文件（刻录光盘或</w:t>
      </w:r>
      <w:r>
        <w:rPr>
          <w:rFonts w:hint="eastAsia" w:ascii="宋体" w:hAnsi="宋体"/>
          <w:color w:val="auto"/>
          <w:highlight w:val="none"/>
        </w:rPr>
        <w:t>U盘</w:t>
      </w:r>
      <w:r>
        <w:rPr>
          <w:rFonts w:hint="eastAsia" w:ascii="宋体" w:hAnsi="宋体"/>
          <w:color w:val="auto"/>
          <w:szCs w:val="21"/>
          <w:highlight w:val="none"/>
        </w:rPr>
        <w:t>），电子响应文件封面注明</w:t>
      </w:r>
      <w:r>
        <w:rPr>
          <w:rFonts w:hint="eastAsia" w:ascii="宋体" w:hAnsi="宋体"/>
          <w:color w:val="auto"/>
          <w:highlight w:val="none"/>
        </w:rPr>
        <w:t>响应供应商名称</w:t>
      </w:r>
      <w:r>
        <w:rPr>
          <w:rFonts w:hint="eastAsia" w:ascii="宋体" w:hAnsi="宋体"/>
          <w:color w:val="auto"/>
          <w:szCs w:val="21"/>
          <w:highlight w:val="none"/>
        </w:rPr>
        <w:t xml:space="preserve">和项目编号，每份响应文件须清楚地标明“正本”或“副本”。一旦正本和副本不符，以正本为准。 </w:t>
      </w:r>
    </w:p>
    <w:p w14:paraId="0CE366AE">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供应商应将按照响应文件格式的目录要求顺序装订成册。响应文件应</w:t>
      </w:r>
      <w:r>
        <w:rPr>
          <w:rFonts w:ascii="宋体" w:hAnsi="宋体"/>
          <w:color w:val="auto"/>
          <w:szCs w:val="21"/>
          <w:highlight w:val="none"/>
        </w:rPr>
        <w:t>装订</w:t>
      </w:r>
      <w:r>
        <w:rPr>
          <w:rFonts w:hint="eastAsia" w:ascii="宋体" w:hAnsi="宋体"/>
          <w:color w:val="auto"/>
          <w:szCs w:val="21"/>
          <w:highlight w:val="none"/>
        </w:rPr>
        <w:t>牢固不可拆卸（如：</w:t>
      </w:r>
      <w:r>
        <w:rPr>
          <w:rFonts w:ascii="宋体" w:hAnsi="宋体"/>
          <w:color w:val="auto"/>
          <w:szCs w:val="21"/>
          <w:highlight w:val="none"/>
        </w:rPr>
        <w:t>胶订</w:t>
      </w:r>
      <w:r>
        <w:rPr>
          <w:rFonts w:hint="eastAsia" w:ascii="宋体" w:hAnsi="宋体"/>
          <w:color w:val="auto"/>
          <w:szCs w:val="21"/>
          <w:highlight w:val="none"/>
        </w:rPr>
        <w:t>），如因装订不牢固导致的任何损失由供应商承担</w:t>
      </w:r>
      <w:r>
        <w:rPr>
          <w:rFonts w:ascii="宋体" w:hAnsi="宋体"/>
          <w:color w:val="auto"/>
          <w:szCs w:val="21"/>
          <w:highlight w:val="none"/>
        </w:rPr>
        <w:t>。</w:t>
      </w:r>
    </w:p>
    <w:p w14:paraId="1BC3F978">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响应文件除签字</w:t>
      </w:r>
      <w:r>
        <w:rPr>
          <w:rFonts w:hint="eastAsia" w:ascii="宋体" w:hAnsi="宋体"/>
          <w:color w:val="auto"/>
          <w:highlight w:val="none"/>
        </w:rPr>
        <w:t>或印鉴</w:t>
      </w:r>
      <w:r>
        <w:rPr>
          <w:rFonts w:hint="eastAsia" w:ascii="宋体" w:hAnsi="宋体"/>
          <w:color w:val="auto"/>
          <w:szCs w:val="21"/>
          <w:highlight w:val="none"/>
        </w:rPr>
        <w:t>外必须是印刷形式，一般不许有加行、涂抹或改写；如有加行、涂抹或改写，必须由供应商法定代表人或其授权代表在修改处签名</w:t>
      </w:r>
      <w:r>
        <w:rPr>
          <w:rFonts w:hint="eastAsia" w:ascii="宋体" w:hAnsi="宋体"/>
          <w:color w:val="auto"/>
          <w:highlight w:val="none"/>
        </w:rPr>
        <w:t>或印鉴</w:t>
      </w:r>
      <w:r>
        <w:rPr>
          <w:rFonts w:hint="eastAsia" w:ascii="宋体" w:hAnsi="宋体"/>
          <w:color w:val="auto"/>
          <w:szCs w:val="21"/>
          <w:highlight w:val="none"/>
        </w:rPr>
        <w:t>或加盖供应商公章。</w:t>
      </w:r>
    </w:p>
    <w:p w14:paraId="0167345A">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响应文件正本须打印并由供应商的法定代表人或其委托代理人（具有法定代表人签署的授权书）在响应文件上要求的地方签字</w:t>
      </w:r>
      <w:r>
        <w:rPr>
          <w:rFonts w:hint="eastAsia" w:ascii="宋体" w:hAnsi="宋体"/>
          <w:color w:val="auto"/>
          <w:highlight w:val="none"/>
        </w:rPr>
        <w:t>或印鉴</w:t>
      </w:r>
      <w:r>
        <w:rPr>
          <w:rFonts w:hint="eastAsia" w:ascii="宋体" w:hAnsi="宋体"/>
          <w:color w:val="auto"/>
          <w:szCs w:val="21"/>
          <w:highlight w:val="none"/>
        </w:rPr>
        <w:t>，副本可通过正本复印。</w:t>
      </w:r>
    </w:p>
    <w:p w14:paraId="4554FDC6">
      <w:pPr>
        <w:pStyle w:val="3"/>
        <w:jc w:val="center"/>
        <w:rPr>
          <w:rFonts w:hAnsi="宋体"/>
          <w:color w:val="auto"/>
          <w:highlight w:val="none"/>
        </w:rPr>
      </w:pPr>
      <w:bookmarkStart w:id="89" w:name="_Toc111890782"/>
      <w:bookmarkStart w:id="90" w:name="_Toc16783"/>
      <w:bookmarkStart w:id="91" w:name="_Toc67046878"/>
      <w:bookmarkStart w:id="92" w:name="_Toc337541098"/>
      <w:bookmarkStart w:id="93" w:name="_Toc510511181"/>
      <w:r>
        <w:rPr>
          <w:rFonts w:hint="eastAsia" w:hAnsi="宋体"/>
          <w:color w:val="auto"/>
          <w:highlight w:val="none"/>
        </w:rPr>
        <w:t>（四）响应文件的提交</w:t>
      </w:r>
      <w:bookmarkEnd w:id="89"/>
      <w:bookmarkEnd w:id="90"/>
      <w:bookmarkEnd w:id="91"/>
      <w:bookmarkEnd w:id="92"/>
      <w:bookmarkEnd w:id="93"/>
    </w:p>
    <w:p w14:paraId="6B839B2B">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响应文件的标记</w:t>
      </w:r>
    </w:p>
    <w:p w14:paraId="6A45D690">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正本和电子响应文件一起封装，副本一起封装，封套盖章并标明项目名称、项目编号、供应商名称及“正本/副本”等字样。</w:t>
      </w:r>
    </w:p>
    <w:p w14:paraId="3A221073">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封套上应注明：</w:t>
      </w:r>
    </w:p>
    <w:p w14:paraId="2E145C93">
      <w:pPr>
        <w:snapToGrid w:val="0"/>
        <w:spacing w:line="360" w:lineRule="auto"/>
        <w:ind w:left="850" w:leftChars="405"/>
        <w:rPr>
          <w:rFonts w:hint="eastAsia" w:ascii="宋体" w:hAnsi="宋体" w:eastAsia="宋体"/>
          <w:b/>
          <w:color w:val="auto"/>
          <w:highlight w:val="none"/>
          <w:lang w:eastAsia="zh-CN"/>
        </w:rPr>
      </w:pPr>
      <w:r>
        <w:rPr>
          <w:rFonts w:hint="eastAsia" w:ascii="宋体" w:hAnsi="宋体"/>
          <w:b/>
          <w:color w:val="auto"/>
          <w:highlight w:val="none"/>
        </w:rPr>
        <w:t>收件人：</w:t>
      </w:r>
      <w:r>
        <w:rPr>
          <w:rFonts w:hint="eastAsia" w:ascii="宋体" w:hAnsi="宋体"/>
          <w:b/>
          <w:color w:val="auto"/>
          <w:highlight w:val="none"/>
          <w:lang w:eastAsia="zh-CN"/>
        </w:rPr>
        <w:t>广州中天项目管理咨询有限公司</w:t>
      </w:r>
    </w:p>
    <w:p w14:paraId="30912A29">
      <w:pPr>
        <w:snapToGrid w:val="0"/>
        <w:spacing w:line="360" w:lineRule="auto"/>
        <w:ind w:left="850" w:leftChars="405"/>
        <w:rPr>
          <w:rFonts w:ascii="宋体" w:hAnsi="宋体"/>
          <w:b/>
          <w:color w:val="auto"/>
          <w:highlight w:val="none"/>
        </w:rPr>
      </w:pPr>
      <w:r>
        <w:rPr>
          <w:rFonts w:hint="eastAsia" w:ascii="宋体" w:hAnsi="宋体"/>
          <w:b/>
          <w:color w:val="auto"/>
          <w:highlight w:val="none"/>
        </w:rPr>
        <w:t xml:space="preserve">项目名称： </w:t>
      </w:r>
    </w:p>
    <w:p w14:paraId="67371E51">
      <w:pPr>
        <w:snapToGrid w:val="0"/>
        <w:spacing w:line="360" w:lineRule="auto"/>
        <w:ind w:left="850" w:leftChars="405"/>
        <w:rPr>
          <w:rFonts w:ascii="宋体" w:hAnsi="宋体"/>
          <w:b/>
          <w:color w:val="auto"/>
          <w:highlight w:val="none"/>
        </w:rPr>
      </w:pPr>
      <w:r>
        <w:rPr>
          <w:rFonts w:hint="eastAsia" w:ascii="宋体" w:hAnsi="宋体"/>
          <w:b/>
          <w:color w:val="auto"/>
          <w:highlight w:val="none"/>
        </w:rPr>
        <w:t xml:space="preserve">项目编号: </w:t>
      </w:r>
    </w:p>
    <w:p w14:paraId="43C67552">
      <w:pPr>
        <w:snapToGrid w:val="0"/>
        <w:spacing w:line="360" w:lineRule="auto"/>
        <w:ind w:left="850" w:leftChars="405"/>
        <w:rPr>
          <w:rFonts w:ascii="宋体" w:hAnsi="宋体"/>
          <w:b/>
          <w:color w:val="auto"/>
          <w:highlight w:val="none"/>
        </w:rPr>
      </w:pPr>
      <w:r>
        <w:rPr>
          <w:rFonts w:hint="eastAsia" w:ascii="宋体" w:hAnsi="宋体"/>
          <w:b/>
          <w:color w:val="auto"/>
          <w:highlight w:val="none"/>
        </w:rPr>
        <w:t>供应商名称：</w:t>
      </w:r>
    </w:p>
    <w:p w14:paraId="719CBA91">
      <w:pPr>
        <w:snapToGrid w:val="0"/>
        <w:spacing w:line="360" w:lineRule="auto"/>
        <w:ind w:left="850" w:leftChars="405"/>
        <w:rPr>
          <w:rFonts w:ascii="宋体" w:hAnsi="宋体"/>
          <w:b/>
          <w:color w:val="auto"/>
          <w:highlight w:val="none"/>
        </w:rPr>
      </w:pPr>
      <w:r>
        <w:rPr>
          <w:rFonts w:hint="eastAsia" w:ascii="宋体" w:hAnsi="宋体"/>
          <w:b/>
          <w:color w:val="auto"/>
          <w:highlight w:val="none"/>
        </w:rPr>
        <w:t>供应商地址：</w:t>
      </w:r>
    </w:p>
    <w:p w14:paraId="6EFB70B8">
      <w:pPr>
        <w:numPr>
          <w:ilvl w:val="1"/>
          <w:numId w:val="7"/>
        </w:numPr>
        <w:tabs>
          <w:tab w:val="clear" w:pos="851"/>
        </w:tabs>
        <w:snapToGrid w:val="0"/>
        <w:spacing w:line="360" w:lineRule="auto"/>
        <w:ind w:left="567" w:hanging="567"/>
        <w:rPr>
          <w:rFonts w:ascii="宋体" w:hAnsi="宋体"/>
          <w:b/>
          <w:color w:val="auto"/>
          <w:szCs w:val="21"/>
          <w:highlight w:val="none"/>
          <w:u w:val="single"/>
        </w:rPr>
      </w:pPr>
      <w:r>
        <w:rPr>
          <w:rFonts w:hint="eastAsia" w:ascii="宋体" w:hAnsi="宋体"/>
          <w:b/>
          <w:color w:val="auto"/>
          <w:szCs w:val="21"/>
          <w:highlight w:val="none"/>
          <w:u w:val="single"/>
        </w:rPr>
        <w:t>如因密封不严导致响应文件非人为因素过早启封的，采购代理机构概不负责，并将该文件退还给供应商。</w:t>
      </w:r>
    </w:p>
    <w:p w14:paraId="39F964C0">
      <w:pPr>
        <w:numPr>
          <w:ilvl w:val="1"/>
          <w:numId w:val="7"/>
        </w:numPr>
        <w:tabs>
          <w:tab w:val="clear" w:pos="851"/>
        </w:tabs>
        <w:snapToGrid w:val="0"/>
        <w:spacing w:line="360" w:lineRule="auto"/>
        <w:ind w:left="567" w:hanging="567"/>
        <w:rPr>
          <w:rFonts w:ascii="宋体" w:hAnsi="宋体"/>
          <w:b/>
          <w:color w:val="auto"/>
          <w:szCs w:val="21"/>
          <w:highlight w:val="none"/>
          <w:u w:val="single"/>
        </w:rPr>
      </w:pPr>
      <w:r>
        <w:rPr>
          <w:rFonts w:hint="eastAsia" w:ascii="宋体" w:hAnsi="宋体"/>
          <w:color w:val="auto"/>
          <w:szCs w:val="21"/>
          <w:highlight w:val="none"/>
        </w:rPr>
        <w:t>逾期送达或者未密封的响应文件，采购人、采购代理机构应当拒收。密封有瑕疵，但不足以造成响应文件可从外包装内散出而导致响应文件内容泄密的，不被认定为未密封。</w:t>
      </w:r>
    </w:p>
    <w:p w14:paraId="00775639">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迟交的响应文件</w:t>
      </w:r>
    </w:p>
    <w:p w14:paraId="26909E7F">
      <w:pPr>
        <w:numPr>
          <w:ilvl w:val="1"/>
          <w:numId w:val="7"/>
        </w:numPr>
        <w:tabs>
          <w:tab w:val="clear" w:pos="851"/>
        </w:tabs>
        <w:snapToGrid w:val="0"/>
        <w:spacing w:line="360" w:lineRule="auto"/>
        <w:ind w:left="567" w:hanging="567"/>
        <w:rPr>
          <w:rFonts w:ascii="宋体" w:hAnsi="宋体"/>
          <w:b/>
          <w:color w:val="auto"/>
          <w:szCs w:val="21"/>
          <w:highlight w:val="none"/>
          <w:u w:val="single"/>
        </w:rPr>
      </w:pPr>
      <w:r>
        <w:rPr>
          <w:rFonts w:hint="eastAsia" w:ascii="宋体" w:hAnsi="宋体"/>
          <w:b/>
          <w:color w:val="auto"/>
          <w:szCs w:val="21"/>
          <w:highlight w:val="none"/>
          <w:u w:val="single"/>
        </w:rPr>
        <w:t>采购代理机构将拒绝并原封退回在其规定的响应文件提交截止时间后收到的任何响应文件。</w:t>
      </w:r>
    </w:p>
    <w:p w14:paraId="57061CE1">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如果推迟响应文件提交截止时间，采购代理机构、采购人和供应商受响应文件提交截止时间制约的所有权利和义务均应相应延长至新的截止时间。</w:t>
      </w:r>
    </w:p>
    <w:p w14:paraId="65BC00EF">
      <w:pPr>
        <w:numPr>
          <w:ilvl w:val="0"/>
          <w:numId w:val="7"/>
        </w:numPr>
        <w:tabs>
          <w:tab w:val="clear" w:pos="851"/>
        </w:tabs>
        <w:snapToGrid w:val="0"/>
        <w:spacing w:line="360" w:lineRule="auto"/>
        <w:rPr>
          <w:rFonts w:ascii="宋体" w:hAnsi="宋体" w:cs="黑体"/>
          <w:b/>
          <w:bCs/>
          <w:color w:val="auto"/>
          <w:sz w:val="24"/>
          <w:highlight w:val="none"/>
        </w:rPr>
      </w:pPr>
      <w:bookmarkStart w:id="94" w:name="_Toc322606730"/>
      <w:r>
        <w:rPr>
          <w:rFonts w:hint="eastAsia" w:ascii="宋体" w:hAnsi="宋体" w:cs="黑体"/>
          <w:b/>
          <w:bCs/>
          <w:color w:val="auto"/>
          <w:sz w:val="24"/>
          <w:highlight w:val="none"/>
        </w:rPr>
        <w:t>响应文件的修改和撤回</w:t>
      </w:r>
      <w:bookmarkEnd w:id="94"/>
    </w:p>
    <w:p w14:paraId="66AF5751">
      <w:pPr>
        <w:autoSpaceDE w:val="0"/>
        <w:autoSpaceDN w:val="0"/>
        <w:adjustRightInd w:val="0"/>
        <w:snapToGrid w:val="0"/>
        <w:spacing w:line="360" w:lineRule="auto"/>
        <w:ind w:left="567" w:leftChars="270"/>
        <w:jc w:val="left"/>
        <w:rPr>
          <w:rFonts w:ascii="宋体" w:hAnsi="宋体" w:cs="宋体"/>
          <w:color w:val="auto"/>
          <w:szCs w:val="21"/>
          <w:highlight w:val="none"/>
        </w:rPr>
      </w:pPr>
      <w:r>
        <w:rPr>
          <w:rFonts w:hint="eastAsia" w:ascii="宋体" w:hAnsi="宋体" w:cs="宋体"/>
          <w:color w:val="auto"/>
          <w:szCs w:val="21"/>
          <w:highlight w:val="none"/>
          <w:lang w:eastAsia="zh-TW"/>
        </w:rPr>
        <w:t>供应商在响应文件提交截止期前，可以对所提交的响应文件进行补充、修改或者撤回，并书面通知采购代理机构。补充、修改的内容应当按磋商文件要求签署、盖章，并作为响应文件的组成部分。</w:t>
      </w:r>
      <w:bookmarkStart w:id="95" w:name="_Toc111890783"/>
      <w:bookmarkStart w:id="96" w:name="_Toc337541099"/>
    </w:p>
    <w:p w14:paraId="7685F7B2">
      <w:pPr>
        <w:pStyle w:val="3"/>
        <w:jc w:val="center"/>
        <w:rPr>
          <w:rFonts w:hAnsi="宋体"/>
          <w:color w:val="auto"/>
          <w:highlight w:val="none"/>
        </w:rPr>
      </w:pPr>
      <w:bookmarkStart w:id="97" w:name="_Toc67046879"/>
      <w:bookmarkStart w:id="98" w:name="_Toc18869"/>
      <w:bookmarkStart w:id="99" w:name="_Toc510511182"/>
      <w:r>
        <w:rPr>
          <w:rFonts w:hint="eastAsia" w:hAnsi="宋体"/>
          <w:color w:val="auto"/>
          <w:highlight w:val="none"/>
        </w:rPr>
        <w:t>（五）</w:t>
      </w:r>
      <w:bookmarkEnd w:id="95"/>
      <w:bookmarkEnd w:id="96"/>
      <w:r>
        <w:rPr>
          <w:rFonts w:hint="eastAsia" w:hAnsi="宋体"/>
          <w:color w:val="auto"/>
          <w:highlight w:val="none"/>
        </w:rPr>
        <w:t>关于评审</w:t>
      </w:r>
      <w:bookmarkEnd w:id="97"/>
      <w:bookmarkEnd w:id="98"/>
      <w:bookmarkEnd w:id="99"/>
    </w:p>
    <w:p w14:paraId="514B1D8D">
      <w:pPr>
        <w:numPr>
          <w:ilvl w:val="0"/>
          <w:numId w:val="7"/>
        </w:numPr>
        <w:tabs>
          <w:tab w:val="clear" w:pos="851"/>
        </w:tabs>
        <w:snapToGrid w:val="0"/>
        <w:spacing w:line="360" w:lineRule="auto"/>
        <w:rPr>
          <w:rFonts w:ascii="宋体" w:hAnsi="宋体" w:cs="宋体"/>
          <w:b/>
          <w:color w:val="auto"/>
          <w:sz w:val="24"/>
          <w:szCs w:val="21"/>
          <w:highlight w:val="none"/>
          <w:lang w:eastAsia="zh-TW"/>
        </w:rPr>
      </w:pPr>
      <w:r>
        <w:rPr>
          <w:rFonts w:hint="eastAsia" w:ascii="宋体" w:hAnsi="宋体" w:cs="宋体"/>
          <w:b/>
          <w:color w:val="auto"/>
          <w:sz w:val="24"/>
          <w:szCs w:val="21"/>
          <w:highlight w:val="none"/>
          <w:lang w:eastAsia="zh-TW"/>
        </w:rPr>
        <w:t>磋商小组</w:t>
      </w:r>
    </w:p>
    <w:p w14:paraId="25DF3E01">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本次磋商按照磋商须知前附表第9项规定依法组建磋商小组。</w:t>
      </w:r>
    </w:p>
    <w:p w14:paraId="41C7E793">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磋商小组所有成员集中对响应文件进行审查，与每个供应商分别进行先商务技术条件后价格的磋商，本次磋商采用一轮磋商，两次报价形式进行。磋商小组也可视实际情况确定磋商轮次及报价次数</w:t>
      </w:r>
      <w:r>
        <w:rPr>
          <w:rFonts w:hint="eastAsia" w:ascii="宋体" w:hAnsi="宋体"/>
          <w:color w:val="auto"/>
          <w:highlight w:val="none"/>
        </w:rPr>
        <w:t>，</w:t>
      </w:r>
      <w:r>
        <w:rPr>
          <w:rFonts w:hint="eastAsia" w:ascii="宋体" w:hAnsi="宋体"/>
          <w:color w:val="auto"/>
          <w:szCs w:val="21"/>
          <w:highlight w:val="none"/>
        </w:rPr>
        <w:t>并提交评审报告及推荐成交供应商。</w:t>
      </w:r>
    </w:p>
    <w:p w14:paraId="5EBFB505">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磋商小组名单在磋商结果确定前严格保密。磋商专家（不含采购人代表）有下列情形之一的，受到邀请应主动提出回避，采购当事人也可以要求该磋商专家回避：</w:t>
      </w:r>
    </w:p>
    <w:p w14:paraId="3666F004">
      <w:pPr>
        <w:numPr>
          <w:ilvl w:val="0"/>
          <w:numId w:val="9"/>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本人、配偶或直系亲属</w:t>
      </w:r>
      <w:r>
        <w:rPr>
          <w:rFonts w:ascii="宋体" w:hAnsi="宋体"/>
          <w:color w:val="auto"/>
          <w:szCs w:val="21"/>
          <w:highlight w:val="none"/>
        </w:rPr>
        <w:t xml:space="preserve">3 </w:t>
      </w:r>
      <w:r>
        <w:rPr>
          <w:rFonts w:hint="eastAsia" w:ascii="宋体" w:hAnsi="宋体"/>
          <w:color w:val="auto"/>
          <w:szCs w:val="21"/>
          <w:highlight w:val="none"/>
        </w:rPr>
        <w:t>年内曾在参加该采购项目的供应商中任职（包括一般工作）或担任顾问、董事、监事或与参加该采购项目的供应商发生过法律纠纷；</w:t>
      </w:r>
    </w:p>
    <w:p w14:paraId="32662978">
      <w:pPr>
        <w:numPr>
          <w:ilvl w:val="0"/>
          <w:numId w:val="9"/>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参加采购活动前3年内是供应商的控股股东或者实际控制人；</w:t>
      </w:r>
    </w:p>
    <w:p w14:paraId="534FC310">
      <w:pPr>
        <w:numPr>
          <w:ilvl w:val="0"/>
          <w:numId w:val="9"/>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与供应商的法定代表人或者负责人有夫妻、直系血亲、三代以内旁系血亲或者近姻亲关系；</w:t>
      </w:r>
    </w:p>
    <w:p w14:paraId="3CAE2F1E">
      <w:pPr>
        <w:numPr>
          <w:ilvl w:val="0"/>
          <w:numId w:val="9"/>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任职单位与采购人或参加该采购项目供应商存在行政隶属关系；</w:t>
      </w:r>
    </w:p>
    <w:p w14:paraId="6831D229">
      <w:pPr>
        <w:numPr>
          <w:ilvl w:val="0"/>
          <w:numId w:val="9"/>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曾经参加过该采购项目的进口产品或磋商文件、采购需求、采购方式的论证和咨询服务工作；</w:t>
      </w:r>
    </w:p>
    <w:p w14:paraId="0EC91C3E">
      <w:pPr>
        <w:numPr>
          <w:ilvl w:val="0"/>
          <w:numId w:val="9"/>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为参加该采购项目供应商的上级主管部门、控股或参股单位的工作人员，或与该供应商存在其他经济利益关系；</w:t>
      </w:r>
    </w:p>
    <w:p w14:paraId="7381D880">
      <w:pPr>
        <w:numPr>
          <w:ilvl w:val="0"/>
          <w:numId w:val="9"/>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磋商小组成员之间具有配偶、近亲属关系；</w:t>
      </w:r>
    </w:p>
    <w:p w14:paraId="47B38B15">
      <w:pPr>
        <w:numPr>
          <w:ilvl w:val="0"/>
          <w:numId w:val="9"/>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法律、法规、规章规定应当回避以及其他可能影响公正评审的。</w:t>
      </w:r>
    </w:p>
    <w:p w14:paraId="11BFE0FC">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磋商的原则</w:t>
      </w:r>
    </w:p>
    <w:p w14:paraId="7DB3F8BA">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磋商小组将依据采购的有关规定，遵循“公开、公平、公正、科学、择优”的原则进行磋商和评审工作。磋商小组将按照规定只对通过资格、符合性评审的响应文件进行最终评审和比较。如各评委结论不一致时，磋商小组的结论以少数服从多数原则确定。</w:t>
      </w:r>
    </w:p>
    <w:p w14:paraId="3A88A7AB">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在磋商中，磋商的任何一方不得透露与磋商有关的其他供应商的技术资料、价格和其他信息。磋商小组和参与磋商的有关工作人员不得透露对响应文件的评审和比较以及与磋商有关的其他情况。</w:t>
      </w:r>
    </w:p>
    <w:p w14:paraId="025685CE">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对磋商文件中描述有歧义或前后不一致的地方，磋商小组有权进行评判，但对同一条款的评判应适用于每个供应商。</w:t>
      </w:r>
    </w:p>
    <w:p w14:paraId="76B6E5E7">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响应文件差异修正准则</w:t>
      </w:r>
    </w:p>
    <w:p w14:paraId="3BE44CB0">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响应文件出现差异时，磋商小组按以下修正原则及顺序对响应文件的差异进行修正：</w:t>
      </w:r>
    </w:p>
    <w:p w14:paraId="340343F3">
      <w:pPr>
        <w:numPr>
          <w:ilvl w:val="0"/>
          <w:numId w:val="10"/>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报价一览表与分项明细表或其它相关报价表报价不一致的，均以报价一览表为准；</w:t>
      </w:r>
    </w:p>
    <w:p w14:paraId="674D05D6">
      <w:pPr>
        <w:numPr>
          <w:ilvl w:val="0"/>
          <w:numId w:val="10"/>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大写金额和小写金额不一致的，以大写金额为准；</w:t>
      </w:r>
    </w:p>
    <w:p w14:paraId="657583B1">
      <w:pPr>
        <w:numPr>
          <w:ilvl w:val="0"/>
          <w:numId w:val="10"/>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分项报价表中的单价与对应的合计价不相符的，以单价为准，修正对应的该项合计价；</w:t>
      </w:r>
    </w:p>
    <w:p w14:paraId="18E87D3A">
      <w:pPr>
        <w:numPr>
          <w:ilvl w:val="0"/>
          <w:numId w:val="10"/>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单价金额小数点有明显错位的，应以总价为准，并修改单价；</w:t>
      </w:r>
    </w:p>
    <w:p w14:paraId="2CCBDE3D">
      <w:pPr>
        <w:numPr>
          <w:ilvl w:val="0"/>
          <w:numId w:val="10"/>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响应文件描述内容与原始材料引述内容不一致的，以原始材料内容为准；</w:t>
      </w:r>
    </w:p>
    <w:p w14:paraId="5D8DF48C">
      <w:pPr>
        <w:numPr>
          <w:ilvl w:val="0"/>
          <w:numId w:val="10"/>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对不同文字文本响应文件的解释发生异议的，以中文文本为准；</w:t>
      </w:r>
    </w:p>
    <w:p w14:paraId="0E2BAB3C">
      <w:pPr>
        <w:numPr>
          <w:ilvl w:val="0"/>
          <w:numId w:val="10"/>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对出现以上情况或因明显笔误而需修正任何内容时，均以磋商小组审定通过方为有效；</w:t>
      </w:r>
    </w:p>
    <w:p w14:paraId="456CA27D">
      <w:pPr>
        <w:numPr>
          <w:ilvl w:val="0"/>
          <w:numId w:val="10"/>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对采购项目的关键、主要内容，报价供应商报价漏项的，作非实质性响应处理；</w:t>
      </w:r>
    </w:p>
    <w:p w14:paraId="107C21DC">
      <w:pPr>
        <w:numPr>
          <w:ilvl w:val="0"/>
          <w:numId w:val="10"/>
        </w:numPr>
        <w:tabs>
          <w:tab w:val="clear" w:pos="1353"/>
        </w:tabs>
        <w:snapToGrid w:val="0"/>
        <w:spacing w:line="360" w:lineRule="auto"/>
        <w:ind w:left="993" w:hanging="426"/>
        <w:rPr>
          <w:rFonts w:ascii="宋体" w:hAnsi="宋体"/>
          <w:color w:val="auto"/>
          <w:szCs w:val="21"/>
          <w:highlight w:val="none"/>
        </w:rPr>
      </w:pPr>
      <w:r>
        <w:rPr>
          <w:rFonts w:hint="eastAsia" w:ascii="宋体" w:hAnsi="宋体"/>
          <w:color w:val="auto"/>
          <w:szCs w:val="21"/>
          <w:highlight w:val="none"/>
        </w:rPr>
        <w:t>磋商小组认定为表述不清晰或无法确定的报价均不予修正。</w:t>
      </w:r>
    </w:p>
    <w:p w14:paraId="14A43230">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响应文件的澄清</w:t>
      </w:r>
    </w:p>
    <w:p w14:paraId="081C9D51">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对响应文件中含义不明确、同类问题表述不一致或者有明显文字和计算错误的内容，磋商小组可以书面形式要求供应商作出必要的澄清、说明或者纠正。</w:t>
      </w:r>
    </w:p>
    <w:p w14:paraId="53EA23B8">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供应商的澄清、说明或者补正应当采用书面形式，并不得超出响应文件的范围或者改变响应文件的实质性内容。</w:t>
      </w:r>
      <w:r>
        <w:rPr>
          <w:rFonts w:hint="eastAsia" w:ascii="宋体" w:hAnsi="宋体" w:cs="宋体"/>
          <w:color w:val="auto"/>
          <w:highlight w:val="none"/>
          <w:shd w:val="clear" w:color="auto" w:fill="FFFFFF"/>
        </w:rPr>
        <w:t>供应商的澄清、说明或者更正应当由法定代表人或其授权代表签字</w:t>
      </w:r>
      <w:r>
        <w:rPr>
          <w:rFonts w:hint="eastAsia" w:ascii="宋体" w:hAnsi="宋体"/>
          <w:color w:val="auto"/>
          <w:highlight w:val="none"/>
        </w:rPr>
        <w:t>或印鉴</w:t>
      </w:r>
      <w:r>
        <w:rPr>
          <w:rFonts w:hint="eastAsia" w:ascii="宋体" w:hAnsi="宋体" w:cs="宋体"/>
          <w:color w:val="auto"/>
          <w:highlight w:val="none"/>
          <w:shd w:val="clear" w:color="auto" w:fill="FFFFFF"/>
        </w:rPr>
        <w:t>或者加盖公章。由授权代表签字</w:t>
      </w:r>
      <w:r>
        <w:rPr>
          <w:rFonts w:hint="eastAsia" w:ascii="宋体" w:hAnsi="宋体"/>
          <w:color w:val="auto"/>
          <w:highlight w:val="none"/>
        </w:rPr>
        <w:t>或印鉴</w:t>
      </w:r>
      <w:r>
        <w:rPr>
          <w:rFonts w:hint="eastAsia" w:ascii="宋体" w:hAnsi="宋体" w:cs="宋体"/>
          <w:color w:val="auto"/>
          <w:highlight w:val="none"/>
          <w:shd w:val="clear" w:color="auto" w:fill="FFFFFF"/>
        </w:rPr>
        <w:t>的，应当附法定代表人授权书。供应商为自然人的，应当由本人签字</w:t>
      </w:r>
      <w:r>
        <w:rPr>
          <w:rFonts w:hint="eastAsia" w:ascii="宋体" w:hAnsi="宋体"/>
          <w:color w:val="auto"/>
          <w:highlight w:val="none"/>
        </w:rPr>
        <w:t>或印鉴</w:t>
      </w:r>
      <w:r>
        <w:rPr>
          <w:rFonts w:hint="eastAsia" w:ascii="宋体" w:hAnsi="宋体" w:cs="宋体"/>
          <w:color w:val="auto"/>
          <w:highlight w:val="none"/>
          <w:shd w:val="clear" w:color="auto" w:fill="FFFFFF"/>
        </w:rPr>
        <w:t>并附身份证明。</w:t>
      </w:r>
    </w:p>
    <w:p w14:paraId="46080528">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磋商小组均应当阅读供应商的澄清，但应独立参考澄清对响应文件进行评审，整个澄清的过程不得存在排斥供应商的现象。</w:t>
      </w:r>
    </w:p>
    <w:p w14:paraId="5DF3D3B8">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除上述规定的情形之外，磋商小组在评审过程中，不得接收来自评审现场以外的任何形式的文件资料。</w:t>
      </w:r>
    </w:p>
    <w:p w14:paraId="302207A8">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参与磋商的供应商数量要求</w:t>
      </w:r>
    </w:p>
    <w:p w14:paraId="652610E8">
      <w:pPr>
        <w:numPr>
          <w:ilvl w:val="1"/>
          <w:numId w:val="11"/>
        </w:numPr>
        <w:tabs>
          <w:tab w:val="left" w:pos="567"/>
          <w:tab w:val="left"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磋商文件能够详细列明采购标的的技术、服务要求的，磋商结束后，磋商小组应当要求所有通过了资格、符合性评审，继续参加磋商的供应商在规定时间内提交最后报价及有关承诺，提交最后报价的供应商不得少于3家，采用竞争性磋商采购方式采购的政府购买服务项目（含政府和社会资本合作项目）除外。</w:t>
      </w:r>
    </w:p>
    <w:p w14:paraId="7D0EF181">
      <w:pPr>
        <w:numPr>
          <w:ilvl w:val="1"/>
          <w:numId w:val="11"/>
        </w:numPr>
        <w:tabs>
          <w:tab w:val="left" w:pos="567"/>
          <w:tab w:val="left"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磋商文件不能详细列明采购标的的技术、服务要求的，需经磋商由供应商提供最终设计方案或解决方案的，磋商结束后，磋商小组应当按照少数服从多数的原则投票推荐3家以上供应商的设计方案或者解决方案，并要求其在规定时间内提交最后报价。采用竞争性磋商采购方式采购的政府购买服务项目（含政府和社会资本合作项目）除外。</w:t>
      </w:r>
    </w:p>
    <w:p w14:paraId="3B794D57">
      <w:pPr>
        <w:numPr>
          <w:ilvl w:val="1"/>
          <w:numId w:val="11"/>
        </w:numPr>
        <w:tabs>
          <w:tab w:val="left" w:pos="567"/>
          <w:tab w:val="left"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供应商在提交最后报价之前可以根据磋商情况退出磋商，提交最后报价的供应商不得少于 3 家，采用竞争性磋商采购方式采购的政府购买服务项目（含政府和社会资本合作项目）除外。</w:t>
      </w:r>
    </w:p>
    <w:p w14:paraId="58CE9DD0">
      <w:pPr>
        <w:numPr>
          <w:ilvl w:val="1"/>
          <w:numId w:val="11"/>
        </w:numPr>
        <w:tabs>
          <w:tab w:val="left" w:pos="567"/>
          <w:tab w:val="left"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市场竞争不充分的科研项目，以及需要扶持的科技成果转化项目，当提交最后报价的供应商为2 家时，磋商小组可以继续进行评审活动或宣布项目采购失败。</w:t>
      </w:r>
    </w:p>
    <w:p w14:paraId="2E256A6D">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评审办法</w:t>
      </w:r>
    </w:p>
    <w:p w14:paraId="6AC2AAE8">
      <w:pPr>
        <w:snapToGrid w:val="0"/>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本项目评审办法详见本磋商文件第四部分。</w:t>
      </w:r>
    </w:p>
    <w:p w14:paraId="5D531880">
      <w:pPr>
        <w:pStyle w:val="3"/>
        <w:jc w:val="center"/>
        <w:rPr>
          <w:rFonts w:hAnsi="宋体"/>
          <w:color w:val="auto"/>
          <w:highlight w:val="none"/>
        </w:rPr>
      </w:pPr>
      <w:bookmarkStart w:id="100" w:name="_Toc510511183"/>
      <w:bookmarkStart w:id="101" w:name="_Toc67046880"/>
      <w:bookmarkStart w:id="102" w:name="_Toc23143"/>
      <w:r>
        <w:rPr>
          <w:rFonts w:hint="eastAsia" w:hAnsi="宋体"/>
          <w:color w:val="auto"/>
          <w:highlight w:val="none"/>
        </w:rPr>
        <w:t>（六）关于成交供应商</w:t>
      </w:r>
      <w:bookmarkEnd w:id="100"/>
      <w:bookmarkEnd w:id="101"/>
      <w:bookmarkEnd w:id="102"/>
    </w:p>
    <w:p w14:paraId="0215773E">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highlight w:val="none"/>
        </w:rPr>
        <w:t>成交供应商的确定</w:t>
      </w:r>
    </w:p>
    <w:p w14:paraId="39835BD5">
      <w:pPr>
        <w:snapToGrid w:val="0"/>
        <w:spacing w:line="360" w:lineRule="auto"/>
        <w:ind w:left="567" w:leftChars="270"/>
        <w:rPr>
          <w:rFonts w:ascii="宋体" w:hAnsi="宋体"/>
          <w:color w:val="auto"/>
          <w:szCs w:val="21"/>
          <w:highlight w:val="none"/>
        </w:rPr>
      </w:pPr>
      <w:r>
        <w:rPr>
          <w:rFonts w:hint="eastAsia" w:ascii="宋体" w:hAnsi="宋体"/>
          <w:color w:val="auto"/>
          <w:szCs w:val="21"/>
          <w:highlight w:val="none"/>
        </w:rPr>
        <w:t>采购代理机构自评审结束之日起2个工作日内将评审报告</w:t>
      </w:r>
      <w:r>
        <w:rPr>
          <w:rFonts w:ascii="宋体" w:hAnsi="宋体"/>
          <w:color w:val="auto"/>
          <w:szCs w:val="21"/>
          <w:highlight w:val="none"/>
        </w:rPr>
        <w:t>和推荐</w:t>
      </w:r>
      <w:r>
        <w:rPr>
          <w:rFonts w:hint="eastAsia" w:ascii="宋体" w:hAnsi="宋体"/>
          <w:color w:val="auto"/>
          <w:szCs w:val="21"/>
          <w:highlight w:val="none"/>
        </w:rPr>
        <w:t>成交</w:t>
      </w:r>
      <w:r>
        <w:rPr>
          <w:rFonts w:ascii="宋体" w:hAnsi="宋体"/>
          <w:color w:val="auto"/>
          <w:szCs w:val="21"/>
          <w:highlight w:val="none"/>
        </w:rPr>
        <w:t>意见</w:t>
      </w:r>
      <w:r>
        <w:rPr>
          <w:rFonts w:hint="eastAsia" w:ascii="宋体" w:hAnsi="宋体"/>
          <w:color w:val="auto"/>
          <w:szCs w:val="21"/>
          <w:highlight w:val="none"/>
        </w:rPr>
        <w:t>送交采购人。采购人自收到评审报告之日起5个工作日内在评审报告推荐的成交候选人中按顺序确定成交供应商，也可以事先书面授权磋商小组直接确定成交供应商。</w:t>
      </w:r>
    </w:p>
    <w:p w14:paraId="0EBAC0CE">
      <w:pPr>
        <w:numPr>
          <w:ilvl w:val="0"/>
          <w:numId w:val="7"/>
        </w:numPr>
        <w:tabs>
          <w:tab w:val="clear" w:pos="851"/>
        </w:tabs>
        <w:snapToGrid w:val="0"/>
        <w:spacing w:line="360" w:lineRule="auto"/>
        <w:rPr>
          <w:rFonts w:ascii="宋体" w:hAnsi="宋体"/>
          <w:color w:val="auto"/>
          <w:highlight w:val="none"/>
        </w:rPr>
      </w:pPr>
      <w:r>
        <w:rPr>
          <w:rFonts w:hint="eastAsia" w:ascii="宋体" w:hAnsi="宋体"/>
          <w:b/>
          <w:color w:val="auto"/>
          <w:highlight w:val="none"/>
        </w:rPr>
        <w:t>磋商结果公告</w:t>
      </w:r>
    </w:p>
    <w:p w14:paraId="0E6EE79A">
      <w:pPr>
        <w:snapToGrid w:val="0"/>
        <w:spacing w:line="360" w:lineRule="auto"/>
        <w:ind w:left="420" w:leftChars="200"/>
        <w:rPr>
          <w:rFonts w:ascii="宋体" w:hAnsi="宋体"/>
          <w:color w:val="auto"/>
          <w:szCs w:val="21"/>
          <w:highlight w:val="none"/>
        </w:rPr>
      </w:pPr>
      <w:r>
        <w:rPr>
          <w:rFonts w:hint="eastAsia" w:ascii="宋体" w:hAnsi="宋体"/>
          <w:color w:val="auto"/>
          <w:szCs w:val="21"/>
          <w:highlight w:val="none"/>
        </w:rPr>
        <w:t>经采购人确认后，采购代理机构在2个工作日内将成交公告在竞争性磋商公告规定的</w:t>
      </w:r>
      <w:r>
        <w:rPr>
          <w:rFonts w:ascii="宋体" w:hAnsi="宋体"/>
          <w:color w:val="auto"/>
          <w:szCs w:val="21"/>
          <w:highlight w:val="none"/>
        </w:rPr>
        <w:t>媒体上</w:t>
      </w:r>
      <w:r>
        <w:rPr>
          <w:rFonts w:hint="eastAsia" w:ascii="宋体" w:hAnsi="宋体"/>
          <w:color w:val="auto"/>
          <w:szCs w:val="21"/>
          <w:highlight w:val="none"/>
        </w:rPr>
        <w:t>进行发布，并向成交供应商发出《成交通知书》，向未成交供应商发出《成交结果通知书》，《成交通知书》对成交供应商和采购人具有同等法律效力。</w:t>
      </w:r>
    </w:p>
    <w:p w14:paraId="5F677EED">
      <w:pPr>
        <w:pStyle w:val="3"/>
        <w:jc w:val="center"/>
        <w:rPr>
          <w:rFonts w:hAnsi="宋体"/>
          <w:color w:val="auto"/>
          <w:highlight w:val="none"/>
        </w:rPr>
      </w:pPr>
      <w:bookmarkStart w:id="103" w:name="_Toc510511184"/>
      <w:bookmarkStart w:id="104" w:name="_Toc67046881"/>
      <w:bookmarkStart w:id="105" w:name="_Toc337541101"/>
      <w:bookmarkStart w:id="106" w:name="_Toc2199"/>
      <w:bookmarkStart w:id="107" w:name="_Toc111890785"/>
      <w:bookmarkStart w:id="108" w:name="_Toc111890784"/>
      <w:bookmarkStart w:id="109" w:name="_Toc337541100"/>
      <w:r>
        <w:rPr>
          <w:rFonts w:hint="eastAsia" w:hAnsi="宋体"/>
          <w:color w:val="auto"/>
          <w:highlight w:val="none"/>
        </w:rPr>
        <w:t>（七）采购代理服务费</w:t>
      </w:r>
      <w:bookmarkEnd w:id="103"/>
      <w:bookmarkEnd w:id="104"/>
      <w:bookmarkEnd w:id="105"/>
      <w:bookmarkEnd w:id="106"/>
      <w:bookmarkEnd w:id="107"/>
    </w:p>
    <w:p w14:paraId="2631C024">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采购代理服务费</w:t>
      </w:r>
    </w:p>
    <w:p w14:paraId="13EB418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本次采购代理服务费按磋商须知前附表第12项规定收取。</w:t>
      </w:r>
    </w:p>
    <w:p w14:paraId="187AAFB8">
      <w:pPr>
        <w:pStyle w:val="3"/>
        <w:jc w:val="center"/>
        <w:rPr>
          <w:rFonts w:hAnsi="宋体"/>
          <w:color w:val="auto"/>
          <w:highlight w:val="none"/>
        </w:rPr>
      </w:pPr>
      <w:bookmarkStart w:id="110" w:name="_Toc67046882"/>
      <w:bookmarkStart w:id="111" w:name="_Toc510511185"/>
      <w:bookmarkStart w:id="112" w:name="_Toc2594"/>
      <w:r>
        <w:rPr>
          <w:rFonts w:hint="eastAsia" w:hAnsi="宋体"/>
          <w:color w:val="auto"/>
          <w:highlight w:val="none"/>
        </w:rPr>
        <w:t>（八）授予合同</w:t>
      </w:r>
      <w:bookmarkEnd w:id="108"/>
      <w:bookmarkEnd w:id="109"/>
      <w:bookmarkEnd w:id="110"/>
      <w:bookmarkEnd w:id="111"/>
      <w:bookmarkEnd w:id="112"/>
    </w:p>
    <w:p w14:paraId="435DC00E">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合同的订立</w:t>
      </w:r>
    </w:p>
    <w:p w14:paraId="1FD985DF">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按照《广州市财政局关于进一步促进政府采购公平竞争优化营商环境的通知》的要求，自成交通知书发出之日起二十日内， 采购人按磋商文件要求和成交供应商响应文件及承诺与成交供应商签订合同，但不得偏离磋商文件和成交供应商响应文件的范围和实质性内容。</w:t>
      </w:r>
    </w:p>
    <w:p w14:paraId="7DE055BD">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成交供应商在收到《成交通知书》后，应按照《成交通知书》指定的时间、地点，派遣其授权代表前往与采购人签署合同，并向</w:t>
      </w:r>
      <w:r>
        <w:rPr>
          <w:rFonts w:hint="eastAsia" w:ascii="宋体" w:hAnsi="宋体"/>
          <w:b/>
          <w:color w:val="auto"/>
          <w:szCs w:val="21"/>
          <w:highlight w:val="none"/>
        </w:rPr>
        <w:t>采购代理机构提交一份合同原件备案</w:t>
      </w:r>
      <w:r>
        <w:rPr>
          <w:rFonts w:hint="eastAsia" w:ascii="宋体" w:hAnsi="宋体"/>
          <w:color w:val="auto"/>
          <w:szCs w:val="21"/>
          <w:highlight w:val="none"/>
        </w:rPr>
        <w:t>。</w:t>
      </w:r>
    </w:p>
    <w:p w14:paraId="621FFFAD">
      <w:pPr>
        <w:numPr>
          <w:ilvl w:val="0"/>
          <w:numId w:val="7"/>
        </w:numPr>
        <w:tabs>
          <w:tab w:val="clear" w:pos="851"/>
        </w:tabs>
        <w:snapToGrid w:val="0"/>
        <w:spacing w:line="360" w:lineRule="auto"/>
        <w:rPr>
          <w:rFonts w:ascii="宋体" w:hAnsi="宋体"/>
          <w:b/>
          <w:color w:val="auto"/>
          <w:sz w:val="24"/>
          <w:highlight w:val="none"/>
        </w:rPr>
      </w:pPr>
      <w:r>
        <w:rPr>
          <w:rFonts w:hint="eastAsia" w:ascii="宋体" w:hAnsi="宋体"/>
          <w:b/>
          <w:color w:val="auto"/>
          <w:sz w:val="24"/>
          <w:highlight w:val="none"/>
        </w:rPr>
        <w:t>合同的履行</w:t>
      </w:r>
    </w:p>
    <w:p w14:paraId="5E3B483F">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成交候选人采购人若遇排名第一的供应商放弃成交资格、</w:t>
      </w:r>
      <w:r>
        <w:rPr>
          <w:rFonts w:hint="eastAsia" w:ascii="宋体" w:hAnsi="宋体"/>
          <w:bCs/>
          <w:color w:val="auto"/>
          <w:szCs w:val="21"/>
          <w:highlight w:val="none"/>
        </w:rPr>
        <w:t>不按要求与采购人签订采购合同、因不可抗拒力不能履行采购合同、不按磋商文件要求提交履约保证金，或者被查实存在影响成交结果的违法行为等情况，不符合成交条件的，采购人可按顺序确定综合得分排名第二的成交候选人为成交供应商，以此类推，或者重新组织采购。</w:t>
      </w:r>
    </w:p>
    <w:p w14:paraId="65622DF2">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采购合同订立后，合同各方不得擅自变更、中止或者终止合同。采购合同需要变更的，采购人应将有关合同变更内容，以书面形式报政府采购管理机关备案；因特殊情况需要中止或终止合同的，采购人应将中止或终止合同的理由以及相应措施，以书面形式报政府采购管理机关备案。</w:t>
      </w:r>
    </w:p>
    <w:p w14:paraId="3B72C427">
      <w:pPr>
        <w:numPr>
          <w:ilvl w:val="1"/>
          <w:numId w:val="7"/>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除不可抗力等因素外，成交通知书发出后，采购人改变成交结果，或者成交供应商拒绝签订政府采购合同的，应当承担相应的法律责任。</w:t>
      </w:r>
    </w:p>
    <w:p w14:paraId="3BBC6272">
      <w:pPr>
        <w:pStyle w:val="3"/>
        <w:spacing w:before="120"/>
        <w:ind w:left="720" w:hanging="720"/>
        <w:jc w:val="center"/>
        <w:rPr>
          <w:rFonts w:hAnsi="宋体"/>
          <w:color w:val="auto"/>
          <w:highlight w:val="none"/>
        </w:rPr>
      </w:pPr>
      <w:bookmarkStart w:id="113" w:name="_Toc55642210"/>
      <w:bookmarkStart w:id="114" w:name="_Toc67046883"/>
      <w:bookmarkStart w:id="115" w:name="_Toc6747"/>
      <w:bookmarkStart w:id="116" w:name="_Toc337541102"/>
      <w:bookmarkStart w:id="117" w:name="_Toc510511186"/>
      <w:r>
        <w:rPr>
          <w:rFonts w:hint="eastAsia" w:hAnsi="宋体"/>
          <w:color w:val="auto"/>
          <w:highlight w:val="none"/>
        </w:rPr>
        <w:t>（九）关于询问、质疑</w:t>
      </w:r>
      <w:bookmarkEnd w:id="113"/>
      <w:bookmarkEnd w:id="114"/>
      <w:bookmarkEnd w:id="115"/>
      <w:bookmarkEnd w:id="116"/>
      <w:bookmarkEnd w:id="117"/>
    </w:p>
    <w:p w14:paraId="79EC36AD">
      <w:pPr>
        <w:numPr>
          <w:ilvl w:val="0"/>
          <w:numId w:val="12"/>
        </w:numPr>
        <w:snapToGrid w:val="0"/>
        <w:spacing w:before="312" w:beforeLines="100" w:line="360" w:lineRule="auto"/>
        <w:outlineLvl w:val="2"/>
        <w:rPr>
          <w:rFonts w:ascii="宋体" w:hAnsi="宋体"/>
          <w:b/>
          <w:bCs/>
          <w:color w:val="auto"/>
          <w:szCs w:val="21"/>
          <w:highlight w:val="none"/>
        </w:rPr>
      </w:pPr>
      <w:r>
        <w:rPr>
          <w:rFonts w:hint="eastAsia" w:ascii="宋体" w:hAnsi="宋体"/>
          <w:b/>
          <w:bCs/>
          <w:color w:val="auto"/>
          <w:szCs w:val="21"/>
          <w:highlight w:val="none"/>
        </w:rPr>
        <w:t>询问</w:t>
      </w:r>
    </w:p>
    <w:p w14:paraId="3D5A02AA">
      <w:pPr>
        <w:numPr>
          <w:ilvl w:val="1"/>
          <w:numId w:val="12"/>
        </w:numPr>
        <w:tabs>
          <w:tab w:val="left" w:pos="720"/>
        </w:tabs>
        <w:snapToGrid w:val="0"/>
        <w:spacing w:line="360" w:lineRule="auto"/>
        <w:rPr>
          <w:rFonts w:ascii="宋体" w:hAnsi="宋体"/>
          <w:bCs/>
          <w:color w:val="auto"/>
          <w:szCs w:val="21"/>
          <w:highlight w:val="none"/>
        </w:rPr>
      </w:pPr>
      <w:r>
        <w:rPr>
          <w:rFonts w:hint="eastAsia" w:ascii="宋体" w:hAnsi="宋体"/>
          <w:bCs/>
          <w:color w:val="auto"/>
          <w:szCs w:val="21"/>
          <w:highlight w:val="none"/>
        </w:rPr>
        <w:t>响应供应商对政府采购活动事项（磋商文件、采购过程和成交结果）有疑问的，可以向采购人或采购代理机构提出询问，采购人或采购代理机构将作出答复。询问可以口头方式提出，也可以书面方式提出。</w:t>
      </w:r>
    </w:p>
    <w:p w14:paraId="0BC1E91A">
      <w:pPr>
        <w:numPr>
          <w:ilvl w:val="1"/>
          <w:numId w:val="12"/>
        </w:numPr>
        <w:tabs>
          <w:tab w:val="left" w:pos="720"/>
        </w:tabs>
        <w:snapToGrid w:val="0"/>
        <w:spacing w:line="360" w:lineRule="auto"/>
        <w:rPr>
          <w:rFonts w:ascii="宋体" w:hAnsi="宋体"/>
          <w:bCs/>
          <w:color w:val="auto"/>
          <w:szCs w:val="21"/>
          <w:highlight w:val="none"/>
        </w:rPr>
      </w:pPr>
      <w:r>
        <w:rPr>
          <w:rFonts w:hint="eastAsia" w:ascii="宋体" w:hAnsi="宋体"/>
          <w:bCs/>
          <w:color w:val="auto"/>
          <w:szCs w:val="21"/>
          <w:highlight w:val="none"/>
        </w:rPr>
        <w:t>如采用书面方式提出询问：</w:t>
      </w:r>
    </w:p>
    <w:p w14:paraId="12408900">
      <w:pPr>
        <w:tabs>
          <w:tab w:val="left" w:pos="720"/>
        </w:tabs>
        <w:snapToGrid w:val="0"/>
        <w:spacing w:line="360" w:lineRule="auto"/>
        <w:ind w:left="992"/>
        <w:rPr>
          <w:rFonts w:ascii="宋体" w:hAnsi="宋体"/>
          <w:bCs/>
          <w:color w:val="auto"/>
          <w:szCs w:val="21"/>
          <w:highlight w:val="none"/>
        </w:rPr>
      </w:pPr>
      <w:r>
        <w:rPr>
          <w:rFonts w:ascii="宋体" w:hAnsi="宋体"/>
          <w:bCs/>
          <w:color w:val="auto"/>
          <w:szCs w:val="21"/>
          <w:highlight w:val="none"/>
        </w:rPr>
        <w:t>供应商为自然人的，应当由本人签字</w:t>
      </w:r>
      <w:r>
        <w:rPr>
          <w:rFonts w:hint="eastAsia" w:ascii="宋体" w:hAnsi="宋体"/>
          <w:color w:val="auto"/>
          <w:highlight w:val="none"/>
        </w:rPr>
        <w:t>或印鉴</w:t>
      </w:r>
      <w:r>
        <w:rPr>
          <w:rFonts w:ascii="宋体" w:hAnsi="宋体"/>
          <w:bCs/>
          <w:color w:val="auto"/>
          <w:szCs w:val="21"/>
          <w:highlight w:val="none"/>
        </w:rPr>
        <w:t>；供应商为法人或者其他组织的，应当由法定代表人、主要负责人，或者其授权代表签字</w:t>
      </w:r>
      <w:r>
        <w:rPr>
          <w:rFonts w:hint="eastAsia" w:ascii="宋体" w:hAnsi="宋体"/>
          <w:color w:val="auto"/>
          <w:highlight w:val="none"/>
        </w:rPr>
        <w:t>或印鉴</w:t>
      </w:r>
      <w:r>
        <w:rPr>
          <w:rFonts w:ascii="宋体" w:hAnsi="宋体"/>
          <w:bCs/>
          <w:color w:val="auto"/>
          <w:szCs w:val="21"/>
          <w:highlight w:val="none"/>
        </w:rPr>
        <w:t>或者盖章，并加盖公章。</w:t>
      </w:r>
    </w:p>
    <w:p w14:paraId="2B70DCCD">
      <w:pPr>
        <w:tabs>
          <w:tab w:val="left" w:pos="720"/>
        </w:tabs>
        <w:snapToGrid w:val="0"/>
        <w:spacing w:line="360" w:lineRule="auto"/>
        <w:ind w:left="992"/>
        <w:rPr>
          <w:rFonts w:ascii="宋体" w:hAnsi="宋体"/>
          <w:bCs/>
          <w:color w:val="auto"/>
          <w:szCs w:val="21"/>
          <w:highlight w:val="none"/>
        </w:rPr>
      </w:pPr>
      <w:r>
        <w:rPr>
          <w:rFonts w:hint="eastAsia" w:ascii="宋体" w:hAnsi="宋体"/>
          <w:bCs/>
          <w:color w:val="auto"/>
          <w:szCs w:val="21"/>
          <w:highlight w:val="none"/>
        </w:rPr>
        <w:t>供应商递交询问函时，非法定代表人（供应商为法人时）或主要负责人（供应商为其他组织时 ）亲自办理的需提供授权委托书（应载明授权代表的姓名或者名称、代理事项、具体权限、期限和相关事项）及授权代表身份证复印件。</w:t>
      </w:r>
    </w:p>
    <w:p w14:paraId="2E92353D">
      <w:pPr>
        <w:numPr>
          <w:ilvl w:val="0"/>
          <w:numId w:val="12"/>
        </w:numPr>
        <w:snapToGrid w:val="0"/>
        <w:spacing w:before="312" w:beforeLines="100" w:line="360" w:lineRule="auto"/>
        <w:outlineLvl w:val="2"/>
        <w:rPr>
          <w:rFonts w:ascii="宋体" w:hAnsi="宋体"/>
          <w:b/>
          <w:bCs/>
          <w:color w:val="auto"/>
          <w:szCs w:val="21"/>
          <w:highlight w:val="none"/>
        </w:rPr>
      </w:pPr>
      <w:r>
        <w:rPr>
          <w:rFonts w:hint="eastAsia" w:ascii="宋体" w:hAnsi="宋体"/>
          <w:b/>
          <w:bCs/>
          <w:color w:val="auto"/>
          <w:szCs w:val="21"/>
          <w:highlight w:val="none"/>
        </w:rPr>
        <w:t>质疑</w:t>
      </w:r>
    </w:p>
    <w:p w14:paraId="35AED069">
      <w:pPr>
        <w:numPr>
          <w:ilvl w:val="1"/>
          <w:numId w:val="12"/>
        </w:numPr>
        <w:tabs>
          <w:tab w:val="left" w:pos="720"/>
        </w:tabs>
        <w:snapToGrid w:val="0"/>
        <w:spacing w:line="360" w:lineRule="auto"/>
        <w:rPr>
          <w:rFonts w:ascii="宋体" w:hAnsi="宋体"/>
          <w:b/>
          <w:bCs/>
          <w:color w:val="auto"/>
          <w:szCs w:val="21"/>
          <w:highlight w:val="none"/>
        </w:rPr>
      </w:pPr>
      <w:r>
        <w:rPr>
          <w:rFonts w:hint="eastAsia" w:ascii="宋体" w:hAnsi="宋体"/>
          <w:b/>
          <w:bCs/>
          <w:color w:val="auto"/>
          <w:szCs w:val="21"/>
          <w:highlight w:val="none"/>
        </w:rPr>
        <w:t>质疑期限</w:t>
      </w:r>
    </w:p>
    <w:p w14:paraId="03CAB6C6">
      <w:pPr>
        <w:tabs>
          <w:tab w:val="left" w:pos="720"/>
        </w:tabs>
        <w:snapToGrid w:val="0"/>
        <w:spacing w:line="360" w:lineRule="auto"/>
        <w:ind w:left="992"/>
        <w:rPr>
          <w:rFonts w:ascii="宋体" w:hAnsi="宋体"/>
          <w:bCs/>
          <w:color w:val="auto"/>
          <w:szCs w:val="21"/>
          <w:highlight w:val="none"/>
        </w:rPr>
      </w:pPr>
      <w:r>
        <w:rPr>
          <w:rFonts w:hint="eastAsia" w:ascii="宋体" w:hAnsi="宋体"/>
          <w:bCs/>
          <w:color w:val="auto"/>
          <w:szCs w:val="21"/>
          <w:highlight w:val="none"/>
        </w:rPr>
        <w:t>供应商认为采购文件、采购过程和中标、成交结果使自己的权益受到损害的，可以在知道或者应知其权益受到损害之日起七个工作日内，以书面形式向采购人提出质疑。</w:t>
      </w:r>
    </w:p>
    <w:p w14:paraId="1A246582">
      <w:pPr>
        <w:numPr>
          <w:ilvl w:val="1"/>
          <w:numId w:val="12"/>
        </w:numPr>
        <w:tabs>
          <w:tab w:val="left" w:pos="720"/>
        </w:tabs>
        <w:snapToGrid w:val="0"/>
        <w:spacing w:line="360" w:lineRule="auto"/>
        <w:rPr>
          <w:rFonts w:ascii="宋体" w:hAnsi="宋体"/>
          <w:b/>
          <w:bCs/>
          <w:color w:val="auto"/>
          <w:szCs w:val="21"/>
          <w:highlight w:val="none"/>
        </w:rPr>
      </w:pPr>
      <w:r>
        <w:rPr>
          <w:rFonts w:hint="eastAsia" w:ascii="宋体" w:hAnsi="宋体"/>
          <w:b/>
          <w:bCs/>
          <w:color w:val="auto"/>
          <w:szCs w:val="21"/>
          <w:highlight w:val="none"/>
        </w:rPr>
        <w:t>提交要求</w:t>
      </w:r>
    </w:p>
    <w:p w14:paraId="7F4B77F0">
      <w:pPr>
        <w:tabs>
          <w:tab w:val="left" w:pos="720"/>
        </w:tabs>
        <w:snapToGrid w:val="0"/>
        <w:spacing w:line="360" w:lineRule="auto"/>
        <w:ind w:left="992"/>
        <w:rPr>
          <w:rFonts w:ascii="宋体" w:hAnsi="宋体"/>
          <w:bCs/>
          <w:color w:val="auto"/>
          <w:szCs w:val="21"/>
          <w:highlight w:val="none"/>
        </w:rPr>
      </w:pPr>
      <w:r>
        <w:rPr>
          <w:rFonts w:hint="eastAsia" w:ascii="宋体" w:hAnsi="宋体"/>
          <w:bCs/>
          <w:color w:val="auto"/>
          <w:szCs w:val="21"/>
          <w:highlight w:val="none"/>
        </w:rPr>
        <w:t>以书面形式向采购人或者采购代理机构一次性提出针对同一采购程序环节的质疑。</w:t>
      </w:r>
    </w:p>
    <w:p w14:paraId="23CED03B">
      <w:pPr>
        <w:numPr>
          <w:ilvl w:val="1"/>
          <w:numId w:val="12"/>
        </w:numPr>
        <w:tabs>
          <w:tab w:val="left" w:pos="720"/>
        </w:tabs>
        <w:snapToGrid w:val="0"/>
        <w:spacing w:line="360" w:lineRule="auto"/>
        <w:rPr>
          <w:rFonts w:ascii="宋体" w:hAnsi="宋体"/>
          <w:b/>
          <w:bCs/>
          <w:color w:val="auto"/>
          <w:szCs w:val="21"/>
          <w:highlight w:val="none"/>
        </w:rPr>
      </w:pPr>
      <w:r>
        <w:rPr>
          <w:rFonts w:hint="eastAsia" w:ascii="宋体" w:hAnsi="宋体"/>
          <w:b/>
          <w:bCs/>
          <w:color w:val="auto"/>
          <w:szCs w:val="21"/>
          <w:highlight w:val="none"/>
        </w:rPr>
        <w:t>质疑函内容</w:t>
      </w:r>
    </w:p>
    <w:p w14:paraId="6EBDBFFF">
      <w:pPr>
        <w:tabs>
          <w:tab w:val="left" w:pos="720"/>
        </w:tabs>
        <w:snapToGrid w:val="0"/>
        <w:spacing w:line="360" w:lineRule="auto"/>
        <w:ind w:left="992"/>
        <w:rPr>
          <w:rFonts w:ascii="宋体" w:hAnsi="宋体"/>
          <w:bCs/>
          <w:color w:val="auto"/>
          <w:szCs w:val="21"/>
          <w:highlight w:val="none"/>
        </w:rPr>
      </w:pPr>
      <w:r>
        <w:rPr>
          <w:rFonts w:hint="eastAsia" w:ascii="宋体" w:hAnsi="宋体"/>
          <w:bCs/>
          <w:color w:val="auto"/>
          <w:szCs w:val="21"/>
          <w:highlight w:val="none"/>
        </w:rPr>
        <w:t>质疑函应包括供应商的姓名或者名称、地址、邮编、联系人及联系电话、质疑项目的名称及编号、具体且明确的质疑事项和与质疑事项相关的请求、事实依据、必要的法律依据、提出质疑的日期（详见《附件2：政府采购供应商质疑函范本》。如有提供相关证据的，应填写《证据目录清单》，与质疑函一并提交）。供应商为自然人的，应当由本人签字</w:t>
      </w:r>
      <w:r>
        <w:rPr>
          <w:rFonts w:hint="eastAsia" w:ascii="宋体" w:hAnsi="宋体"/>
          <w:color w:val="auto"/>
          <w:highlight w:val="none"/>
        </w:rPr>
        <w:t>或印鉴</w:t>
      </w:r>
      <w:r>
        <w:rPr>
          <w:rFonts w:hint="eastAsia" w:ascii="宋体" w:hAnsi="宋体"/>
          <w:bCs/>
          <w:color w:val="auto"/>
          <w:szCs w:val="21"/>
          <w:highlight w:val="none"/>
        </w:rPr>
        <w:t>；供应商为法人或者其他组织的，应当由法定代表人、主要负责人，或者其授权代表签字</w:t>
      </w:r>
      <w:r>
        <w:rPr>
          <w:rFonts w:hint="eastAsia" w:ascii="宋体" w:hAnsi="宋体"/>
          <w:color w:val="auto"/>
          <w:highlight w:val="none"/>
        </w:rPr>
        <w:t>或印鉴</w:t>
      </w:r>
      <w:r>
        <w:rPr>
          <w:rFonts w:hint="eastAsia" w:ascii="宋体" w:hAnsi="宋体"/>
          <w:bCs/>
          <w:color w:val="auto"/>
          <w:szCs w:val="21"/>
          <w:highlight w:val="none"/>
        </w:rPr>
        <w:t>，并加盖公章。</w:t>
      </w:r>
    </w:p>
    <w:p w14:paraId="6FAA81E8">
      <w:pPr>
        <w:tabs>
          <w:tab w:val="left" w:pos="720"/>
        </w:tabs>
        <w:snapToGrid w:val="0"/>
        <w:spacing w:line="360" w:lineRule="auto"/>
        <w:ind w:left="992"/>
        <w:jc w:val="center"/>
        <w:rPr>
          <w:rFonts w:ascii="宋体" w:hAnsi="宋体"/>
          <w:bCs/>
          <w:color w:val="auto"/>
          <w:szCs w:val="21"/>
          <w:highlight w:val="none"/>
        </w:rPr>
      </w:pPr>
      <w:r>
        <w:rPr>
          <w:rFonts w:hint="eastAsia" w:ascii="宋体" w:hAnsi="宋体"/>
          <w:bCs/>
          <w:color w:val="auto"/>
          <w:szCs w:val="21"/>
          <w:highlight w:val="none"/>
        </w:rPr>
        <w:t>证据目录清单</w:t>
      </w:r>
    </w:p>
    <w:tbl>
      <w:tblPr>
        <w:tblStyle w:val="33"/>
        <w:tblW w:w="0" w:type="auto"/>
        <w:jc w:val="center"/>
        <w:tblLayout w:type="autofit"/>
        <w:tblCellMar>
          <w:top w:w="0" w:type="dxa"/>
          <w:left w:w="108" w:type="dxa"/>
          <w:bottom w:w="0" w:type="dxa"/>
          <w:right w:w="108" w:type="dxa"/>
        </w:tblCellMar>
      </w:tblPr>
      <w:tblGrid>
        <w:gridCol w:w="724"/>
        <w:gridCol w:w="2410"/>
        <w:gridCol w:w="2126"/>
        <w:gridCol w:w="1788"/>
      </w:tblGrid>
      <w:tr w14:paraId="0C54A761">
        <w:tblPrEx>
          <w:tblCellMar>
            <w:top w:w="0" w:type="dxa"/>
            <w:left w:w="108" w:type="dxa"/>
            <w:bottom w:w="0" w:type="dxa"/>
            <w:right w:w="108" w:type="dxa"/>
          </w:tblCellMar>
        </w:tblPrEx>
        <w:trPr>
          <w:trHeight w:val="405"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559B19B4">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2410" w:type="dxa"/>
            <w:tcBorders>
              <w:top w:val="single" w:color="auto" w:sz="4" w:space="0"/>
              <w:left w:val="nil"/>
              <w:bottom w:val="single" w:color="auto" w:sz="4" w:space="0"/>
              <w:right w:val="single" w:color="auto" w:sz="4" w:space="0"/>
            </w:tcBorders>
            <w:noWrap/>
            <w:vAlign w:val="center"/>
          </w:tcPr>
          <w:p w14:paraId="5B202BDD">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证据名称</w:t>
            </w:r>
          </w:p>
        </w:tc>
        <w:tc>
          <w:tcPr>
            <w:tcW w:w="2126" w:type="dxa"/>
            <w:tcBorders>
              <w:top w:val="single" w:color="auto" w:sz="4" w:space="0"/>
              <w:left w:val="nil"/>
              <w:bottom w:val="single" w:color="auto" w:sz="4" w:space="0"/>
              <w:right w:val="single" w:color="auto" w:sz="4" w:space="0"/>
            </w:tcBorders>
            <w:noWrap/>
            <w:vAlign w:val="center"/>
          </w:tcPr>
          <w:p w14:paraId="38068780">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证据来源</w:t>
            </w:r>
          </w:p>
        </w:tc>
        <w:tc>
          <w:tcPr>
            <w:tcW w:w="1788" w:type="dxa"/>
            <w:tcBorders>
              <w:top w:val="single" w:color="auto" w:sz="4" w:space="0"/>
              <w:left w:val="nil"/>
              <w:bottom w:val="single" w:color="auto" w:sz="4" w:space="0"/>
              <w:right w:val="single" w:color="auto" w:sz="4" w:space="0"/>
            </w:tcBorders>
            <w:noWrap/>
            <w:vAlign w:val="center"/>
          </w:tcPr>
          <w:p w14:paraId="013E8568">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证明对象</w:t>
            </w:r>
          </w:p>
        </w:tc>
      </w:tr>
      <w:tr w14:paraId="787EA7DE">
        <w:tblPrEx>
          <w:tblCellMar>
            <w:top w:w="0" w:type="dxa"/>
            <w:left w:w="108" w:type="dxa"/>
            <w:bottom w:w="0" w:type="dxa"/>
            <w:right w:w="108" w:type="dxa"/>
          </w:tblCellMar>
        </w:tblPrEx>
        <w:trPr>
          <w:trHeight w:val="405" w:hRule="atLeast"/>
          <w:jc w:val="center"/>
        </w:trPr>
        <w:tc>
          <w:tcPr>
            <w:tcW w:w="724" w:type="dxa"/>
            <w:tcBorders>
              <w:top w:val="nil"/>
              <w:left w:val="single" w:color="auto" w:sz="4" w:space="0"/>
              <w:bottom w:val="single" w:color="auto" w:sz="4" w:space="0"/>
              <w:right w:val="single" w:color="auto" w:sz="4" w:space="0"/>
            </w:tcBorders>
            <w:noWrap/>
            <w:vAlign w:val="center"/>
          </w:tcPr>
          <w:p w14:paraId="02A611A5">
            <w:pPr>
              <w:widowControl/>
              <w:jc w:val="center"/>
              <w:rPr>
                <w:rFonts w:ascii="宋体" w:hAnsi="宋体" w:cs="宋体"/>
                <w:color w:val="auto"/>
                <w:kern w:val="0"/>
                <w:sz w:val="22"/>
                <w:szCs w:val="22"/>
                <w:highlight w:val="none"/>
              </w:rPr>
            </w:pPr>
          </w:p>
        </w:tc>
        <w:tc>
          <w:tcPr>
            <w:tcW w:w="2410" w:type="dxa"/>
            <w:tcBorders>
              <w:top w:val="nil"/>
              <w:left w:val="nil"/>
              <w:bottom w:val="single" w:color="auto" w:sz="4" w:space="0"/>
              <w:right w:val="single" w:color="auto" w:sz="4" w:space="0"/>
            </w:tcBorders>
            <w:noWrap/>
            <w:vAlign w:val="center"/>
          </w:tcPr>
          <w:p w14:paraId="094DC2C5">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126" w:type="dxa"/>
            <w:tcBorders>
              <w:top w:val="nil"/>
              <w:left w:val="nil"/>
              <w:bottom w:val="single" w:color="auto" w:sz="4" w:space="0"/>
              <w:right w:val="single" w:color="auto" w:sz="4" w:space="0"/>
            </w:tcBorders>
            <w:noWrap/>
            <w:vAlign w:val="center"/>
          </w:tcPr>
          <w:p w14:paraId="20472947">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788" w:type="dxa"/>
            <w:tcBorders>
              <w:top w:val="nil"/>
              <w:left w:val="nil"/>
              <w:bottom w:val="single" w:color="auto" w:sz="4" w:space="0"/>
              <w:right w:val="single" w:color="auto" w:sz="4" w:space="0"/>
            </w:tcBorders>
            <w:noWrap/>
            <w:vAlign w:val="center"/>
          </w:tcPr>
          <w:p w14:paraId="0D9AA090">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29DD88BB">
        <w:tblPrEx>
          <w:tblCellMar>
            <w:top w:w="0" w:type="dxa"/>
            <w:left w:w="108" w:type="dxa"/>
            <w:bottom w:w="0" w:type="dxa"/>
            <w:right w:w="108" w:type="dxa"/>
          </w:tblCellMar>
        </w:tblPrEx>
        <w:trPr>
          <w:trHeight w:val="405" w:hRule="atLeast"/>
          <w:jc w:val="center"/>
        </w:trPr>
        <w:tc>
          <w:tcPr>
            <w:tcW w:w="724" w:type="dxa"/>
            <w:tcBorders>
              <w:top w:val="nil"/>
              <w:left w:val="single" w:color="auto" w:sz="4" w:space="0"/>
              <w:bottom w:val="single" w:color="auto" w:sz="4" w:space="0"/>
              <w:right w:val="single" w:color="auto" w:sz="4" w:space="0"/>
            </w:tcBorders>
            <w:noWrap/>
            <w:vAlign w:val="center"/>
          </w:tcPr>
          <w:p w14:paraId="1F28BC53">
            <w:pPr>
              <w:widowControl/>
              <w:jc w:val="center"/>
              <w:rPr>
                <w:rFonts w:ascii="宋体" w:hAnsi="宋体" w:cs="宋体"/>
                <w:color w:val="auto"/>
                <w:kern w:val="0"/>
                <w:sz w:val="22"/>
                <w:szCs w:val="22"/>
                <w:highlight w:val="none"/>
              </w:rPr>
            </w:pPr>
          </w:p>
        </w:tc>
        <w:tc>
          <w:tcPr>
            <w:tcW w:w="2410" w:type="dxa"/>
            <w:tcBorders>
              <w:top w:val="nil"/>
              <w:left w:val="nil"/>
              <w:bottom w:val="single" w:color="auto" w:sz="4" w:space="0"/>
              <w:right w:val="single" w:color="auto" w:sz="4" w:space="0"/>
            </w:tcBorders>
            <w:noWrap/>
            <w:vAlign w:val="center"/>
          </w:tcPr>
          <w:p w14:paraId="524117A1">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126" w:type="dxa"/>
            <w:tcBorders>
              <w:top w:val="nil"/>
              <w:left w:val="nil"/>
              <w:bottom w:val="single" w:color="auto" w:sz="4" w:space="0"/>
              <w:right w:val="single" w:color="auto" w:sz="4" w:space="0"/>
            </w:tcBorders>
            <w:noWrap/>
            <w:vAlign w:val="center"/>
          </w:tcPr>
          <w:p w14:paraId="33977C77">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788" w:type="dxa"/>
            <w:tcBorders>
              <w:top w:val="nil"/>
              <w:left w:val="nil"/>
              <w:bottom w:val="single" w:color="auto" w:sz="4" w:space="0"/>
              <w:right w:val="single" w:color="auto" w:sz="4" w:space="0"/>
            </w:tcBorders>
            <w:noWrap/>
            <w:vAlign w:val="center"/>
          </w:tcPr>
          <w:p w14:paraId="0BACBE0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1E0049A2">
        <w:tblPrEx>
          <w:tblCellMar>
            <w:top w:w="0" w:type="dxa"/>
            <w:left w:w="108" w:type="dxa"/>
            <w:bottom w:w="0" w:type="dxa"/>
            <w:right w:w="108" w:type="dxa"/>
          </w:tblCellMar>
        </w:tblPrEx>
        <w:trPr>
          <w:trHeight w:val="405" w:hRule="atLeast"/>
          <w:jc w:val="center"/>
        </w:trPr>
        <w:tc>
          <w:tcPr>
            <w:tcW w:w="724" w:type="dxa"/>
            <w:tcBorders>
              <w:top w:val="nil"/>
              <w:left w:val="single" w:color="auto" w:sz="4" w:space="0"/>
              <w:bottom w:val="single" w:color="auto" w:sz="4" w:space="0"/>
              <w:right w:val="single" w:color="auto" w:sz="4" w:space="0"/>
            </w:tcBorders>
            <w:noWrap/>
            <w:vAlign w:val="center"/>
          </w:tcPr>
          <w:p w14:paraId="1A027CA1">
            <w:pPr>
              <w:widowControl/>
              <w:jc w:val="center"/>
              <w:rPr>
                <w:rFonts w:ascii="宋体" w:hAnsi="宋体" w:cs="宋体"/>
                <w:color w:val="auto"/>
                <w:kern w:val="0"/>
                <w:sz w:val="22"/>
                <w:szCs w:val="22"/>
                <w:highlight w:val="none"/>
              </w:rPr>
            </w:pPr>
          </w:p>
        </w:tc>
        <w:tc>
          <w:tcPr>
            <w:tcW w:w="2410" w:type="dxa"/>
            <w:tcBorders>
              <w:top w:val="nil"/>
              <w:left w:val="nil"/>
              <w:bottom w:val="single" w:color="auto" w:sz="4" w:space="0"/>
              <w:right w:val="single" w:color="auto" w:sz="4" w:space="0"/>
            </w:tcBorders>
            <w:noWrap/>
            <w:vAlign w:val="center"/>
          </w:tcPr>
          <w:p w14:paraId="2913654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126" w:type="dxa"/>
            <w:tcBorders>
              <w:top w:val="nil"/>
              <w:left w:val="nil"/>
              <w:bottom w:val="single" w:color="auto" w:sz="4" w:space="0"/>
              <w:right w:val="single" w:color="auto" w:sz="4" w:space="0"/>
            </w:tcBorders>
            <w:noWrap/>
            <w:vAlign w:val="center"/>
          </w:tcPr>
          <w:p w14:paraId="4B85FD1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788" w:type="dxa"/>
            <w:tcBorders>
              <w:top w:val="nil"/>
              <w:left w:val="nil"/>
              <w:bottom w:val="single" w:color="auto" w:sz="4" w:space="0"/>
              <w:right w:val="single" w:color="auto" w:sz="4" w:space="0"/>
            </w:tcBorders>
            <w:noWrap/>
            <w:vAlign w:val="center"/>
          </w:tcPr>
          <w:p w14:paraId="2340089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1BBE736D">
        <w:tblPrEx>
          <w:tblCellMar>
            <w:top w:w="0" w:type="dxa"/>
            <w:left w:w="108" w:type="dxa"/>
            <w:bottom w:w="0" w:type="dxa"/>
            <w:right w:w="108" w:type="dxa"/>
          </w:tblCellMar>
        </w:tblPrEx>
        <w:trPr>
          <w:trHeight w:val="405" w:hRule="atLeast"/>
          <w:jc w:val="center"/>
        </w:trPr>
        <w:tc>
          <w:tcPr>
            <w:tcW w:w="724" w:type="dxa"/>
            <w:tcBorders>
              <w:top w:val="nil"/>
              <w:left w:val="single" w:color="auto" w:sz="4" w:space="0"/>
              <w:bottom w:val="single" w:color="auto" w:sz="4" w:space="0"/>
              <w:right w:val="single" w:color="auto" w:sz="4" w:space="0"/>
            </w:tcBorders>
            <w:noWrap/>
            <w:vAlign w:val="center"/>
          </w:tcPr>
          <w:p w14:paraId="74944AF6">
            <w:pPr>
              <w:widowControl/>
              <w:jc w:val="center"/>
              <w:rPr>
                <w:rFonts w:ascii="宋体" w:hAnsi="宋体" w:cs="宋体"/>
                <w:color w:val="auto"/>
                <w:kern w:val="0"/>
                <w:sz w:val="22"/>
                <w:szCs w:val="22"/>
                <w:highlight w:val="none"/>
              </w:rPr>
            </w:pPr>
          </w:p>
        </w:tc>
        <w:tc>
          <w:tcPr>
            <w:tcW w:w="2410" w:type="dxa"/>
            <w:tcBorders>
              <w:top w:val="nil"/>
              <w:left w:val="nil"/>
              <w:bottom w:val="single" w:color="auto" w:sz="4" w:space="0"/>
              <w:right w:val="single" w:color="auto" w:sz="4" w:space="0"/>
            </w:tcBorders>
            <w:noWrap/>
            <w:vAlign w:val="center"/>
          </w:tcPr>
          <w:p w14:paraId="1F45E03E">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r>
              <w:rPr>
                <w:rFonts w:ascii="宋体" w:hAnsi="宋体" w:cs="宋体"/>
                <w:color w:val="auto"/>
                <w:kern w:val="0"/>
                <w:sz w:val="22"/>
                <w:szCs w:val="22"/>
                <w:highlight w:val="none"/>
              </w:rPr>
              <w:t>……</w:t>
            </w:r>
          </w:p>
        </w:tc>
        <w:tc>
          <w:tcPr>
            <w:tcW w:w="2126" w:type="dxa"/>
            <w:tcBorders>
              <w:top w:val="nil"/>
              <w:left w:val="nil"/>
              <w:bottom w:val="single" w:color="auto" w:sz="4" w:space="0"/>
              <w:right w:val="single" w:color="auto" w:sz="4" w:space="0"/>
            </w:tcBorders>
            <w:noWrap/>
            <w:vAlign w:val="center"/>
          </w:tcPr>
          <w:p w14:paraId="2EE51A6F">
            <w:pPr>
              <w:widowControl/>
              <w:jc w:val="center"/>
              <w:rPr>
                <w:rFonts w:ascii="宋体" w:hAnsi="宋体" w:cs="宋体"/>
                <w:color w:val="auto"/>
                <w:kern w:val="0"/>
                <w:sz w:val="22"/>
                <w:szCs w:val="22"/>
                <w:highlight w:val="none"/>
              </w:rPr>
            </w:pPr>
          </w:p>
        </w:tc>
        <w:tc>
          <w:tcPr>
            <w:tcW w:w="1788" w:type="dxa"/>
            <w:tcBorders>
              <w:top w:val="nil"/>
              <w:left w:val="nil"/>
              <w:bottom w:val="single" w:color="auto" w:sz="4" w:space="0"/>
              <w:right w:val="single" w:color="auto" w:sz="4" w:space="0"/>
            </w:tcBorders>
            <w:noWrap/>
            <w:vAlign w:val="center"/>
          </w:tcPr>
          <w:p w14:paraId="710C70CB">
            <w:pPr>
              <w:widowControl/>
              <w:jc w:val="center"/>
              <w:rPr>
                <w:rFonts w:ascii="宋体" w:hAnsi="宋体" w:cs="宋体"/>
                <w:color w:val="auto"/>
                <w:kern w:val="0"/>
                <w:sz w:val="22"/>
                <w:szCs w:val="22"/>
                <w:highlight w:val="none"/>
              </w:rPr>
            </w:pPr>
          </w:p>
        </w:tc>
      </w:tr>
    </w:tbl>
    <w:p w14:paraId="45FF1277">
      <w:pPr>
        <w:tabs>
          <w:tab w:val="left" w:pos="720"/>
        </w:tabs>
        <w:snapToGrid w:val="0"/>
        <w:spacing w:line="360" w:lineRule="auto"/>
        <w:rPr>
          <w:rFonts w:ascii="宋体" w:hAnsi="宋体"/>
          <w:bCs/>
          <w:color w:val="auto"/>
          <w:szCs w:val="21"/>
          <w:highlight w:val="none"/>
        </w:rPr>
      </w:pPr>
    </w:p>
    <w:p w14:paraId="3D370BC5">
      <w:pPr>
        <w:tabs>
          <w:tab w:val="left" w:pos="720"/>
        </w:tabs>
        <w:snapToGrid w:val="0"/>
        <w:spacing w:line="360" w:lineRule="auto"/>
        <w:ind w:left="992"/>
        <w:rPr>
          <w:rFonts w:ascii="宋体" w:hAnsi="宋体"/>
          <w:bCs/>
          <w:color w:val="auto"/>
          <w:szCs w:val="21"/>
          <w:highlight w:val="none"/>
        </w:rPr>
      </w:pPr>
      <w:r>
        <w:rPr>
          <w:rFonts w:hint="eastAsia" w:ascii="宋体" w:hAnsi="宋体"/>
          <w:bCs/>
          <w:color w:val="auto"/>
          <w:szCs w:val="21"/>
          <w:highlight w:val="none"/>
        </w:rPr>
        <w:t>供应商递交质疑函时，非法定代表人（供应商为法人时）或主要负责人（供应商为其他组织时 ）亲自办理的，需提供授权委托书（应载明授权代表的姓名或者名称、代理事项、具体权限、期限和相关事项）及授权代表身份证复印件。</w:t>
      </w:r>
    </w:p>
    <w:p w14:paraId="49FDFCAC">
      <w:pPr>
        <w:numPr>
          <w:ilvl w:val="1"/>
          <w:numId w:val="12"/>
        </w:numPr>
        <w:tabs>
          <w:tab w:val="left" w:pos="720"/>
        </w:tabs>
        <w:snapToGrid w:val="0"/>
        <w:spacing w:line="360" w:lineRule="auto"/>
        <w:rPr>
          <w:rFonts w:ascii="宋体" w:hAnsi="宋体"/>
          <w:bCs/>
          <w:color w:val="auto"/>
          <w:szCs w:val="21"/>
          <w:highlight w:val="none"/>
        </w:rPr>
      </w:pPr>
      <w:r>
        <w:rPr>
          <w:rFonts w:hint="eastAsia" w:ascii="宋体" w:hAnsi="宋体"/>
          <w:bCs/>
          <w:color w:val="auto"/>
          <w:szCs w:val="21"/>
          <w:highlight w:val="none"/>
        </w:rPr>
        <w:t>供应商捏造事实、提供虚假材料或者以非法手段取得证明材料不能作为质疑的证明材料。</w:t>
      </w:r>
    </w:p>
    <w:p w14:paraId="50143178">
      <w:pPr>
        <w:numPr>
          <w:ilvl w:val="1"/>
          <w:numId w:val="12"/>
        </w:numPr>
        <w:tabs>
          <w:tab w:val="left" w:pos="720"/>
        </w:tabs>
        <w:snapToGrid w:val="0"/>
        <w:spacing w:line="360" w:lineRule="auto"/>
        <w:rPr>
          <w:rFonts w:ascii="宋体" w:hAnsi="宋体"/>
          <w:bCs/>
          <w:color w:val="auto"/>
          <w:szCs w:val="21"/>
          <w:highlight w:val="none"/>
        </w:rPr>
      </w:pPr>
      <w:r>
        <w:rPr>
          <w:rFonts w:hint="eastAsia" w:ascii="宋体" w:hAnsi="宋体"/>
          <w:bCs/>
          <w:color w:val="auto"/>
          <w:szCs w:val="21"/>
          <w:highlight w:val="none"/>
        </w:rPr>
        <w:t>采购人或者采购代理机构在收到供应商的书面质疑后7个工作日内作出答复，并以书面形式通知质疑供应商和其他有关供应商，但答复内容不涉及商业秘密。</w:t>
      </w:r>
    </w:p>
    <w:p w14:paraId="1C409A96">
      <w:pPr>
        <w:numPr>
          <w:ilvl w:val="1"/>
          <w:numId w:val="12"/>
        </w:numPr>
        <w:tabs>
          <w:tab w:val="left" w:pos="720"/>
        </w:tabs>
        <w:snapToGrid w:val="0"/>
        <w:spacing w:line="360" w:lineRule="auto"/>
        <w:rPr>
          <w:rFonts w:ascii="宋体" w:hAnsi="宋体"/>
          <w:bCs/>
          <w:color w:val="auto"/>
          <w:szCs w:val="21"/>
          <w:highlight w:val="none"/>
        </w:rPr>
      </w:pPr>
      <w:r>
        <w:rPr>
          <w:rFonts w:hint="eastAsia" w:ascii="宋体" w:hAnsi="宋体"/>
          <w:bCs/>
          <w:color w:val="auto"/>
          <w:szCs w:val="21"/>
          <w:highlight w:val="none"/>
        </w:rPr>
        <w:t>以邮寄、快递方式递交的，质疑提起日期应当以邮寄件上的戳记日期、邮政快递件上的戳记日期或非邮政快递件上的签注之日起计算，收到日期则以采购代理机构收到质疑函原件之日计算。</w:t>
      </w:r>
    </w:p>
    <w:p w14:paraId="2419AE49">
      <w:pPr>
        <w:numPr>
          <w:ilvl w:val="1"/>
          <w:numId w:val="12"/>
        </w:numPr>
        <w:tabs>
          <w:tab w:val="left" w:pos="720"/>
        </w:tabs>
        <w:snapToGrid w:val="0"/>
        <w:spacing w:line="360" w:lineRule="auto"/>
        <w:rPr>
          <w:rFonts w:ascii="宋体" w:hAnsi="宋体"/>
          <w:bCs/>
          <w:color w:val="auto"/>
          <w:szCs w:val="21"/>
          <w:highlight w:val="none"/>
        </w:rPr>
      </w:pPr>
      <w:r>
        <w:rPr>
          <w:rFonts w:hint="eastAsia" w:ascii="宋体" w:hAnsi="宋体"/>
          <w:bCs/>
          <w:color w:val="auto"/>
          <w:szCs w:val="21"/>
          <w:highlight w:val="none"/>
        </w:rPr>
        <w:t>质疑联系方式</w:t>
      </w:r>
    </w:p>
    <w:p w14:paraId="43694B9A">
      <w:pPr>
        <w:tabs>
          <w:tab w:val="left" w:pos="720"/>
        </w:tabs>
        <w:snapToGrid w:val="0"/>
        <w:spacing w:line="360" w:lineRule="auto"/>
        <w:ind w:left="372" w:leftChars="177" w:firstLine="525" w:firstLineChars="250"/>
        <w:rPr>
          <w:rFonts w:hint="eastAsia" w:ascii="宋体" w:hAnsi="宋体" w:eastAsia="宋体"/>
          <w:bCs/>
          <w:color w:val="auto"/>
          <w:szCs w:val="21"/>
          <w:highlight w:val="none"/>
          <w:lang w:eastAsia="zh-CN"/>
        </w:rPr>
      </w:pPr>
      <w:r>
        <w:rPr>
          <w:rFonts w:hint="eastAsia" w:ascii="宋体" w:hAnsi="宋体"/>
          <w:bCs/>
          <w:color w:val="auto"/>
          <w:szCs w:val="21"/>
          <w:highlight w:val="none"/>
        </w:rPr>
        <w:t>受理部门：</w:t>
      </w:r>
      <w:r>
        <w:rPr>
          <w:rFonts w:hint="eastAsia" w:ascii="宋体" w:hAnsi="宋体"/>
          <w:bCs/>
          <w:color w:val="auto"/>
          <w:szCs w:val="21"/>
          <w:highlight w:val="none"/>
          <w:lang w:eastAsia="zh-CN"/>
        </w:rPr>
        <w:t>广州中天项目管理咨询有限公司</w:t>
      </w:r>
    </w:p>
    <w:p w14:paraId="137FF689">
      <w:pPr>
        <w:snapToGrid w:val="0"/>
        <w:spacing w:line="360" w:lineRule="auto"/>
        <w:ind w:firstLine="945" w:firstLineChars="450"/>
        <w:rPr>
          <w:rFonts w:hint="eastAsia" w:ascii="宋体" w:hAnsi="宋体" w:eastAsia="宋体"/>
          <w:bCs/>
          <w:color w:val="auto"/>
          <w:szCs w:val="21"/>
          <w:highlight w:val="none"/>
          <w:lang w:eastAsia="zh-CN"/>
        </w:rPr>
      </w:pPr>
      <w:r>
        <w:rPr>
          <w:rFonts w:hint="eastAsia" w:ascii="宋体" w:hAnsi="宋体"/>
          <w:bCs/>
          <w:color w:val="auto"/>
          <w:szCs w:val="21"/>
          <w:highlight w:val="none"/>
        </w:rPr>
        <w:t>地址：</w:t>
      </w:r>
      <w:r>
        <w:rPr>
          <w:rFonts w:hint="eastAsia" w:ascii="宋体" w:hAnsi="宋体"/>
          <w:bCs/>
          <w:color w:val="auto"/>
          <w:szCs w:val="21"/>
          <w:highlight w:val="none"/>
          <w:lang w:eastAsia="zh-CN"/>
        </w:rPr>
        <w:t>广州市白云区鸦岗大道鸦岗创意园D栋三层</w:t>
      </w:r>
    </w:p>
    <w:p w14:paraId="7B347490">
      <w:pPr>
        <w:snapToGrid w:val="0"/>
        <w:spacing w:line="360" w:lineRule="auto"/>
        <w:ind w:firstLine="945" w:firstLineChars="450"/>
        <w:rPr>
          <w:rFonts w:ascii="宋体" w:hAnsi="宋体"/>
          <w:bCs/>
          <w:color w:val="auto"/>
          <w:szCs w:val="21"/>
          <w:highlight w:val="none"/>
        </w:rPr>
      </w:pPr>
      <w:r>
        <w:rPr>
          <w:rFonts w:hint="eastAsia" w:ascii="宋体" w:hAnsi="宋体"/>
          <w:bCs/>
          <w:color w:val="auto"/>
          <w:szCs w:val="21"/>
          <w:highlight w:val="none"/>
        </w:rPr>
        <w:t>邮箱：</w:t>
      </w:r>
      <w:bookmarkStart w:id="118" w:name="_Hlk66806249"/>
      <w:r>
        <w:rPr>
          <w:rStyle w:val="39"/>
          <w:rFonts w:hint="eastAsia" w:ascii="宋体" w:hAnsi="宋体" w:eastAsia="宋体" w:cs="宋体"/>
          <w:color w:val="auto"/>
          <w:sz w:val="22"/>
          <w:szCs w:val="22"/>
          <w:highlight w:val="none"/>
        </w:rPr>
        <w:t>576733015</w:t>
      </w:r>
      <w:r>
        <w:rPr>
          <w:rStyle w:val="39"/>
          <w:rFonts w:hint="eastAsia" w:ascii="宋体" w:hAnsi="宋体" w:eastAsia="宋体" w:cs="宋体"/>
          <w:color w:val="auto"/>
          <w:sz w:val="24"/>
          <w:szCs w:val="24"/>
          <w:highlight w:val="none"/>
        </w:rPr>
        <w:t>@qq.com</w:t>
      </w:r>
      <w:r>
        <w:rPr>
          <w:rFonts w:hint="eastAsia" w:ascii="宋体" w:hAnsi="宋体"/>
          <w:bCs/>
          <w:color w:val="auto"/>
          <w:szCs w:val="21"/>
          <w:highlight w:val="none"/>
        </w:rPr>
        <w:t>（用于接收质疑、询问）</w:t>
      </w:r>
      <w:bookmarkEnd w:id="118"/>
    </w:p>
    <w:p w14:paraId="433785FA">
      <w:pPr>
        <w:pStyle w:val="3"/>
        <w:spacing w:before="120"/>
        <w:ind w:left="720" w:hanging="720"/>
        <w:jc w:val="center"/>
        <w:rPr>
          <w:rFonts w:hAnsi="宋体"/>
          <w:b w:val="0"/>
          <w:bCs/>
          <w:color w:val="auto"/>
          <w:szCs w:val="21"/>
          <w:highlight w:val="none"/>
        </w:rPr>
      </w:pPr>
      <w:bookmarkStart w:id="119" w:name="_Toc508630938"/>
      <w:bookmarkStart w:id="120" w:name="_Toc508629251"/>
      <w:bookmarkStart w:id="121" w:name="_Toc360607080"/>
      <w:bookmarkStart w:id="122" w:name="_Toc510511187"/>
      <w:bookmarkStart w:id="123" w:name="_Toc67046884"/>
      <w:bookmarkStart w:id="124" w:name="_Toc16275"/>
      <w:r>
        <w:rPr>
          <w:rFonts w:hint="eastAsia" w:hAnsi="宋体"/>
          <w:color w:val="auto"/>
          <w:highlight w:val="none"/>
        </w:rPr>
        <w:t>（十）关于投诉</w:t>
      </w:r>
      <w:bookmarkEnd w:id="119"/>
      <w:bookmarkEnd w:id="120"/>
      <w:bookmarkEnd w:id="121"/>
      <w:bookmarkEnd w:id="122"/>
      <w:bookmarkEnd w:id="123"/>
      <w:bookmarkEnd w:id="124"/>
    </w:p>
    <w:p w14:paraId="3E033710">
      <w:pPr>
        <w:numPr>
          <w:ilvl w:val="1"/>
          <w:numId w:val="13"/>
        </w:numPr>
        <w:tabs>
          <w:tab w:val="left" w:pos="360"/>
        </w:tabs>
        <w:snapToGrid w:val="0"/>
        <w:spacing w:before="312" w:beforeLines="100" w:line="360" w:lineRule="auto"/>
        <w:ind w:left="357" w:hanging="357"/>
        <w:rPr>
          <w:rFonts w:ascii="宋体" w:hAnsi="宋体"/>
          <w:b/>
          <w:bCs/>
          <w:color w:val="auto"/>
          <w:szCs w:val="21"/>
          <w:highlight w:val="none"/>
        </w:rPr>
      </w:pPr>
      <w:r>
        <w:rPr>
          <w:rFonts w:hint="eastAsia" w:ascii="宋体" w:hAnsi="宋体"/>
          <w:b/>
          <w:bCs/>
          <w:color w:val="auto"/>
          <w:szCs w:val="21"/>
          <w:highlight w:val="none"/>
        </w:rPr>
        <w:t>投诉形式</w:t>
      </w:r>
    </w:p>
    <w:p w14:paraId="2BB4D756">
      <w:pPr>
        <w:snapToGrid w:val="0"/>
        <w:spacing w:line="360" w:lineRule="auto"/>
        <w:ind w:left="567" w:leftChars="270"/>
        <w:rPr>
          <w:rFonts w:ascii="宋体" w:hAnsi="宋体"/>
          <w:color w:val="auto"/>
          <w:szCs w:val="21"/>
          <w:highlight w:val="none"/>
        </w:rPr>
      </w:pPr>
      <w:r>
        <w:rPr>
          <w:rFonts w:hint="eastAsia" w:ascii="宋体" w:hAnsi="宋体"/>
          <w:bCs/>
          <w:color w:val="auto"/>
          <w:szCs w:val="21"/>
          <w:highlight w:val="none"/>
        </w:rPr>
        <w:t>质疑供应商对采购人、采购代理机构的质疑答复不满意，或者采购人、采购代理机构未在规定期限内作出答复的，可以在答复期满后15个工作日内向采购人的同级政府采购监督管理部门提起投诉。</w:t>
      </w:r>
    </w:p>
    <w:p w14:paraId="37DFDF76">
      <w:pPr>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br w:type="page"/>
      </w:r>
    </w:p>
    <w:p w14:paraId="1136EC65">
      <w:pPr>
        <w:pStyle w:val="2"/>
        <w:rPr>
          <w:color w:val="auto"/>
          <w:highlight w:val="none"/>
        </w:rPr>
      </w:pPr>
      <w:bookmarkStart w:id="125" w:name="_Toc20728"/>
      <w:r>
        <w:rPr>
          <w:rFonts w:hint="eastAsia"/>
          <w:color w:val="auto"/>
          <w:highlight w:val="none"/>
        </w:rPr>
        <w:t>第二部分  用户需求</w:t>
      </w:r>
      <w:bookmarkEnd w:id="125"/>
    </w:p>
    <w:p w14:paraId="146F4BA7">
      <w:pPr>
        <w:spacing w:line="360" w:lineRule="auto"/>
        <w:ind w:firstLine="0" w:firstLineChars="0"/>
        <w:rPr>
          <w:rFonts w:ascii="宋体" w:hAnsi="宋体" w:cs="宋体"/>
          <w:bCs/>
          <w:color w:val="auto"/>
          <w:szCs w:val="21"/>
          <w:highlight w:val="none"/>
        </w:rPr>
      </w:pPr>
      <w:bookmarkStart w:id="126" w:name="_Toc14016"/>
      <w:bookmarkStart w:id="127" w:name="_Toc23803"/>
      <w:bookmarkStart w:id="128" w:name="_Toc4205"/>
      <w:bookmarkStart w:id="129" w:name="_Toc11996"/>
      <w:bookmarkStart w:id="130" w:name="_Toc510511189"/>
      <w:r>
        <w:rPr>
          <w:rFonts w:hint="eastAsia" w:ascii="宋体" w:hAnsi="宋体" w:cs="宋体"/>
          <w:b/>
          <w:color w:val="auto"/>
          <w:szCs w:val="21"/>
          <w:highlight w:val="none"/>
        </w:rPr>
        <w:t>（说明：如标有“★”的条款均为必须完全满足指标，供应商须进行实质性响应，供应商若有一项带“★”的条款未响应或不满足，将按无效投标处理。如标有“▲”的条款均为评审的重要评分指标，投标人若有部分“▲”条款未响应或不满足，将导致其响应性评审严重扣分。）</w:t>
      </w:r>
      <w:bookmarkEnd w:id="126"/>
      <w:bookmarkEnd w:id="127"/>
      <w:bookmarkEnd w:id="128"/>
      <w:bookmarkEnd w:id="129"/>
    </w:p>
    <w:p w14:paraId="0F54B0D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一、项目名称</w:t>
      </w:r>
    </w:p>
    <w:p w14:paraId="1E085FB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2025年万顷沙镇生活垃圾分类督导服务项目</w:t>
      </w:r>
    </w:p>
    <w:p w14:paraId="2B5AAF3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二、项目背景</w:t>
      </w:r>
    </w:p>
    <w:p w14:paraId="4A7E7ACF">
      <w:pPr>
        <w:spacing w:line="360" w:lineRule="auto"/>
        <w:ind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rPr>
        <w:t>为深化万顷沙镇生活垃圾分类工作，进一步扩大生活垃圾强制精准分类覆盖范围，依据</w:t>
      </w:r>
      <w:r>
        <w:rPr>
          <w:rFonts w:hint="eastAsia" w:ascii="宋体" w:hAnsi="宋体" w:eastAsia="宋体" w:cs="宋体"/>
          <w:b w:val="0"/>
          <w:bCs w:val="0"/>
          <w:color w:val="auto"/>
          <w:szCs w:val="21"/>
          <w:highlight w:val="none"/>
          <w:lang w:eastAsia="zh-CN"/>
        </w:rPr>
        <w:t>广州市南沙区生活垃圾分类管理联席会议办公室关于印发《南沙区深化生活垃圾分类处理三年行动计划（2023-2025年）》《南沙区2024年生活垃圾分类处理工作要点》《南沙区2024年生活垃圾分类宣传工作方案》《南沙区2024年生活垃圾分类“入点”宣传培训方案》《做好2024年南沙区农村生活垃圾分类和资源化利用工作》《2024年南沙区镇（街）月考核评分加减分项》</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eastAsia="zh-CN"/>
        </w:rPr>
        <w:t>202</w:t>
      </w: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年南沙区生活垃圾分类处理工作考核方案》</w:t>
      </w:r>
      <w:r>
        <w:rPr>
          <w:rFonts w:hint="eastAsia" w:ascii="宋体" w:hAnsi="宋体" w:eastAsia="宋体" w:cs="宋体"/>
          <w:b w:val="0"/>
          <w:bCs w:val="0"/>
          <w:color w:val="auto"/>
          <w:szCs w:val="21"/>
          <w:highlight w:val="none"/>
          <w:lang w:val="en-US" w:eastAsia="zh-CN"/>
        </w:rPr>
        <w:t>的文件精神</w:t>
      </w:r>
      <w:r>
        <w:rPr>
          <w:rFonts w:hint="eastAsia" w:ascii="宋体" w:hAnsi="宋体" w:eastAsia="宋体" w:cs="宋体"/>
          <w:b w:val="0"/>
          <w:bCs w:val="0"/>
          <w:color w:val="auto"/>
          <w:szCs w:val="21"/>
          <w:highlight w:val="none"/>
        </w:rPr>
        <w:t>，全面落实垃圾分类“四级考核”制度，迅速组建镇街、村居两级检查机制，同时强化万顷沙镇垃圾分类考核评估团队，持续对万顷沙镇辖区内农村（</w:t>
      </w:r>
      <w:r>
        <w:rPr>
          <w:rFonts w:hint="eastAsia" w:ascii="宋体" w:hAnsi="宋体" w:eastAsia="宋体" w:cs="宋体"/>
          <w:b w:val="0"/>
          <w:bCs w:val="0"/>
          <w:color w:val="auto"/>
          <w:szCs w:val="21"/>
          <w:highlight w:val="none"/>
          <w:lang w:eastAsia="zh-CN"/>
        </w:rPr>
        <w:t>典型村、</w:t>
      </w:r>
      <w:r>
        <w:rPr>
          <w:rFonts w:hint="eastAsia" w:ascii="宋体" w:hAnsi="宋体" w:eastAsia="宋体" w:cs="宋体"/>
          <w:b w:val="0"/>
          <w:bCs w:val="0"/>
          <w:color w:val="auto"/>
          <w:szCs w:val="21"/>
          <w:highlight w:val="none"/>
        </w:rPr>
        <w:t>示范样板村、行政村）</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居住小区/社区</w:t>
      </w:r>
      <w:r>
        <w:rPr>
          <w:rFonts w:hint="eastAsia" w:ascii="宋体" w:hAnsi="宋体" w:eastAsia="宋体" w:cs="宋体"/>
          <w:b w:val="0"/>
          <w:bCs w:val="0"/>
          <w:color w:val="auto"/>
          <w:szCs w:val="21"/>
          <w:highlight w:val="none"/>
          <w:lang w:eastAsia="zh-CN"/>
        </w:rPr>
        <w:t>、三类</w:t>
      </w:r>
      <w:r>
        <w:rPr>
          <w:rFonts w:hint="eastAsia" w:ascii="宋体" w:hAnsi="宋体" w:eastAsia="宋体" w:cs="宋体"/>
          <w:b w:val="0"/>
          <w:bCs w:val="0"/>
          <w:color w:val="auto"/>
          <w:szCs w:val="21"/>
          <w:highlight w:val="none"/>
        </w:rPr>
        <w:t>单位（机团单位、</w:t>
      </w:r>
      <w:r>
        <w:rPr>
          <w:rFonts w:hint="eastAsia" w:ascii="宋体" w:hAnsi="宋体" w:eastAsia="宋体" w:cs="宋体"/>
          <w:b w:val="0"/>
          <w:bCs w:val="0"/>
          <w:color w:val="auto"/>
          <w:szCs w:val="21"/>
          <w:highlight w:val="none"/>
          <w:lang w:eastAsia="zh-CN"/>
        </w:rPr>
        <w:t>经营区域、公共场所</w:t>
      </w:r>
      <w:r>
        <w:rPr>
          <w:rFonts w:hint="eastAsia" w:ascii="宋体" w:hAnsi="宋体" w:eastAsia="宋体" w:cs="宋体"/>
          <w:b w:val="0"/>
          <w:bCs w:val="0"/>
          <w:color w:val="auto"/>
          <w:szCs w:val="21"/>
          <w:highlight w:val="none"/>
        </w:rPr>
        <w:t>）的生活垃圾分类工作情况进行评估。通过评估，客观公正评价推进生活垃圾分类成效，掌握实情，为推进全镇垃圾分类工作提供数据支撑和行政管理的参考意见。</w:t>
      </w:r>
      <w:r>
        <w:rPr>
          <w:rFonts w:hint="eastAsia" w:ascii="宋体" w:hAnsi="宋体" w:eastAsia="宋体" w:cs="宋体"/>
          <w:b w:val="0"/>
          <w:bCs w:val="0"/>
          <w:color w:val="auto"/>
          <w:szCs w:val="21"/>
          <w:highlight w:val="none"/>
          <w:lang w:eastAsia="zh-CN"/>
        </w:rPr>
        <w:t>在全镇范围内定期组织开展各类生活垃圾分类宣传培训活动，全面提升万顷沙镇居民对生活垃圾分类的知晓率、参与率。</w:t>
      </w:r>
    </w:p>
    <w:p w14:paraId="4CDCBA5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三、项目概况</w:t>
      </w:r>
    </w:p>
    <w:p w14:paraId="228B57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（一）项目预算：</w:t>
      </w:r>
      <w:r>
        <w:rPr>
          <w:rFonts w:hint="eastAsia" w:ascii="宋体" w:hAnsi="宋体" w:eastAsia="宋体" w:cs="宋体"/>
          <w:color w:val="auto"/>
          <w:szCs w:val="21"/>
          <w:highlight w:val="none"/>
          <w:lang w:eastAsia="zh-CN"/>
        </w:rPr>
        <w:t>891432.00</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（大写：捌拾玖万壹仟肆佰叁拾贰元整）</w:t>
      </w:r>
      <w:r>
        <w:rPr>
          <w:rFonts w:hint="eastAsia" w:ascii="宋体" w:hAnsi="宋体" w:eastAsia="宋体" w:cs="宋体"/>
          <w:color w:val="auto"/>
          <w:szCs w:val="21"/>
          <w:highlight w:val="none"/>
        </w:rPr>
        <w:t>。</w:t>
      </w:r>
    </w:p>
    <w:p w14:paraId="121730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（二）服务期限：</w:t>
      </w:r>
      <w:r>
        <w:rPr>
          <w:rFonts w:hint="eastAsia" w:ascii="宋体" w:hAnsi="宋体" w:eastAsia="宋体" w:cs="宋体"/>
          <w:color w:val="auto"/>
          <w:szCs w:val="21"/>
          <w:highlight w:val="none"/>
          <w:lang w:eastAsia="zh-CN"/>
        </w:rPr>
        <w:t>12个月（2024年9月1日至2025年8月31日）</w:t>
      </w:r>
      <w:r>
        <w:rPr>
          <w:rFonts w:hint="eastAsia" w:ascii="宋体" w:hAnsi="宋体" w:eastAsia="宋体" w:cs="宋体"/>
          <w:color w:val="auto"/>
          <w:szCs w:val="21"/>
          <w:highlight w:val="none"/>
        </w:rPr>
        <w:t>。</w:t>
      </w:r>
    </w:p>
    <w:p w14:paraId="547CCF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（三）投标人应对本项目进行整体投标，不允许只对其中部分内容进行投标，任何只对其中一部分内容进行的响应都被视为无效响应。</w:t>
      </w:r>
    </w:p>
    <w:p w14:paraId="150709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（四）中标人未经采购人批准，不得再以任何方式转包或分包。</w:t>
      </w:r>
    </w:p>
    <w:p w14:paraId="199BA9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（五）本项目不接受联合体投标。</w:t>
      </w:r>
    </w:p>
    <w:p w14:paraId="1F4638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根据工业和信息化部、国家统计局、国家发展和改革委员会、财政部《关于印发中小企业划型标准规定的通知》（工信部联企业[2011]300号）规定，本项目采购内容对应的中小微企业划分标准所属行业为：租赁和商务服务业。</w:t>
      </w:r>
    </w:p>
    <w:p w14:paraId="04BFCF2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四、投标报价要求</w:t>
      </w:r>
    </w:p>
    <w:p w14:paraId="26F49D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（一）最高限价：</w:t>
      </w:r>
      <w:r>
        <w:rPr>
          <w:rFonts w:hint="eastAsia" w:ascii="宋体" w:hAnsi="宋体" w:eastAsia="宋体" w:cs="宋体"/>
          <w:color w:val="auto"/>
          <w:szCs w:val="21"/>
          <w:highlight w:val="none"/>
          <w:lang w:eastAsia="zh-CN"/>
        </w:rPr>
        <w:t>891432.00</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（大写：捌拾玖万壹仟肆佰叁拾贰元整）</w:t>
      </w:r>
      <w:r>
        <w:rPr>
          <w:rFonts w:hint="eastAsia" w:ascii="宋体" w:hAnsi="宋体" w:eastAsia="宋体" w:cs="宋体"/>
          <w:color w:val="auto"/>
          <w:szCs w:val="21"/>
          <w:highlight w:val="none"/>
        </w:rPr>
        <w:t>，投标报价超出此最高限价视为非实质性响应投标而予以拒绝。</w:t>
      </w:r>
    </w:p>
    <w:p w14:paraId="6351D4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标委员会认为投标人的报价明显低于其他通过符合性审查投标人的报价，有可能影响产品质量或者不能诚信履约的，应当要求其在评标现场合理的时问内提供书面说明，必要时提交相关证明材料；投标人不能证明其报价合理性的，评标委员会应当将其作为无效投标处理。</w:t>
      </w:r>
    </w:p>
    <w:p w14:paraId="2C3557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投标总价全部费用包括但不限于实施本项目各项工作的成本、人工、材料、交通、税金及合同实施过程中不可预见费用等一切费用，未经双方书面确认，中标人不得以任何理由要求采购人另行支付任何费用。</w:t>
      </w:r>
    </w:p>
    <w:p w14:paraId="0870AC3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服务内容</w:t>
      </w:r>
    </w:p>
    <w:p w14:paraId="794499A6">
      <w:pPr>
        <w:numPr>
          <w:ilvl w:val="0"/>
          <w:numId w:val="0"/>
        </w:numPr>
        <w:spacing w:line="360" w:lineRule="auto"/>
        <w:ind w:firstLine="422" w:firstLineChars="200"/>
        <w:rPr>
          <w:rFonts w:hint="eastAsia" w:ascii="宋体" w:hAnsi="宋体" w:eastAsia="宋体" w:cs="宋体"/>
          <w:b/>
          <w:color w:val="auto"/>
          <w:kern w:val="2"/>
          <w:sz w:val="21"/>
          <w:szCs w:val="21"/>
          <w:highlight w:val="none"/>
          <w:lang w:val="en-US" w:eastAsia="zh-CN" w:bidi="ar-SA"/>
        </w:rPr>
      </w:pPr>
      <w:bookmarkStart w:id="131" w:name="_Toc384977579"/>
      <w:r>
        <w:rPr>
          <w:rFonts w:hint="eastAsia" w:ascii="宋体" w:hAnsi="宋体" w:eastAsia="宋体" w:cs="宋体"/>
          <w:b/>
          <w:color w:val="auto"/>
          <w:kern w:val="2"/>
          <w:sz w:val="21"/>
          <w:szCs w:val="21"/>
          <w:highlight w:val="none"/>
          <w:lang w:val="en-US" w:eastAsia="zh-CN" w:bidi="ar-SA"/>
        </w:rPr>
        <w:t>（一）每月实地工作检查与指导</w:t>
      </w:r>
    </w:p>
    <w:p w14:paraId="6B911451">
      <w:pPr>
        <w:numPr>
          <w:ilvl w:val="0"/>
          <w:numId w:val="0"/>
        </w:numPr>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依据《DB4401 T 144-2022生活垃圾分类设施配置及作业规范》规范，按照《2024年南沙区生活垃圾分类处理工作考核方案》内容开展实地检查评估工作，每月检查单位（含三类单位、居住小区、农村等）不少于350个次，开展垃圾分类现场工作(日常宣传、指导培训、容器配置、投放模式、点位检查、点位优化提升、分类投放、分类收集等)进行检查、指导并督促单位整改、做好三类单位创建及维护等工作,完成农村、居住小区100%全覆盖，抽取村（居）三类单位进行检查。</w:t>
      </w:r>
    </w:p>
    <w:p w14:paraId="6C140510">
      <w:pPr>
        <w:numPr>
          <w:ilvl w:val="0"/>
          <w:numId w:val="0"/>
        </w:numPr>
        <w:spacing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（二）现场台账资料检查与指导</w:t>
      </w:r>
    </w:p>
    <w:p w14:paraId="33518799">
      <w:pPr>
        <w:numPr>
          <w:ilvl w:val="0"/>
          <w:numId w:val="0"/>
        </w:numPr>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1.根据《2024年南沙区生活垃圾分类处理工作考核方案》《南沙区实施生活垃圾分类收运考核工作方案》要求，构建我镇生活垃圾分类处理工作台账、生活垃圾分类收运工作台账，分析工作形势提出指导意见。</w:t>
      </w:r>
    </w:p>
    <w:p w14:paraId="2B9B79F7">
      <w:pPr>
        <w:numPr>
          <w:ilvl w:val="0"/>
          <w:numId w:val="0"/>
        </w:numPr>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2.按照《做好2024年南沙区农村生活垃圾分类和资源化利用工作》文件要求，开展年度农村生活垃圾分类和资源化利用典型村创建并对万顷沙镇垃圾分类台账及16个村（居）单位的垃圾分类处理工作台账进行检查、指导并督促村（居）整改等工作。    </w:t>
      </w:r>
    </w:p>
    <w:p w14:paraId="6B77DF09">
      <w:pPr>
        <w:numPr>
          <w:ilvl w:val="0"/>
          <w:numId w:val="0"/>
        </w:numPr>
        <w:spacing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（三）每月实地组织开展分类宣传和培训</w:t>
      </w:r>
    </w:p>
    <w:p w14:paraId="70FB7CAD">
      <w:pPr>
        <w:numPr>
          <w:ilvl w:val="0"/>
          <w:numId w:val="0"/>
        </w:numPr>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按照《南沙区2024年生活垃圾分类处理工作要点》《南沙区2024年生活垃圾分类宣传工作方案》《南沙区2024年生活垃圾分类“入点”宣传培训方案》的文件要求，组织开展垃圾分类宣传工作,宣传方式涵盖（垃圾分类全民行动日活动、镇主题宣传活动、村（居）主题宣传活动、类型单位主题宣传活动、居住小区投放点“入点”宣传培训活动等）。通过一系列垃圾分类专题宣传及分类知识培训，持续提高群众对分类的意识、通过有趣生动的宣传活动，提升分类成效。按照要求，每月不少于25场宣传或培训活动。</w:t>
      </w:r>
    </w:p>
    <w:p w14:paraId="0C471F22">
      <w:pPr>
        <w:numPr>
          <w:ilvl w:val="0"/>
          <w:numId w:val="0"/>
        </w:numPr>
        <w:spacing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（四）媒体报道</w:t>
      </w:r>
    </w:p>
    <w:p w14:paraId="12B2A1DC">
      <w:pPr>
        <w:numPr>
          <w:ilvl w:val="0"/>
          <w:numId w:val="0"/>
        </w:numPr>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根据《2024年南沙区生活垃圾分类处理工作考核方案》《2024年南沙区镇（街）月考核评分加减分项》的工作要求，开展媒体宣传，在央级媒体电视台、报纸、杂志(app或其他线上形式)等开展正面宣传报道，每月2次；在省级、市级媒体电视台、报纸、杂志(app或其他线上形式)等开展正面宣传，每月2次。负责活动的方案、策划、新闻稿，协助制定当月宣传主题、活动内容，并结合万顷沙分类工作特色与经验总结，发布新闻稿。</w:t>
      </w:r>
    </w:p>
    <w:p w14:paraId="3483AD1A">
      <w:pPr>
        <w:numPr>
          <w:ilvl w:val="0"/>
          <w:numId w:val="0"/>
        </w:numPr>
        <w:spacing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w:t>
      </w:r>
      <w:bookmarkStart w:id="132" w:name="OLE_LINK2"/>
      <w:r>
        <w:rPr>
          <w:rFonts w:hint="eastAsia" w:ascii="宋体" w:hAnsi="宋体" w:eastAsia="宋体" w:cs="宋体"/>
          <w:b/>
          <w:color w:val="auto"/>
          <w:kern w:val="2"/>
          <w:sz w:val="21"/>
          <w:szCs w:val="21"/>
          <w:highlight w:val="none"/>
          <w:lang w:val="en-US" w:eastAsia="zh-CN" w:bidi="ar-SA"/>
        </w:rPr>
        <w:t>积极在信息化系统报送相关工作</w:t>
      </w:r>
      <w:bookmarkEnd w:id="132"/>
    </w:p>
    <w:p w14:paraId="36DCBF99">
      <w:pPr>
        <w:numPr>
          <w:ilvl w:val="0"/>
          <w:numId w:val="0"/>
        </w:numPr>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1.根据广州市城市管理和综合执法局要求，使用“穗时尚+”维护我镇生活垃圾分类投放点点位信息，按周、月填报家庭厨余垃圾产生量，对上级检查投放点问题整改进行汇报等工作。</w:t>
      </w:r>
    </w:p>
    <w:p w14:paraId="1F7E4FD6">
      <w:pPr>
        <w:numPr>
          <w:ilvl w:val="0"/>
          <w:numId w:val="0"/>
        </w:numPr>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2.使用“志愿时”开展我镇生活垃圾分类志愿服务队日常管理工作，包括组建生活垃圾分类志愿服务队、志愿者招募、志愿活动服务发布和志愿工作信息统计汇报等工作。</w:t>
      </w:r>
    </w:p>
    <w:p w14:paraId="2A4B0954">
      <w:pPr>
        <w:numPr>
          <w:ilvl w:val="0"/>
          <w:numId w:val="0"/>
        </w:numPr>
        <w:spacing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（六）</w:t>
      </w:r>
      <w:bookmarkStart w:id="133" w:name="OLE_LINK3"/>
      <w:r>
        <w:rPr>
          <w:rFonts w:hint="eastAsia" w:ascii="宋体" w:hAnsi="宋体" w:eastAsia="宋体" w:cs="宋体"/>
          <w:b/>
          <w:color w:val="auto"/>
          <w:kern w:val="2"/>
          <w:sz w:val="21"/>
          <w:szCs w:val="21"/>
          <w:highlight w:val="none"/>
          <w:lang w:val="en-US" w:eastAsia="zh-CN" w:bidi="ar-SA"/>
        </w:rPr>
        <w:t>积极宣传餐厨垃圾（含废弃食用油脂）收运处置政策</w:t>
      </w:r>
    </w:p>
    <w:bookmarkEnd w:id="133"/>
    <w:p w14:paraId="1CCCA402">
      <w:pPr>
        <w:numPr>
          <w:ilvl w:val="0"/>
          <w:numId w:val="0"/>
        </w:numPr>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根据《广州市南沙区餐厨垃圾（含废弃食用油脂）收运处置专项整治工作方案》要求，针对餐厨垃圾产生单位（如：农贸市场、生鲜超市、餐饮经营店铺、企业单位饭堂等），开展餐厨垃圾专收、废弃食用油脂处置对接、做好相关协议签署、数据汇报等工作。</w:t>
      </w:r>
    </w:p>
    <w:p w14:paraId="6F37CF30">
      <w:pPr>
        <w:numPr>
          <w:ilvl w:val="0"/>
          <w:numId w:val="0"/>
        </w:numPr>
        <w:spacing w:line="360" w:lineRule="auto"/>
        <w:ind w:firstLine="422" w:firstLineChars="200"/>
        <w:rPr>
          <w:rFonts w:hint="eastAsia" w:ascii="宋体" w:hAnsi="宋体" w:eastAsia="宋体" w:cs="宋体"/>
          <w:b/>
          <w:color w:val="auto"/>
          <w:szCs w:val="21"/>
          <w:highlight w:val="none"/>
          <w:vertAlign w:val="baseline"/>
          <w:lang w:val="en-US" w:eastAsia="zh-CN"/>
        </w:rPr>
      </w:pPr>
      <w:r>
        <w:rPr>
          <w:rFonts w:hint="eastAsia" w:ascii="宋体" w:hAnsi="宋体" w:eastAsia="宋体" w:cs="宋体"/>
          <w:b/>
          <w:color w:val="auto"/>
          <w:kern w:val="2"/>
          <w:sz w:val="21"/>
          <w:szCs w:val="21"/>
          <w:highlight w:val="none"/>
          <w:lang w:val="en-US" w:eastAsia="zh-CN" w:bidi="ar-SA"/>
        </w:rPr>
        <w:t>七、服务内容</w:t>
      </w:r>
      <w:r>
        <w:rPr>
          <w:rFonts w:hint="eastAsia" w:ascii="宋体" w:hAnsi="宋体" w:eastAsia="宋体" w:cs="宋体"/>
          <w:b/>
          <w:color w:val="auto"/>
          <w:szCs w:val="21"/>
          <w:highlight w:val="none"/>
          <w:lang w:val="en-US" w:eastAsia="zh-CN"/>
        </w:rPr>
        <w:t xml:space="preserve">费用明细表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251"/>
        <w:gridCol w:w="1111"/>
        <w:gridCol w:w="731"/>
        <w:gridCol w:w="713"/>
        <w:gridCol w:w="1526"/>
      </w:tblGrid>
      <w:tr w14:paraId="241C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15F6C611">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序号</w:t>
            </w:r>
          </w:p>
        </w:tc>
        <w:tc>
          <w:tcPr>
            <w:tcW w:w="4284" w:type="dxa"/>
            <w:vAlign w:val="center"/>
          </w:tcPr>
          <w:p w14:paraId="37A765F0">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项目</w:t>
            </w:r>
          </w:p>
        </w:tc>
        <w:tc>
          <w:tcPr>
            <w:tcW w:w="1116" w:type="dxa"/>
            <w:vAlign w:val="center"/>
          </w:tcPr>
          <w:p w14:paraId="35DA05F0">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点位数量</w:t>
            </w:r>
          </w:p>
        </w:tc>
        <w:tc>
          <w:tcPr>
            <w:tcW w:w="734" w:type="dxa"/>
            <w:vAlign w:val="center"/>
          </w:tcPr>
          <w:p w14:paraId="2ABC0460">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单位</w:t>
            </w:r>
          </w:p>
        </w:tc>
        <w:tc>
          <w:tcPr>
            <w:tcW w:w="716" w:type="dxa"/>
            <w:vAlign w:val="center"/>
          </w:tcPr>
          <w:p w14:paraId="3D746D95">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周期</w:t>
            </w:r>
          </w:p>
        </w:tc>
        <w:tc>
          <w:tcPr>
            <w:tcW w:w="1534" w:type="dxa"/>
            <w:vAlign w:val="center"/>
          </w:tcPr>
          <w:p w14:paraId="4ACF14DF">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cs="宋体"/>
                <w:b w:val="0"/>
                <w:bCs/>
                <w:color w:val="auto"/>
                <w:szCs w:val="21"/>
                <w:highlight w:val="none"/>
                <w:vertAlign w:val="baseline"/>
                <w:lang w:val="en-US" w:eastAsia="zh-CN"/>
              </w:rPr>
              <w:t>每月</w:t>
            </w:r>
            <w:r>
              <w:rPr>
                <w:rFonts w:hint="eastAsia" w:ascii="宋体" w:hAnsi="宋体" w:eastAsia="宋体" w:cs="宋体"/>
                <w:b w:val="0"/>
                <w:bCs/>
                <w:color w:val="auto"/>
                <w:szCs w:val="21"/>
                <w:highlight w:val="none"/>
                <w:vertAlign w:val="baseline"/>
                <w:lang w:val="en-US" w:eastAsia="zh-CN"/>
              </w:rPr>
              <w:t>单价</w:t>
            </w:r>
          </w:p>
        </w:tc>
      </w:tr>
      <w:tr w14:paraId="5FBB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2BC784AD">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w:t>
            </w:r>
          </w:p>
        </w:tc>
        <w:tc>
          <w:tcPr>
            <w:tcW w:w="4284" w:type="dxa"/>
          </w:tcPr>
          <w:p w14:paraId="09E75E58">
            <w:pPr>
              <w:numPr>
                <w:ilvl w:val="-1"/>
                <w:numId w:val="0"/>
              </w:numPr>
              <w:spacing w:line="360" w:lineRule="auto"/>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每月实地工作检查与指导</w:t>
            </w:r>
          </w:p>
        </w:tc>
        <w:tc>
          <w:tcPr>
            <w:tcW w:w="1116" w:type="dxa"/>
            <w:vAlign w:val="center"/>
          </w:tcPr>
          <w:p w14:paraId="6C8330B3">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350</w:t>
            </w:r>
          </w:p>
        </w:tc>
        <w:tc>
          <w:tcPr>
            <w:tcW w:w="734" w:type="dxa"/>
            <w:vAlign w:val="center"/>
          </w:tcPr>
          <w:p w14:paraId="7283FBAC">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月</w:t>
            </w:r>
          </w:p>
        </w:tc>
        <w:tc>
          <w:tcPr>
            <w:tcW w:w="716" w:type="dxa"/>
            <w:vAlign w:val="center"/>
          </w:tcPr>
          <w:p w14:paraId="016C79ED">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12</w:t>
            </w:r>
          </w:p>
        </w:tc>
        <w:tc>
          <w:tcPr>
            <w:tcW w:w="1534" w:type="dxa"/>
            <w:vAlign w:val="center"/>
          </w:tcPr>
          <w:p w14:paraId="0E2A9CB2">
            <w:pPr>
              <w:keepNext w:val="0"/>
              <w:keepLines w:val="0"/>
              <w:widowControl/>
              <w:suppressLineNumbers w:val="0"/>
              <w:jc w:val="center"/>
              <w:textAlignment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162</w:t>
            </w:r>
          </w:p>
        </w:tc>
      </w:tr>
      <w:tr w14:paraId="1555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500FACDF">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2</w:t>
            </w:r>
          </w:p>
        </w:tc>
        <w:tc>
          <w:tcPr>
            <w:tcW w:w="4284" w:type="dxa"/>
          </w:tcPr>
          <w:p w14:paraId="53FA0275">
            <w:pPr>
              <w:numPr>
                <w:ilvl w:val="-1"/>
                <w:numId w:val="0"/>
              </w:numPr>
              <w:spacing w:line="360" w:lineRule="auto"/>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现场台账资料检查与指导</w:t>
            </w:r>
          </w:p>
        </w:tc>
        <w:tc>
          <w:tcPr>
            <w:tcW w:w="1116" w:type="dxa"/>
            <w:vAlign w:val="center"/>
          </w:tcPr>
          <w:p w14:paraId="7C1993F8">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16</w:t>
            </w:r>
          </w:p>
        </w:tc>
        <w:tc>
          <w:tcPr>
            <w:tcW w:w="734" w:type="dxa"/>
            <w:vAlign w:val="center"/>
          </w:tcPr>
          <w:p w14:paraId="1A711B4E">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月</w:t>
            </w:r>
          </w:p>
        </w:tc>
        <w:tc>
          <w:tcPr>
            <w:tcW w:w="716" w:type="dxa"/>
            <w:vAlign w:val="center"/>
          </w:tcPr>
          <w:p w14:paraId="14FF5A37">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12</w:t>
            </w:r>
          </w:p>
        </w:tc>
        <w:tc>
          <w:tcPr>
            <w:tcW w:w="1534" w:type="dxa"/>
            <w:vAlign w:val="center"/>
          </w:tcPr>
          <w:p w14:paraId="4472C680">
            <w:pPr>
              <w:keepNext w:val="0"/>
              <w:keepLines w:val="0"/>
              <w:widowControl/>
              <w:suppressLineNumbers w:val="0"/>
              <w:jc w:val="center"/>
              <w:textAlignment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171</w:t>
            </w:r>
          </w:p>
        </w:tc>
      </w:tr>
      <w:tr w14:paraId="5DAA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3DCD4141">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3</w:t>
            </w:r>
          </w:p>
        </w:tc>
        <w:tc>
          <w:tcPr>
            <w:tcW w:w="4284" w:type="dxa"/>
          </w:tcPr>
          <w:p w14:paraId="33AEF034">
            <w:pPr>
              <w:numPr>
                <w:ilvl w:val="-1"/>
                <w:numId w:val="0"/>
              </w:numPr>
              <w:spacing w:line="360" w:lineRule="auto"/>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每月实地组织开展分类宣传和培训</w:t>
            </w:r>
          </w:p>
        </w:tc>
        <w:tc>
          <w:tcPr>
            <w:tcW w:w="1116" w:type="dxa"/>
            <w:vAlign w:val="center"/>
          </w:tcPr>
          <w:p w14:paraId="67C3482C">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i w:val="0"/>
                <w:iCs w:val="0"/>
                <w:color w:val="auto"/>
                <w:kern w:val="0"/>
                <w:sz w:val="21"/>
                <w:szCs w:val="21"/>
                <w:highlight w:val="none"/>
                <w:u w:val="none"/>
                <w:lang w:val="en-US" w:eastAsia="zh-CN" w:bidi="ar"/>
              </w:rPr>
              <w:t>25</w:t>
            </w:r>
          </w:p>
        </w:tc>
        <w:tc>
          <w:tcPr>
            <w:tcW w:w="734" w:type="dxa"/>
            <w:vAlign w:val="center"/>
          </w:tcPr>
          <w:p w14:paraId="7C9330BB">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i w:val="0"/>
                <w:iCs w:val="0"/>
                <w:color w:val="auto"/>
                <w:kern w:val="0"/>
                <w:sz w:val="21"/>
                <w:szCs w:val="21"/>
                <w:highlight w:val="none"/>
                <w:u w:val="none"/>
                <w:lang w:val="en-US" w:eastAsia="zh-CN" w:bidi="ar"/>
              </w:rPr>
              <w:t>月</w:t>
            </w:r>
          </w:p>
        </w:tc>
        <w:tc>
          <w:tcPr>
            <w:tcW w:w="716" w:type="dxa"/>
            <w:vAlign w:val="center"/>
          </w:tcPr>
          <w:p w14:paraId="46F03DD1">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12</w:t>
            </w:r>
          </w:p>
        </w:tc>
        <w:tc>
          <w:tcPr>
            <w:tcW w:w="1534" w:type="dxa"/>
            <w:vAlign w:val="center"/>
          </w:tcPr>
          <w:p w14:paraId="41DF728B">
            <w:pPr>
              <w:keepNext w:val="0"/>
              <w:keepLines w:val="0"/>
              <w:widowControl/>
              <w:suppressLineNumbers w:val="0"/>
              <w:jc w:val="center"/>
              <w:textAlignment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162</w:t>
            </w:r>
          </w:p>
        </w:tc>
      </w:tr>
      <w:tr w14:paraId="216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5D6028DF">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4</w:t>
            </w:r>
          </w:p>
        </w:tc>
        <w:tc>
          <w:tcPr>
            <w:tcW w:w="4284" w:type="dxa"/>
          </w:tcPr>
          <w:p w14:paraId="7315A7DE">
            <w:pPr>
              <w:numPr>
                <w:ilvl w:val="-1"/>
                <w:numId w:val="0"/>
              </w:numPr>
              <w:spacing w:line="360" w:lineRule="auto"/>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媒体报道</w:t>
            </w:r>
          </w:p>
        </w:tc>
        <w:tc>
          <w:tcPr>
            <w:tcW w:w="1116" w:type="dxa"/>
            <w:vAlign w:val="center"/>
          </w:tcPr>
          <w:p w14:paraId="4D215C1F">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4</w:t>
            </w:r>
          </w:p>
        </w:tc>
        <w:tc>
          <w:tcPr>
            <w:tcW w:w="734" w:type="dxa"/>
            <w:vAlign w:val="center"/>
          </w:tcPr>
          <w:p w14:paraId="55459EAF">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i w:val="0"/>
                <w:iCs w:val="0"/>
                <w:color w:val="auto"/>
                <w:kern w:val="0"/>
                <w:sz w:val="21"/>
                <w:szCs w:val="21"/>
                <w:highlight w:val="none"/>
                <w:u w:val="none"/>
                <w:lang w:val="en-US" w:eastAsia="zh-CN" w:bidi="ar"/>
              </w:rPr>
              <w:t>月</w:t>
            </w:r>
          </w:p>
        </w:tc>
        <w:tc>
          <w:tcPr>
            <w:tcW w:w="716" w:type="dxa"/>
            <w:vAlign w:val="center"/>
          </w:tcPr>
          <w:p w14:paraId="497411AE">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12</w:t>
            </w:r>
          </w:p>
        </w:tc>
        <w:tc>
          <w:tcPr>
            <w:tcW w:w="1534" w:type="dxa"/>
            <w:vAlign w:val="center"/>
          </w:tcPr>
          <w:p w14:paraId="5F522140">
            <w:pPr>
              <w:keepNext w:val="0"/>
              <w:keepLines w:val="0"/>
              <w:widowControl/>
              <w:suppressLineNumbers w:val="0"/>
              <w:jc w:val="center"/>
              <w:textAlignment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1800</w:t>
            </w:r>
          </w:p>
        </w:tc>
      </w:tr>
      <w:tr w14:paraId="06F4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0D9EB618">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5</w:t>
            </w:r>
          </w:p>
        </w:tc>
        <w:tc>
          <w:tcPr>
            <w:tcW w:w="4284" w:type="dxa"/>
          </w:tcPr>
          <w:p w14:paraId="6EF0A0E0">
            <w:pPr>
              <w:numPr>
                <w:ilvl w:val="-1"/>
                <w:numId w:val="0"/>
              </w:numPr>
              <w:spacing w:line="360" w:lineRule="auto"/>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积极在信息化系统报送相关工作</w:t>
            </w:r>
          </w:p>
        </w:tc>
        <w:tc>
          <w:tcPr>
            <w:tcW w:w="1116" w:type="dxa"/>
            <w:vAlign w:val="center"/>
          </w:tcPr>
          <w:p w14:paraId="4948850F">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w:t>
            </w:r>
          </w:p>
        </w:tc>
        <w:tc>
          <w:tcPr>
            <w:tcW w:w="734" w:type="dxa"/>
            <w:vAlign w:val="center"/>
          </w:tcPr>
          <w:p w14:paraId="137E3148">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i w:val="0"/>
                <w:iCs w:val="0"/>
                <w:color w:val="auto"/>
                <w:kern w:val="0"/>
                <w:sz w:val="21"/>
                <w:szCs w:val="21"/>
                <w:highlight w:val="none"/>
                <w:u w:val="none"/>
                <w:lang w:val="en-US" w:eastAsia="zh-CN" w:bidi="ar"/>
              </w:rPr>
              <w:t>月</w:t>
            </w:r>
          </w:p>
        </w:tc>
        <w:tc>
          <w:tcPr>
            <w:tcW w:w="716" w:type="dxa"/>
            <w:vAlign w:val="center"/>
          </w:tcPr>
          <w:p w14:paraId="7895BBE0">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12</w:t>
            </w:r>
          </w:p>
        </w:tc>
        <w:tc>
          <w:tcPr>
            <w:tcW w:w="1534" w:type="dxa"/>
            <w:vAlign w:val="center"/>
          </w:tcPr>
          <w:p w14:paraId="044C39E8">
            <w:pPr>
              <w:keepNext w:val="0"/>
              <w:keepLines w:val="0"/>
              <w:widowControl/>
              <w:suppressLineNumbers w:val="0"/>
              <w:jc w:val="center"/>
              <w:textAlignment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1800</w:t>
            </w:r>
          </w:p>
        </w:tc>
      </w:tr>
      <w:tr w14:paraId="57F0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142FD0BF">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6</w:t>
            </w:r>
          </w:p>
        </w:tc>
        <w:tc>
          <w:tcPr>
            <w:tcW w:w="4284" w:type="dxa"/>
          </w:tcPr>
          <w:p w14:paraId="042CF6B2">
            <w:pPr>
              <w:numPr>
                <w:ilvl w:val="-1"/>
                <w:numId w:val="0"/>
              </w:numPr>
              <w:spacing w:line="360" w:lineRule="auto"/>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积极宣传餐厨垃圾（含废弃食用油脂）收运处置政策</w:t>
            </w:r>
          </w:p>
        </w:tc>
        <w:tc>
          <w:tcPr>
            <w:tcW w:w="1116" w:type="dxa"/>
            <w:vAlign w:val="center"/>
          </w:tcPr>
          <w:p w14:paraId="6AA645C0">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w:t>
            </w:r>
          </w:p>
        </w:tc>
        <w:tc>
          <w:tcPr>
            <w:tcW w:w="734" w:type="dxa"/>
            <w:vAlign w:val="center"/>
          </w:tcPr>
          <w:p w14:paraId="7CF9DFCA">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i w:val="0"/>
                <w:iCs w:val="0"/>
                <w:color w:val="auto"/>
                <w:kern w:val="0"/>
                <w:sz w:val="21"/>
                <w:szCs w:val="21"/>
                <w:highlight w:val="none"/>
                <w:u w:val="none"/>
                <w:lang w:val="en-US" w:eastAsia="zh-CN" w:bidi="ar"/>
              </w:rPr>
              <w:t>月</w:t>
            </w:r>
          </w:p>
        </w:tc>
        <w:tc>
          <w:tcPr>
            <w:tcW w:w="716" w:type="dxa"/>
            <w:vAlign w:val="center"/>
          </w:tcPr>
          <w:p w14:paraId="2E1B099C">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12</w:t>
            </w:r>
          </w:p>
        </w:tc>
        <w:tc>
          <w:tcPr>
            <w:tcW w:w="1534" w:type="dxa"/>
            <w:vAlign w:val="center"/>
          </w:tcPr>
          <w:p w14:paraId="1B2B7717">
            <w:pPr>
              <w:keepNext w:val="0"/>
              <w:keepLines w:val="0"/>
              <w:widowControl/>
              <w:suppressLineNumbers w:val="0"/>
              <w:jc w:val="center"/>
              <w:textAlignment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1800</w:t>
            </w:r>
          </w:p>
        </w:tc>
      </w:tr>
    </w:tbl>
    <w:p w14:paraId="57BCDE3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八、项目实施要求</w:t>
      </w:r>
    </w:p>
    <w:bookmarkEnd w:id="131"/>
    <w:p w14:paraId="36C5B762">
      <w:pPr>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（一）中标人应在本合同生效后3个工作日内组建为本项目提供服务的团队，并提供给采购人确认，项目团队成员应具备项目所需的资格、专业技能和经验，未经采购人同意，中标人不得擅自更换项目团队成员。</w:t>
      </w:r>
    </w:p>
    <w:p w14:paraId="758DE269">
      <w:pPr>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二）服务实施过程中，中标人应按期保质保量的提供项目服务内容，并及时响应采购人的需求和要求。采购人有权审核中标人的服务成果，如采购人审核不通过的，中标人应在采购人规定时间内修改，直到通过采购人的审核。</w:t>
      </w:r>
    </w:p>
    <w:p w14:paraId="4A92F9F7">
      <w:pPr>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（三）在项目活动开展过程中，中标人应指派足够服务人员投入采购人服务项目中，以确保项目活动能顺利进行。</w:t>
      </w:r>
    </w:p>
    <w:p w14:paraId="2BCDDC4D">
      <w:pPr>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（四）未经采购人同意，不得擅自向第三方转包或分包项目内容。</w:t>
      </w:r>
    </w:p>
    <w:p w14:paraId="186BD9DB">
      <w:pPr>
        <w:spacing w:line="360" w:lineRule="auto"/>
        <w:ind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（五）中标人必须按照国家规定的法律法规，自行负责中标人服务人员的各项工资福利待遇、人身和财产安全、以及其他中标人作为用人单位应履行的全部义务及责任。</w:t>
      </w:r>
    </w:p>
    <w:p w14:paraId="364D7C9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九</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服务质量考核</w:t>
      </w:r>
    </w:p>
    <w:p w14:paraId="6E38CA04">
      <w:pPr>
        <w:pStyle w:val="13"/>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（一）实行服务质量双考核</w:t>
      </w:r>
    </w:p>
    <w:p w14:paraId="1E3FDF52">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1、采购人使用《2025年万顷沙镇生活垃圾分类督导服务项目月考核评分表》对中标人开展每月考评，按季度总得分取其平均值作为季度考评成绩，考评结果89分及以下的；</w:t>
      </w:r>
    </w:p>
    <w:p w14:paraId="11F131AC">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2、根据《南沙区生活垃圾分类工作检查情况的通报》每月对全区各镇街进行考评排名，如中标人在任意月的考评结果为第八至第十名的；</w:t>
      </w:r>
    </w:p>
    <w:p w14:paraId="3B146AD5">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3、如同时出现上述第一点、第二点的考评情况，将扣除考评周期内服务费2000元（如中标人在考评周期内，任意触发其中一点的考评情况的，则不需要扣取考评周期内的服务费用）；</w:t>
      </w:r>
    </w:p>
    <w:p w14:paraId="1C3FFD8D">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4、如中标人出现被扣除款项的情况，在下一个考评周期内受到上级嘉奖的，采购人将上一考评周期已扣除的对应款项全部退还给中标人。</w:t>
      </w:r>
    </w:p>
    <w:p w14:paraId="4455617C">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中标人在全国、省、市等的重要检查或重大突击性任务中，发现有质量责任问题，经查属实，且不及时或不配合整改的承包区域受到上级通报批评的，中标人应承担相关责任，采购人可以在当季服务费用5%-50%的范围内扣减服务费。</w:t>
      </w:r>
    </w:p>
    <w:p w14:paraId="7F5788CF">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对于市、区、镇环境卫生监督管理部门提出的整改意见或群众投诉、传媒曝光等问题，中标人在限期内不进行整改（或整改后，经市、区垃圾分类监督管理部门检查仍不符合质量标准要求），每发生一次，采购人有权扣减中标人当月服务费用的1%；服务期限内每季度累计三次者，采购人有权解除服务合同。</w:t>
      </w:r>
    </w:p>
    <w:p w14:paraId="4CE5F87A">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四）未经采购人同意，中标人不得在承包范围内从事环境卫生、垃圾分类等服务收费工作，一旦发现经查属实，采购人有权按中标人实际收取金额的10倍扣减当月服务费用，并追究相关责任；采购人有权立即解除服务合同。</w:t>
      </w:r>
    </w:p>
    <w:p w14:paraId="20614022">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（五）随时响应应急突击任务、应急迎检保障、节日保障及上级职能部门调动等突发任务；</w:t>
      </w:r>
    </w:p>
    <w:p w14:paraId="1B7BF40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付款方式</w:t>
      </w:r>
    </w:p>
    <w:p w14:paraId="4C88AF15">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（一）每季度结算一次。每季度服务结束后</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采购人</w:t>
      </w:r>
      <w:r>
        <w:rPr>
          <w:rFonts w:hint="eastAsia" w:ascii="宋体" w:hAnsi="宋体" w:eastAsia="宋体" w:cs="宋体"/>
          <w:b w:val="0"/>
          <w:bCs/>
          <w:color w:val="auto"/>
          <w:sz w:val="21"/>
          <w:szCs w:val="21"/>
          <w:highlight w:val="none"/>
        </w:rPr>
        <w:t>对</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该季度的服务进行验收，验收合格后，</w:t>
      </w:r>
      <w:r>
        <w:rPr>
          <w:rFonts w:hint="eastAsia" w:ascii="宋体" w:hAnsi="宋体" w:eastAsia="宋体" w:cs="宋体"/>
          <w:b w:val="0"/>
          <w:bCs/>
          <w:color w:val="auto"/>
          <w:sz w:val="21"/>
          <w:szCs w:val="21"/>
          <w:highlight w:val="none"/>
          <w:lang w:val="en-US" w:eastAsia="zh-CN"/>
        </w:rPr>
        <w:t>中标人向采购人提交上季度服务费用的请款材料及发票，经采购人审核确认并根据考核办法扣除相应的服务费（如有）后，采购人向中标人支付相应的服务费用。</w:t>
      </w:r>
    </w:p>
    <w:p w14:paraId="25F00857">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（二）中标人向采购人提供季度服务费发票，采购人收到发票并审核无误后30天内(如遇节假日顺延至第一个工作日) 为中标人办理季度服务费支付手续。</w:t>
      </w:r>
    </w:p>
    <w:p w14:paraId="6AB1FA31">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（三）中标人凭以下有效文件与采购人结算：</w:t>
      </w:r>
    </w:p>
    <w:p w14:paraId="222EC30D">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1、合同；</w:t>
      </w:r>
    </w:p>
    <w:p w14:paraId="1ACCFBFF">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2、中标人开具的正式发票；</w:t>
      </w:r>
    </w:p>
    <w:p w14:paraId="371D303F">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3、中标通知书；</w:t>
      </w:r>
    </w:p>
    <w:p w14:paraId="2577BDC3">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4、采购人要求提供的其他材料。</w:t>
      </w:r>
    </w:p>
    <w:p w14:paraId="039675FA">
      <w:pPr>
        <w:pStyle w:val="13"/>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（四）因采购人使用的是财政资金，采购人在前款规定的付款时间为向政府财政支付部门提出办理财政支付申请手续的时间 (不含政府财政支付部门审核的时间)，在规定时间内提出支付申请手续后即视为采购人已经按期支付。</w:t>
      </w:r>
    </w:p>
    <w:p w14:paraId="23B28D1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6FFF1FE4">
      <w:pPr>
        <w:pStyle w:val="2"/>
        <w:rPr>
          <w:rFonts w:hint="eastAsia"/>
          <w:color w:val="auto"/>
          <w:highlight w:val="none"/>
        </w:rPr>
      </w:pPr>
      <w:bookmarkStart w:id="134" w:name="_Toc20881"/>
    </w:p>
    <w:p w14:paraId="2842FE16">
      <w:pPr>
        <w:pStyle w:val="2"/>
        <w:rPr>
          <w:rFonts w:hint="eastAsia"/>
          <w:color w:val="auto"/>
          <w:highlight w:val="none"/>
        </w:rPr>
      </w:pPr>
    </w:p>
    <w:p w14:paraId="0425405D">
      <w:pPr>
        <w:pStyle w:val="2"/>
        <w:rPr>
          <w:rFonts w:hint="eastAsia"/>
          <w:color w:val="auto"/>
          <w:highlight w:val="none"/>
        </w:rPr>
      </w:pPr>
    </w:p>
    <w:p w14:paraId="20EA7790">
      <w:pPr>
        <w:pStyle w:val="2"/>
        <w:rPr>
          <w:rFonts w:hint="eastAsia"/>
          <w:color w:val="auto"/>
          <w:highlight w:val="none"/>
        </w:rPr>
      </w:pPr>
    </w:p>
    <w:p w14:paraId="2EFAF172">
      <w:pPr>
        <w:pStyle w:val="2"/>
        <w:rPr>
          <w:rFonts w:hint="eastAsia"/>
          <w:color w:val="auto"/>
          <w:highlight w:val="none"/>
        </w:rPr>
      </w:pPr>
    </w:p>
    <w:p w14:paraId="339596CE">
      <w:pPr>
        <w:pStyle w:val="2"/>
        <w:rPr>
          <w:color w:val="auto"/>
          <w:highlight w:val="none"/>
        </w:rPr>
      </w:pPr>
      <w:r>
        <w:rPr>
          <w:rFonts w:hint="eastAsia"/>
          <w:color w:val="auto"/>
          <w:highlight w:val="none"/>
        </w:rPr>
        <w:t>第三部分合同草案</w:t>
      </w:r>
      <w:bookmarkEnd w:id="130"/>
      <w:bookmarkEnd w:id="134"/>
    </w:p>
    <w:p w14:paraId="00D837FF">
      <w:pPr>
        <w:rPr>
          <w:rFonts w:ascii="宋体" w:hAnsi="宋体"/>
          <w:color w:val="auto"/>
          <w:highlight w:val="none"/>
          <w:lang w:val="zh-CN"/>
        </w:rPr>
      </w:pPr>
    </w:p>
    <w:bookmarkEnd w:id="64"/>
    <w:bookmarkEnd w:id="65"/>
    <w:bookmarkEnd w:id="66"/>
    <w:bookmarkEnd w:id="67"/>
    <w:p w14:paraId="450F9636">
      <w:pPr>
        <w:rPr>
          <w:rFonts w:ascii="黑体" w:hAnsi="黑体" w:eastAsia="黑体" w:cs="黑体"/>
          <w:color w:val="auto"/>
          <w:sz w:val="32"/>
          <w:szCs w:val="32"/>
          <w:highlight w:val="none"/>
        </w:rPr>
      </w:pPr>
      <w:bookmarkStart w:id="135" w:name="_Toc57560596"/>
      <w:bookmarkStart w:id="136" w:name="_Toc58655986"/>
      <w:bookmarkStart w:id="137" w:name="_Toc59271279"/>
      <w:bookmarkStart w:id="138" w:name="_Toc57643893"/>
      <w:bookmarkStart w:id="139" w:name="_Toc108597122"/>
      <w:bookmarkStart w:id="140" w:name="_Toc58232752"/>
    </w:p>
    <w:p w14:paraId="7FC329B9">
      <w:pPr>
        <w:jc w:val="center"/>
        <w:rPr>
          <w:rFonts w:ascii="方正小标宋简体" w:hAnsi="方正小标宋简体" w:eastAsia="方正小标宋简体" w:cs="方正小标宋简体"/>
          <w:b/>
          <w:bCs/>
          <w:color w:val="auto"/>
          <w:sz w:val="52"/>
          <w:szCs w:val="52"/>
          <w:highlight w:val="none"/>
        </w:rPr>
      </w:pPr>
    </w:p>
    <w:p w14:paraId="13C0C015">
      <w:pPr>
        <w:jc w:val="center"/>
        <w:rPr>
          <w:rFonts w:ascii="方正小标宋简体" w:hAnsi="方正小标宋简体" w:eastAsia="方正小标宋简体" w:cs="方正小标宋简体"/>
          <w:b/>
          <w:bCs/>
          <w:color w:val="auto"/>
          <w:sz w:val="52"/>
          <w:szCs w:val="52"/>
          <w:highlight w:val="none"/>
        </w:rPr>
      </w:pPr>
    </w:p>
    <w:p w14:paraId="07B81857">
      <w:pPr>
        <w:jc w:val="left"/>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br w:type="page"/>
      </w:r>
    </w:p>
    <w:p w14:paraId="3A48FEB7">
      <w:pPr>
        <w:jc w:val="center"/>
        <w:rPr>
          <w:rFonts w:hint="eastAsia" w:ascii="Times New Roman" w:hAnsi="Times New Roman" w:eastAsia="方正小标宋简体" w:cs="方正小标宋简体"/>
          <w:b/>
          <w:bCs/>
          <w:color w:val="auto"/>
          <w:sz w:val="52"/>
          <w:szCs w:val="52"/>
          <w:highlight w:val="none"/>
          <w:lang w:eastAsia="zh-CN"/>
        </w:rPr>
      </w:pPr>
    </w:p>
    <w:p w14:paraId="498CAFB5">
      <w:pPr>
        <w:jc w:val="center"/>
        <w:rPr>
          <w:rFonts w:hint="eastAsia" w:ascii="方正小标宋简体" w:hAnsi="方正小标宋简体" w:eastAsia="方正小标宋简体" w:cs="方正小标宋简体"/>
          <w:b/>
          <w:bCs/>
          <w:color w:val="auto"/>
          <w:sz w:val="52"/>
          <w:szCs w:val="52"/>
          <w:highlight w:val="none"/>
        </w:rPr>
      </w:pPr>
    </w:p>
    <w:p w14:paraId="73B0F207">
      <w:pPr>
        <w:jc w:val="center"/>
        <w:rPr>
          <w:rFonts w:hint="eastAsia" w:ascii="方正小标宋简体" w:hAnsi="方正小标宋简体" w:eastAsia="方正小标宋简体" w:cs="方正小标宋简体"/>
          <w:b/>
          <w:bCs/>
          <w:color w:val="auto"/>
          <w:sz w:val="52"/>
          <w:szCs w:val="52"/>
          <w:highlight w:val="none"/>
          <w:lang w:eastAsia="zh-CN"/>
        </w:rPr>
      </w:pPr>
      <w:r>
        <w:rPr>
          <w:rFonts w:hint="eastAsia" w:ascii="Times New Roman" w:hAnsi="Times New Roman" w:eastAsia="方正小标宋简体" w:cs="方正小标宋简体"/>
          <w:b/>
          <w:bCs/>
          <w:color w:val="auto"/>
          <w:sz w:val="52"/>
          <w:szCs w:val="52"/>
          <w:highlight w:val="none"/>
          <w:lang w:eastAsia="zh-CN"/>
        </w:rPr>
        <w:t>2025</w:t>
      </w:r>
      <w:r>
        <w:rPr>
          <w:rFonts w:hint="eastAsia" w:ascii="方正小标宋简体" w:hAnsi="方正小标宋简体" w:eastAsia="方正小标宋简体" w:cs="方正小标宋简体"/>
          <w:b/>
          <w:bCs/>
          <w:color w:val="auto"/>
          <w:sz w:val="52"/>
          <w:szCs w:val="52"/>
          <w:highlight w:val="none"/>
          <w:lang w:eastAsia="zh-CN"/>
        </w:rPr>
        <w:t>年万顷沙镇生活垃圾分类督导</w:t>
      </w:r>
    </w:p>
    <w:p w14:paraId="5F61DFE5">
      <w:pPr>
        <w:jc w:val="center"/>
        <w:rPr>
          <w:rFonts w:hint="eastAsia" w:ascii="方正小标宋简体" w:hAnsi="方正小标宋简体" w:eastAsia="方正小标宋简体" w:cs="方正小标宋简体"/>
          <w:b/>
          <w:bCs/>
          <w:color w:val="auto"/>
          <w:sz w:val="52"/>
          <w:szCs w:val="52"/>
          <w:highlight w:val="none"/>
        </w:rPr>
      </w:pPr>
      <w:r>
        <w:rPr>
          <w:rFonts w:hint="eastAsia" w:ascii="方正小标宋简体" w:hAnsi="方正小标宋简体" w:eastAsia="方正小标宋简体" w:cs="方正小标宋简体"/>
          <w:b/>
          <w:bCs/>
          <w:color w:val="auto"/>
          <w:sz w:val="52"/>
          <w:szCs w:val="52"/>
          <w:highlight w:val="none"/>
          <w:lang w:eastAsia="zh-CN"/>
        </w:rPr>
        <w:t>服务项目</w:t>
      </w:r>
    </w:p>
    <w:p w14:paraId="050E22EE">
      <w:pPr>
        <w:jc w:val="center"/>
        <w:rPr>
          <w:rFonts w:hint="eastAsia" w:ascii="方正小标宋简体" w:hAnsi="方正小标宋简体" w:eastAsia="方正小标宋简体" w:cs="方正小标宋简体"/>
          <w:b/>
          <w:bCs/>
          <w:color w:val="auto"/>
          <w:sz w:val="32"/>
          <w:szCs w:val="32"/>
          <w:highlight w:val="none"/>
        </w:rPr>
      </w:pPr>
    </w:p>
    <w:p w14:paraId="7D006C3E">
      <w:pPr>
        <w:jc w:val="both"/>
        <w:rPr>
          <w:rFonts w:hint="eastAsia" w:ascii="方正小标宋简体" w:hAnsi="方正小标宋简体" w:eastAsia="方正小标宋简体" w:cs="方正小标宋简体"/>
          <w:b/>
          <w:bCs/>
          <w:color w:val="auto"/>
          <w:sz w:val="32"/>
          <w:szCs w:val="32"/>
          <w:highlight w:val="none"/>
        </w:rPr>
      </w:pPr>
    </w:p>
    <w:p w14:paraId="3545392D">
      <w:pPr>
        <w:jc w:val="center"/>
        <w:rPr>
          <w:rFonts w:hint="eastAsia" w:ascii="方正小标宋简体" w:hAnsi="方正小标宋简体" w:eastAsia="方正小标宋简体" w:cs="方正小标宋简体"/>
          <w:b/>
          <w:bCs/>
          <w:color w:val="auto"/>
          <w:sz w:val="84"/>
          <w:szCs w:val="84"/>
          <w:highlight w:val="none"/>
        </w:rPr>
      </w:pPr>
      <w:r>
        <w:rPr>
          <w:rFonts w:hint="eastAsia" w:ascii="方正小标宋简体" w:hAnsi="方正小标宋简体" w:eastAsia="方正小标宋简体" w:cs="方正小标宋简体"/>
          <w:b/>
          <w:bCs/>
          <w:color w:val="auto"/>
          <w:sz w:val="84"/>
          <w:szCs w:val="84"/>
          <w:highlight w:val="none"/>
        </w:rPr>
        <w:t>合</w:t>
      </w:r>
      <w:r>
        <w:rPr>
          <w:rFonts w:hint="eastAsia" w:ascii="方正小标宋简体" w:hAnsi="方正小标宋简体" w:eastAsia="方正小标宋简体" w:cs="方正小标宋简体"/>
          <w:b/>
          <w:bCs/>
          <w:color w:val="auto"/>
          <w:sz w:val="84"/>
          <w:szCs w:val="84"/>
          <w:highlight w:val="none"/>
          <w:lang w:val="en-US" w:eastAsia="zh-CN"/>
        </w:rPr>
        <w:t xml:space="preserve"> </w:t>
      </w:r>
      <w:r>
        <w:rPr>
          <w:rFonts w:hint="eastAsia" w:ascii="方正小标宋简体" w:hAnsi="方正小标宋简体" w:eastAsia="方正小标宋简体" w:cs="方正小标宋简体"/>
          <w:b/>
          <w:bCs/>
          <w:color w:val="auto"/>
          <w:sz w:val="84"/>
          <w:szCs w:val="84"/>
          <w:highlight w:val="none"/>
        </w:rPr>
        <w:t>同</w:t>
      </w:r>
      <w:r>
        <w:rPr>
          <w:rFonts w:hint="eastAsia" w:ascii="方正小标宋简体" w:hAnsi="方正小标宋简体" w:eastAsia="方正小标宋简体" w:cs="方正小标宋简体"/>
          <w:b/>
          <w:bCs/>
          <w:color w:val="auto"/>
          <w:sz w:val="84"/>
          <w:szCs w:val="84"/>
          <w:highlight w:val="none"/>
          <w:lang w:val="en-US" w:eastAsia="zh-CN"/>
        </w:rPr>
        <w:t xml:space="preserve"> </w:t>
      </w:r>
      <w:r>
        <w:rPr>
          <w:rFonts w:hint="eastAsia" w:ascii="方正小标宋简体" w:hAnsi="方正小标宋简体" w:eastAsia="方正小标宋简体" w:cs="方正小标宋简体"/>
          <w:b/>
          <w:bCs/>
          <w:color w:val="auto"/>
          <w:sz w:val="84"/>
          <w:szCs w:val="84"/>
          <w:highlight w:val="none"/>
        </w:rPr>
        <w:t>书</w:t>
      </w:r>
    </w:p>
    <w:p w14:paraId="2EC3F7C8">
      <w:pPr>
        <w:jc w:val="center"/>
        <w:rPr>
          <w:rFonts w:hint="eastAsia"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b/>
          <w:bCs/>
          <w:color w:val="auto"/>
          <w:sz w:val="36"/>
          <w:szCs w:val="36"/>
          <w:highlight w:val="none"/>
          <w:lang w:eastAsia="zh-CN"/>
        </w:rPr>
        <w:t>（</w:t>
      </w:r>
      <w:r>
        <w:rPr>
          <w:rFonts w:hint="eastAsia" w:ascii="方正小标宋简体" w:hAnsi="方正小标宋简体" w:eastAsia="方正小标宋简体" w:cs="方正小标宋简体"/>
          <w:b/>
          <w:bCs/>
          <w:color w:val="auto"/>
          <w:sz w:val="36"/>
          <w:szCs w:val="36"/>
          <w:highlight w:val="none"/>
          <w:lang w:val="en-US" w:eastAsia="zh-CN"/>
        </w:rPr>
        <w:t>具体以实际签订为准</w:t>
      </w:r>
      <w:r>
        <w:rPr>
          <w:rFonts w:hint="eastAsia" w:ascii="方正小标宋简体" w:hAnsi="方正小标宋简体" w:eastAsia="方正小标宋简体" w:cs="方正小标宋简体"/>
          <w:b/>
          <w:bCs/>
          <w:color w:val="auto"/>
          <w:sz w:val="36"/>
          <w:szCs w:val="36"/>
          <w:highlight w:val="none"/>
          <w:lang w:eastAsia="zh-CN"/>
        </w:rPr>
        <w:t>）</w:t>
      </w:r>
    </w:p>
    <w:p w14:paraId="1C570508">
      <w:pPr>
        <w:rPr>
          <w:rFonts w:hint="eastAsia" w:ascii="Calibri" w:hAnsi="Calibri"/>
          <w:color w:val="auto"/>
          <w:highlight w:val="none"/>
        </w:rPr>
      </w:pPr>
    </w:p>
    <w:p w14:paraId="773953B2">
      <w:pPr>
        <w:rPr>
          <w:rFonts w:hint="eastAsia" w:ascii="Calibri" w:hAnsi="Calibri"/>
          <w:color w:val="auto"/>
          <w:highlight w:val="none"/>
        </w:rPr>
      </w:pPr>
    </w:p>
    <w:p w14:paraId="5F2DD61A">
      <w:pPr>
        <w:rPr>
          <w:rFonts w:hint="eastAsia" w:ascii="Calibri" w:hAnsi="Calibri"/>
          <w:color w:val="auto"/>
          <w:highlight w:val="none"/>
        </w:rPr>
      </w:pPr>
    </w:p>
    <w:p w14:paraId="63D49005">
      <w:pPr>
        <w:rPr>
          <w:rFonts w:hint="eastAsia" w:ascii="Calibri" w:hAnsi="Calibri"/>
          <w:color w:val="auto"/>
          <w:highlight w:val="none"/>
        </w:rPr>
      </w:pPr>
    </w:p>
    <w:p w14:paraId="6D2C76B1">
      <w:pPr>
        <w:rPr>
          <w:rFonts w:hint="eastAsia" w:ascii="Calibri" w:hAnsi="Calibri"/>
          <w:color w:val="auto"/>
          <w:sz w:val="32"/>
          <w:szCs w:val="32"/>
          <w:highlight w:val="none"/>
        </w:rPr>
      </w:pPr>
    </w:p>
    <w:p w14:paraId="08E21622">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firstLine="640" w:firstLineChars="200"/>
        <w:textAlignment w:val="auto"/>
        <w:rPr>
          <w:rFonts w:hint="eastAsia" w:ascii="Calibri" w:hAnsi="Calibri"/>
          <w:color w:val="auto"/>
          <w:sz w:val="32"/>
          <w:szCs w:val="32"/>
          <w:highlight w:val="none"/>
          <w:lang w:val="en-US" w:eastAsia="zh-CN"/>
        </w:rPr>
      </w:pPr>
      <w:r>
        <w:rPr>
          <w:rFonts w:hint="eastAsia" w:ascii="Calibri" w:hAnsi="Calibri"/>
          <w:color w:val="auto"/>
          <w:sz w:val="32"/>
          <w:szCs w:val="32"/>
          <w:highlight w:val="none"/>
          <w:lang w:val="en-US" w:eastAsia="zh-CN"/>
        </w:rPr>
        <w:t>项目编号：</w:t>
      </w:r>
    </w:p>
    <w:p w14:paraId="25F09324">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firstLine="640" w:firstLineChars="200"/>
        <w:textAlignment w:val="auto"/>
        <w:rPr>
          <w:rFonts w:hint="eastAsia" w:ascii="Calibri" w:hAnsi="Calibri"/>
          <w:color w:val="auto"/>
          <w:sz w:val="32"/>
          <w:szCs w:val="32"/>
          <w:highlight w:val="none"/>
          <w:lang w:val="en-US" w:eastAsia="zh-CN"/>
        </w:rPr>
      </w:pPr>
      <w:r>
        <w:rPr>
          <w:rFonts w:hint="eastAsia" w:ascii="Calibri" w:hAnsi="Calibri"/>
          <w:color w:val="auto"/>
          <w:sz w:val="32"/>
          <w:szCs w:val="32"/>
          <w:highlight w:val="none"/>
          <w:lang w:val="en-US" w:eastAsia="zh-CN"/>
        </w:rPr>
        <w:t>项目名称：</w:t>
      </w:r>
      <w:r>
        <w:rPr>
          <w:rFonts w:hint="eastAsia" w:ascii="Times New Roman" w:hAnsi="Times New Roman"/>
          <w:color w:val="auto"/>
          <w:sz w:val="32"/>
          <w:szCs w:val="32"/>
          <w:highlight w:val="none"/>
          <w:lang w:val="en-US" w:eastAsia="zh-CN"/>
        </w:rPr>
        <w:t>2025</w:t>
      </w:r>
      <w:r>
        <w:rPr>
          <w:rFonts w:hint="eastAsia" w:ascii="Calibri" w:hAnsi="Calibri"/>
          <w:color w:val="auto"/>
          <w:sz w:val="32"/>
          <w:szCs w:val="32"/>
          <w:highlight w:val="none"/>
          <w:lang w:val="en-US" w:eastAsia="zh-CN"/>
        </w:rPr>
        <w:t>年万顷沙镇生活垃圾分类督导服务项目</w:t>
      </w:r>
    </w:p>
    <w:p w14:paraId="335A13ED">
      <w:pPr>
        <w:keepNext w:val="0"/>
        <w:keepLines w:val="0"/>
        <w:pageBreakBefore w:val="0"/>
        <w:widowControl w:val="0"/>
        <w:kinsoku/>
        <w:wordWrap/>
        <w:overflowPunct/>
        <w:topLinePunct w:val="0"/>
        <w:autoSpaceDE/>
        <w:autoSpaceDN/>
        <w:bidi w:val="0"/>
        <w:adjustRightInd/>
        <w:snapToGrid/>
        <w:spacing w:after="157" w:afterLines="50" w:line="480" w:lineRule="auto"/>
        <w:ind w:left="0" w:leftChars="0" w:firstLine="640" w:firstLineChars="200"/>
        <w:textAlignment w:val="auto"/>
        <w:rPr>
          <w:rFonts w:hint="default" w:ascii="Calibri" w:hAnsi="Calibri"/>
          <w:color w:val="auto"/>
          <w:sz w:val="32"/>
          <w:szCs w:val="32"/>
          <w:highlight w:val="none"/>
          <w:lang w:val="en-US" w:eastAsia="zh-CN"/>
        </w:rPr>
      </w:pPr>
      <w:r>
        <w:rPr>
          <w:rFonts w:hint="eastAsia" w:ascii="Calibri" w:hAnsi="Calibri"/>
          <w:color w:val="auto"/>
          <w:sz w:val="32"/>
          <w:szCs w:val="32"/>
          <w:highlight w:val="none"/>
          <w:lang w:val="en-US" w:eastAsia="zh-CN"/>
        </w:rPr>
        <w:t>签订日期：</w:t>
      </w:r>
      <w:r>
        <w:rPr>
          <w:rFonts w:hint="eastAsia" w:ascii="宋体" w:hAnsi="Times New Roman" w:eastAsia="宋体" w:cs="Times New Roman"/>
          <w:b w:val="0"/>
          <w:color w:val="auto"/>
          <w:kern w:val="2"/>
          <w:sz w:val="32"/>
          <w:szCs w:val="32"/>
          <w:highlight w:val="none"/>
          <w:lang w:val="en-US" w:eastAsia="zh-CN" w:bidi="ar-SA"/>
        </w:rPr>
        <w:t>二○</w:t>
      </w:r>
      <w:r>
        <w:rPr>
          <w:rFonts w:hint="eastAsia" w:ascii="Calibri" w:hAnsi="Calibri"/>
          <w:color w:val="auto"/>
          <w:sz w:val="32"/>
          <w:szCs w:val="32"/>
          <w:highlight w:val="none"/>
          <w:lang w:val="en-US" w:eastAsia="zh-CN"/>
        </w:rPr>
        <w:t xml:space="preserve">    年     月      日</w:t>
      </w:r>
    </w:p>
    <w:p w14:paraId="02EA3359">
      <w:pPr>
        <w:rPr>
          <w:rFonts w:hint="eastAsia" w:ascii="Calibri" w:hAnsi="Calibri"/>
          <w:color w:val="auto"/>
          <w:highlight w:val="none"/>
        </w:rPr>
      </w:pPr>
    </w:p>
    <w:p w14:paraId="3A9A6CDB">
      <w:pPr>
        <w:rPr>
          <w:rFonts w:hint="eastAsia" w:ascii="Calibri" w:hAnsi="Calibri"/>
          <w:color w:val="auto"/>
          <w:highlight w:val="none"/>
        </w:rPr>
      </w:pPr>
    </w:p>
    <w:p w14:paraId="5A8F5814">
      <w:pPr>
        <w:rPr>
          <w:rFonts w:hint="eastAsia" w:ascii="Calibri" w:hAnsi="Calibri"/>
          <w:color w:val="auto"/>
          <w:highlight w:val="none"/>
        </w:rPr>
      </w:pPr>
    </w:p>
    <w:p w14:paraId="7564B7DE">
      <w:pPr>
        <w:rPr>
          <w:rFonts w:hint="eastAsia" w:ascii="Calibri" w:hAnsi="Calibri"/>
          <w:color w:val="auto"/>
          <w:highlight w:val="none"/>
        </w:rPr>
      </w:pPr>
    </w:p>
    <w:p w14:paraId="6DFB9C75">
      <w:pPr>
        <w:keepNext w:val="0"/>
        <w:keepLines w:val="0"/>
        <w:pageBreakBefore w:val="0"/>
        <w:widowControl/>
        <w:suppressLineNumbers w:val="0"/>
        <w:kinsoku/>
        <w:wordWrap/>
        <w:overflowPunct/>
        <w:topLinePunct w:val="0"/>
        <w:autoSpaceDE/>
        <w:autoSpaceDN/>
        <w:bidi w:val="0"/>
        <w:adjustRightInd/>
        <w:snapToGrid/>
        <w:spacing w:line="500" w:lineRule="exact"/>
        <w:ind w:left="2560" w:hanging="2560" w:hangingChars="800"/>
        <w:jc w:val="left"/>
        <w:textAlignment w:val="auto"/>
        <w:rPr>
          <w:rFonts w:hint="eastAsia" w:ascii="仿宋_GB2312" w:hAnsi="仿宋_GB2312" w:eastAsia="仿宋_GB2312" w:cs="仿宋_GB2312"/>
          <w:color w:val="auto"/>
          <w:sz w:val="32"/>
          <w:szCs w:val="32"/>
          <w:highlight w:val="none"/>
          <w:lang w:val="en-US" w:eastAsia="zh-CN"/>
        </w:rPr>
        <w:sectPr>
          <w:pgSz w:w="11906" w:h="16838"/>
          <w:pgMar w:top="1270" w:right="1474" w:bottom="1327" w:left="1587" w:header="851" w:footer="992" w:gutter="0"/>
          <w:cols w:space="425" w:num="1"/>
          <w:docGrid w:type="lines" w:linePitch="312" w:charSpace="0"/>
        </w:sectPr>
      </w:pPr>
    </w:p>
    <w:p w14:paraId="7DEA955C">
      <w:pPr>
        <w:keepNext w:val="0"/>
        <w:keepLines w:val="0"/>
        <w:pageBreakBefore w:val="0"/>
        <w:widowControl/>
        <w:suppressLineNumbers w:val="0"/>
        <w:kinsoku/>
        <w:wordWrap/>
        <w:overflowPunct/>
        <w:topLinePunct w:val="0"/>
        <w:autoSpaceDE/>
        <w:autoSpaceDN/>
        <w:bidi w:val="0"/>
        <w:adjustRightInd/>
        <w:snapToGrid/>
        <w:spacing w:line="500" w:lineRule="exact"/>
        <w:ind w:left="2560" w:hanging="1680" w:hangingChars="8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甲方（采购人）：</w:t>
      </w:r>
      <w:r>
        <w:rPr>
          <w:rFonts w:hint="eastAsia" w:ascii="宋体" w:hAnsi="宋体" w:eastAsia="宋体" w:cs="宋体"/>
          <w:color w:val="auto"/>
          <w:kern w:val="2"/>
          <w:sz w:val="21"/>
          <w:szCs w:val="21"/>
          <w:highlight w:val="none"/>
          <w:lang w:val="en-US" w:eastAsia="zh-CN" w:bidi="ar-SA"/>
        </w:rPr>
        <w:t xml:space="preserve"> 广州市南沙区万顷沙镇人民政府（以下简称“甲方”）</w:t>
      </w:r>
    </w:p>
    <w:p w14:paraId="3204252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 话：84942602   传 真：8493206</w:t>
      </w:r>
    </w:p>
    <w:p w14:paraId="0C00C21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 址：南沙区万顷沙镇光明路49号</w:t>
      </w:r>
    </w:p>
    <w:p w14:paraId="577C126A">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1"/>
          <w:szCs w:val="21"/>
          <w:highlight w:val="none"/>
          <w:lang w:val="en-US" w:eastAsia="zh-CN" w:bidi="ar-SA"/>
        </w:rPr>
      </w:pPr>
    </w:p>
    <w:p w14:paraId="4E88A1BF">
      <w:pPr>
        <w:keepNext w:val="0"/>
        <w:keepLines w:val="0"/>
        <w:pageBreakBefore w:val="0"/>
        <w:kinsoku/>
        <w:wordWrap/>
        <w:overflowPunct/>
        <w:topLinePunct w:val="0"/>
        <w:autoSpaceDE/>
        <w:autoSpaceDN/>
        <w:bidi w:val="0"/>
        <w:adjustRightInd/>
        <w:snapToGrid/>
        <w:spacing w:line="500" w:lineRule="exact"/>
        <w:ind w:left="2560" w:hanging="1680" w:hangingChars="8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乙 方（中标人）：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公司（以下简称“乙方”）</w:t>
      </w:r>
    </w:p>
    <w:p w14:paraId="1476C4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 话：</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传 真：</w:t>
      </w:r>
      <w:r>
        <w:rPr>
          <w:rFonts w:hint="eastAsia" w:ascii="宋体" w:hAnsi="宋体" w:eastAsia="宋体" w:cs="宋体"/>
          <w:color w:val="auto"/>
          <w:kern w:val="2"/>
          <w:sz w:val="21"/>
          <w:szCs w:val="21"/>
          <w:highlight w:val="none"/>
          <w:u w:val="single"/>
          <w:lang w:val="en-US" w:eastAsia="zh-CN" w:bidi="ar-SA"/>
        </w:rPr>
        <w:t xml:space="preserve">          </w:t>
      </w:r>
    </w:p>
    <w:p w14:paraId="4E3DB4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地 址：</w:t>
      </w:r>
      <w:r>
        <w:rPr>
          <w:rFonts w:hint="eastAsia" w:ascii="宋体" w:hAnsi="宋体" w:eastAsia="宋体" w:cs="宋体"/>
          <w:color w:val="auto"/>
          <w:kern w:val="2"/>
          <w:sz w:val="21"/>
          <w:szCs w:val="21"/>
          <w:highlight w:val="none"/>
          <w:u w:val="single"/>
          <w:lang w:val="en-US" w:eastAsia="zh-CN" w:bidi="ar-SA"/>
        </w:rPr>
        <w:t xml:space="preserve">                 </w:t>
      </w:r>
    </w:p>
    <w:p w14:paraId="3DBB2320">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sz w:val="21"/>
          <w:szCs w:val="21"/>
          <w:highlight w:val="none"/>
          <w:lang w:val="en-US" w:eastAsia="zh-CN"/>
        </w:rPr>
      </w:pPr>
    </w:p>
    <w:p w14:paraId="545B7F61">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根据2025年万顷沙镇生活垃圾分类督导服务项目（项目编号： GZZT2024CSCG-024）的磋商文件和磋商结果，参照《中华人民共和国政府采购法》及其实施条例、《中华人民共和国民法典》的规定，经双方协商，本着平等互利和诚实信用的原则，一致同意签订本合同如下。</w:t>
      </w:r>
    </w:p>
    <w:p w14:paraId="544184A6">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一、合同项目</w:t>
      </w:r>
    </w:p>
    <w:tbl>
      <w:tblPr>
        <w:tblStyle w:val="3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670"/>
        <w:gridCol w:w="2502"/>
        <w:gridCol w:w="2782"/>
      </w:tblGrid>
      <w:tr w14:paraId="431D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56" w:type="dxa"/>
            <w:vAlign w:val="center"/>
          </w:tcPr>
          <w:p w14:paraId="05A5934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3670" w:type="dxa"/>
            <w:vAlign w:val="center"/>
          </w:tcPr>
          <w:p w14:paraId="4C62116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项目内容</w:t>
            </w:r>
          </w:p>
        </w:tc>
        <w:tc>
          <w:tcPr>
            <w:tcW w:w="2502" w:type="dxa"/>
            <w:vAlign w:val="center"/>
          </w:tcPr>
          <w:p w14:paraId="1886AE9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中标金额（元）</w:t>
            </w:r>
          </w:p>
        </w:tc>
        <w:tc>
          <w:tcPr>
            <w:tcW w:w="2782" w:type="dxa"/>
            <w:vAlign w:val="center"/>
          </w:tcPr>
          <w:p w14:paraId="3F339F2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服务期限</w:t>
            </w:r>
          </w:p>
        </w:tc>
      </w:tr>
      <w:tr w14:paraId="5443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456" w:type="dxa"/>
            <w:vAlign w:val="center"/>
          </w:tcPr>
          <w:p w14:paraId="6FB0889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3670" w:type="dxa"/>
            <w:vAlign w:val="center"/>
          </w:tcPr>
          <w:p w14:paraId="1C6A05E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2025年万顷沙镇生活</w:t>
            </w:r>
          </w:p>
          <w:p w14:paraId="5FD892A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垃圾分类督导服务项目</w:t>
            </w:r>
          </w:p>
        </w:tc>
        <w:tc>
          <w:tcPr>
            <w:tcW w:w="2502" w:type="dxa"/>
            <w:vAlign w:val="center"/>
          </w:tcPr>
          <w:p w14:paraId="209DA64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p>
        </w:tc>
        <w:tc>
          <w:tcPr>
            <w:tcW w:w="2782" w:type="dxa"/>
            <w:vAlign w:val="center"/>
          </w:tcPr>
          <w:p w14:paraId="15E51FB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2024年9月1日至</w:t>
            </w:r>
          </w:p>
          <w:p w14:paraId="298BFA0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2025年8月31日</w:t>
            </w:r>
          </w:p>
        </w:tc>
      </w:tr>
    </w:tbl>
    <w:p w14:paraId="057EA682">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二、合同金额</w:t>
      </w:r>
    </w:p>
    <w:p w14:paraId="5AF19989">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合同金额为（大写）：</w:t>
      </w:r>
      <w:r>
        <w:rPr>
          <w:rFonts w:hint="eastAsia" w:ascii="宋体" w:hAnsi="宋体" w:eastAsia="宋体" w:cs="宋体"/>
          <w:b w:val="0"/>
          <w:bCs/>
          <w:color w:val="auto"/>
          <w:kern w:val="2"/>
          <w:sz w:val="21"/>
          <w:szCs w:val="21"/>
          <w:highlight w:val="none"/>
          <w:u w:val="singl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元（大写：</w:t>
      </w:r>
      <w:r>
        <w:rPr>
          <w:rFonts w:hint="eastAsia" w:ascii="宋体" w:hAnsi="宋体" w:eastAsia="宋体" w:cs="宋体"/>
          <w:b w:val="0"/>
          <w:bCs/>
          <w:color w:val="auto"/>
          <w:kern w:val="2"/>
          <w:sz w:val="21"/>
          <w:szCs w:val="21"/>
          <w:highlight w:val="none"/>
          <w:u w:val="single"/>
          <w:lang w:val="en-US" w:eastAsia="zh-CN" w:bidi="ar-SA"/>
        </w:rPr>
        <w:t xml:space="preserve">          </w:t>
      </w:r>
      <w:r>
        <w:rPr>
          <w:rFonts w:hint="eastAsia" w:ascii="宋体" w:hAnsi="宋体" w:eastAsia="宋体" w:cs="宋体"/>
          <w:b w:val="0"/>
          <w:bCs/>
          <w:color w:val="auto"/>
          <w:kern w:val="2"/>
          <w:sz w:val="21"/>
          <w:szCs w:val="21"/>
          <w:highlight w:val="none"/>
          <w:lang w:val="en-US" w:eastAsia="zh-CN" w:bidi="ar-SA"/>
        </w:rPr>
        <w:t>），该金额包括但不限于乙方履行本合同所需的各项工作的成本、人工、材料、交通、税金及合同实施过程中不可预见费用等一切费用。</w:t>
      </w:r>
    </w:p>
    <w:p w14:paraId="2ECFD4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三、服务内容</w:t>
      </w:r>
    </w:p>
    <w:p w14:paraId="34A11E15">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（一）每月实地工作检查与指导</w:t>
      </w:r>
    </w:p>
    <w:p w14:paraId="5C79587F">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依据《DB4401 T 144-2022生活垃圾分类设施配置及作业规范》规范，按照《2024年南沙区生活垃圾分类处理工作考核方案》内容开展实地检查评估工作，每月检查单位（含三类单位、居住小区、农村等）不少于350个次，开展垃圾分类现场工作(日常宣传、指导培训、容器配置、投放模式、点位检查、点位优化提升、分类投放、分类收集等)进行检查、指导并督促单位整改、做好三类单位创建及维护等工作,完成农村、居住小区100%全覆盖，抽取村（居）三类单位进行检查。</w:t>
      </w:r>
    </w:p>
    <w:p w14:paraId="0383A84C">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（二）现场台账资料检查与指导</w:t>
      </w:r>
    </w:p>
    <w:p w14:paraId="664C0AFE">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1.根据《2024年南沙区生活垃圾分类处理工作考核方案》《南沙区实施生活垃圾分类收运考核工作方案》要求，构建我镇生活垃圾分类处理工作台账、生活垃圾分类收运工作台账，分析工作形势提出指导意见。</w:t>
      </w:r>
    </w:p>
    <w:p w14:paraId="7C844A36">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2.按照《做好2024年南沙区农村生活垃圾分类和资源化利用工作》文件要求，开展年度农村生活垃圾分类和资源化利用典型村创建并对万顷沙镇垃圾分类台账及16个村（居）单位的垃圾分类处理工作台账进行检查、指导并督促村（居）整改等工作。    </w:t>
      </w:r>
    </w:p>
    <w:p w14:paraId="336A0D9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（三）每月实地组织开展分类宣传和培训</w:t>
      </w:r>
    </w:p>
    <w:p w14:paraId="6C62246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按照《南沙区2024年生活垃圾分类处理工作要点》《南沙区2024年生活垃圾分类宣传工作方案》《南沙区2024年生活垃圾分类“入点”宣传培训方案》的文件要求，组织开展垃圾分类宣传工作,宣传方式涵盖（垃圾分类全民行动日活动、镇主题宣传活动、村（居）主题宣传活动、类型单位主题宣传活动、居住小区投放点“入点”宣传培训活动等）。通过一系列垃圾分类专题宣传及分类知识培训，持续提高群众对分类的意识、通过有趣生动的宣传活动，提升分类成效。按照要求，每月不少于25场宣传或培训活动。</w:t>
      </w:r>
    </w:p>
    <w:p w14:paraId="1141630C">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（四）媒体报道</w:t>
      </w:r>
    </w:p>
    <w:p w14:paraId="13EBF18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根据《</w:t>
      </w:r>
      <w:r>
        <w:rPr>
          <w:rFonts w:hint="eastAsia" w:ascii="宋体" w:hAnsi="宋体" w:eastAsia="宋体" w:cs="宋体"/>
          <w:b w:val="0"/>
          <w:bCs/>
          <w:i w:val="0"/>
          <w:color w:val="auto"/>
          <w:kern w:val="2"/>
          <w:sz w:val="21"/>
          <w:szCs w:val="21"/>
          <w:highlight w:val="none"/>
          <w:lang w:val="en-US" w:eastAsia="zh-CN" w:bidi="ar-SA"/>
        </w:rPr>
        <w:t>2024</w:t>
      </w:r>
      <w:r>
        <w:rPr>
          <w:rFonts w:hint="eastAsia" w:ascii="宋体" w:hAnsi="宋体" w:eastAsia="宋体" w:cs="宋体"/>
          <w:b w:val="0"/>
          <w:bCs/>
          <w:color w:val="auto"/>
          <w:kern w:val="2"/>
          <w:sz w:val="21"/>
          <w:szCs w:val="21"/>
          <w:highlight w:val="none"/>
          <w:lang w:val="en-US" w:eastAsia="zh-CN" w:bidi="ar-SA"/>
        </w:rPr>
        <w:t>年南沙区生活垃圾分类处理工作考核方案》《2024年南沙区镇（街）月考核评分加减分项》的工作要求，开展媒体宣传，在央级媒体电视台、报纸、杂志(app或其他线上形式)等开展正面宣传报道，每月2次；在省级、市级媒体电视台、报纸、杂志(app或其他线上形式)等开展正面宣传，每月2次。负责活动的方案、策划、新闻稿，协助制定当月宣传主题、活动内容，并结合万顷沙分类工作特色与经验总结，发布新闻稿。</w:t>
      </w:r>
    </w:p>
    <w:p w14:paraId="5581E7C0">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（五）</w:t>
      </w:r>
      <w:bookmarkStart w:id="141" w:name="OLE_LINK4"/>
      <w:r>
        <w:rPr>
          <w:rFonts w:hint="eastAsia" w:ascii="宋体" w:hAnsi="宋体" w:eastAsia="宋体" w:cs="宋体"/>
          <w:b/>
          <w:bCs w:val="0"/>
          <w:color w:val="auto"/>
          <w:kern w:val="2"/>
          <w:sz w:val="21"/>
          <w:szCs w:val="21"/>
          <w:highlight w:val="none"/>
          <w:lang w:val="en-US" w:eastAsia="zh-CN" w:bidi="ar-SA"/>
        </w:rPr>
        <w:t>积极在信息化系统报送相关工作</w:t>
      </w:r>
      <w:bookmarkEnd w:id="141"/>
    </w:p>
    <w:p w14:paraId="73CEB7D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1.根据广州市城市管理和综合执法局要求，使用“穗时尚+”维护我镇生活垃圾分类投放点点位信息，按周、月填报家庭厨余垃圾产生量，对上级检查投放点问题整改进行汇报等工作。</w:t>
      </w:r>
    </w:p>
    <w:p w14:paraId="1287181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2.使用“志愿时”开展我镇生活垃圾分类志愿服务队日常管理工作，包括组建生活垃圾分类志愿服务队、志愿者招募、志愿活动服务发布和志愿工作信息统计汇报等工作。</w:t>
      </w:r>
    </w:p>
    <w:p w14:paraId="467A27D2">
      <w:pPr>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（六）</w:t>
      </w:r>
      <w:bookmarkStart w:id="142" w:name="OLE_LINK5"/>
      <w:r>
        <w:rPr>
          <w:rFonts w:hint="eastAsia" w:ascii="宋体" w:hAnsi="宋体" w:eastAsia="宋体" w:cs="宋体"/>
          <w:b/>
          <w:bCs w:val="0"/>
          <w:color w:val="auto"/>
          <w:kern w:val="2"/>
          <w:sz w:val="21"/>
          <w:szCs w:val="21"/>
          <w:highlight w:val="none"/>
          <w:lang w:val="en-US" w:eastAsia="zh-CN" w:bidi="ar-SA"/>
        </w:rPr>
        <w:t>积极宣传餐厨垃圾（含废弃食用油脂）收运处置政策</w:t>
      </w:r>
      <w:bookmarkEnd w:id="142"/>
    </w:p>
    <w:p w14:paraId="1EE98B9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根据《广州市南沙区餐厨垃圾（含废弃食用油脂）收运处置专项整治工作方案》要求，针对餐厨垃圾产生单位（如：农贸市场、生鲜超市、餐饮经营店铺、企业单位饭堂等），开展餐厨垃圾专收、废弃食用油脂处置对接、做好相关协议签署、数据汇报等工作。</w:t>
      </w:r>
    </w:p>
    <w:p w14:paraId="0F0226AA">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四、项目实施要求</w:t>
      </w:r>
    </w:p>
    <w:p w14:paraId="2CAC8604">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（一）乙方应在本合同生效后3个工作日内组建为本项目提供服务的团队，并提供给甲方确认，项目团队成员应具备项目所需的资格、专业技能和经验，未经甲方同意，乙方不得擅自更换项目团队成员。</w:t>
      </w:r>
    </w:p>
    <w:p w14:paraId="0D2E254A">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（二）服务实施过程中，乙方应按期保质保量的提供项目服务内容，并及时响应甲方的需求和要求。甲方有权审核乙方的服务成果，如甲方审核不通过的，乙方应在甲方规定时间内修改，直到通过甲方的审核。</w:t>
      </w:r>
    </w:p>
    <w:p w14:paraId="69101616">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（三）在项目活动开展过程中，乙方应指派足够服务人员投入甲方服务项目中，以确保项目活动能顺利进行。</w:t>
      </w:r>
    </w:p>
    <w:p w14:paraId="78F75693">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（四）未经甲方同意，不得擅自向第三方转包或分包项目内容。</w:t>
      </w:r>
    </w:p>
    <w:p w14:paraId="025A33AC">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（五）乙方必须按照国家规定的法律法规，自行负责乙方服务人员的各项工资福利待遇、人身和财产安全、以及其他乙方作为用人单位应履行的全部义务及责任。</w:t>
      </w:r>
    </w:p>
    <w:p w14:paraId="4659EEE1">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五、服务质量考核</w:t>
      </w:r>
    </w:p>
    <w:p w14:paraId="302836A7">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（一）实行服务质量双考核</w:t>
      </w:r>
    </w:p>
    <w:p w14:paraId="289D2E7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1、甲方使用《2025年万顷沙镇生活垃圾分类督导服务项目月考核评分表》对乙方开展每月考评，按季度总得分取其平均值作为季度考评成绩，考评结果89分及以下的；</w:t>
      </w:r>
    </w:p>
    <w:p w14:paraId="67DF27E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2、根据《南沙区生活垃圾分类工作检查情况的通报》每月对全区各镇街进行考评排名，如乙方在任意月的考评结果为第八至第十名的；</w:t>
      </w:r>
    </w:p>
    <w:p w14:paraId="02753A4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3、如同时出现上述第一点、第二点的考评情况，将扣除考评周期内服务费2000元（如乙方在考评周期内，任意触发其中一点的考评情况的，则不需要扣取考评周期内的服务费用）；</w:t>
      </w:r>
    </w:p>
    <w:p w14:paraId="61C84F4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4、如乙方出现被扣除款项的情况，在下一个考评周期内受到上级嘉奖的，甲方将上一考评周期已扣除的对应款项全部退还给乙方。</w:t>
      </w:r>
    </w:p>
    <w:p w14:paraId="0FB814A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二）乙方在全国、省、市等的重要检查或重大突击性任务中，发现有质量责任问题，经查属实，且不及时或不配合整改的承包区域受到上级通报批评的，乙方应承担相关责任，甲方可以在当季服务费用5%-50%的范围内扣减服务费。</w:t>
      </w:r>
    </w:p>
    <w:p w14:paraId="4471EEA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三）对于市、区、镇环境卫生监督管理部门提出的整改意见或群众投诉、传媒曝光等问题，乙方在限期内不进行整改（或整改后，经市、区垃圾分类监督管理部门检查仍不符合质量标准要求），每发生一次，甲方有权扣减乙方当月服务费用的1%；服务期限内每季度累计三次者，甲方有权解除服务合同。</w:t>
      </w:r>
    </w:p>
    <w:p w14:paraId="1BCC4297">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四）未经甲方同意，乙方不得在承包范围内从事环境卫生、垃圾分类等服务收费工作，一旦发现经查属实，甲方有权按乙方实际收取金额的10倍扣减当月服务费用，并追究相关责任；甲方有权立即解除服务合同。</w:t>
      </w:r>
    </w:p>
    <w:p w14:paraId="1BBCDF5B">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（五）随时响应应急突击任务、应急迎检保障、节日保障及上级职能部门调动等突发任务；</w:t>
      </w:r>
    </w:p>
    <w:p w14:paraId="356EC12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六、付款方式</w:t>
      </w:r>
    </w:p>
    <w:p w14:paraId="6EA0F35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一）每季度结算一次。每季度服务结束后，甲方对乙方该季度的服务进行验收，验收合格后，乙方向甲方提交上季度服务费用的请款材料及发票，经甲方审核确认并根据考核办法扣除相应的服务费（如有）后，甲方向乙方支付相应的服务费用。</w:t>
      </w:r>
    </w:p>
    <w:p w14:paraId="1107E0D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（二）乙方向甲方提供季度服务费发票，甲方收到发票并审核无误后30天内(如遇节假日顺延至第一个工作日) 为乙方办理季度服务费支付手续。</w:t>
      </w:r>
    </w:p>
    <w:p w14:paraId="0E90ADA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（三）乙方凭以下有效文件与甲方结算：</w:t>
      </w:r>
    </w:p>
    <w:p w14:paraId="1C9FA5A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1、合同；</w:t>
      </w:r>
    </w:p>
    <w:p w14:paraId="55AD5D7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2、乙方开具的正式发票；</w:t>
      </w:r>
    </w:p>
    <w:p w14:paraId="23ACABE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3、中标通知书；</w:t>
      </w:r>
    </w:p>
    <w:p w14:paraId="7FE18BC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4、甲方要求提供的其他材料。</w:t>
      </w:r>
    </w:p>
    <w:p w14:paraId="11626BB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（四）因甲方使用的是财政资金，甲方在前款规定的付款时间为向政府财政支付部门提出办理财政支付申请手续的时间 (不含政府财政支付部门审核的时间)，在规定时间内提出支付申请手续后即视为甲方已经按期支付。</w:t>
      </w:r>
    </w:p>
    <w:p w14:paraId="31E0B7E1">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七、知识产权与保密义务</w:t>
      </w:r>
    </w:p>
    <w:p w14:paraId="726FD02B">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一）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1AA530D3">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（二）乙方履行本合同过程中所产生的工作成果或其他知识产权归甲方单独所有，未经甲方同意，乙方不得作履行本合同之外的其他用途使用。</w:t>
      </w:r>
    </w:p>
    <w:p w14:paraId="03F6D50C">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三）未经甲方事先书面同意，乙方不得将由甲方为本合同提供的条文、规格、计划、图纸、模型、样品或资料提供给与本合同无关的任何第三方，不得将其用于履行本合同之外的其他用途。即使向与履行本合同有关的人员提供，也应注意保密并限于履行合同所必需的范围。</w:t>
      </w:r>
    </w:p>
    <w:p w14:paraId="75548054">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（四）除了合同本身之外，上款所列举的任何物件均是甲方的财产。如果甲方有要求，乙方在完成合同后应将这些物件及全部复制件还给甲方。</w:t>
      </w:r>
    </w:p>
    <w:p w14:paraId="00B69CE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八、甲方的权利和义务</w:t>
      </w:r>
    </w:p>
    <w:p w14:paraId="4EFD2C92">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（一）检查监督乙方工作的实施及制度的执行情况；</w:t>
      </w:r>
    </w:p>
    <w:p w14:paraId="47A93B7B">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（二）对乙方不称职的工作人员，甲方有权要求乙方限期更换；</w:t>
      </w:r>
    </w:p>
    <w:p w14:paraId="57DA144B">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（三）按时支付费用给乙方；</w:t>
      </w:r>
    </w:p>
    <w:p w14:paraId="6A8BE367">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（四）采购文件、投标文件及合同附件中约定的甲方其它权利义务。</w:t>
      </w:r>
    </w:p>
    <w:p w14:paraId="47F0A364">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九、乙方的权利和义务 </w:t>
      </w:r>
    </w:p>
    <w:p w14:paraId="73524CC4">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（一）未经甲方同意，乙方不得转包或分包项目内容，乙方转包或分包项目内容的，甲方有权解除合同；</w:t>
      </w:r>
    </w:p>
    <w:p w14:paraId="78238F93">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（二）乙方对项目质量负责，根据合同要求向甲方提供全部服务；</w:t>
      </w:r>
    </w:p>
    <w:p w14:paraId="53D96F56">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（三）在项目实施过程中对无法解决的事项，要及时向甲方反映；</w:t>
      </w:r>
    </w:p>
    <w:p w14:paraId="60859774">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（四）在服务期内，乙方需做好工作人员所需要的安全教育及安全措施，保证工作人员的安全，乙方工作人员在甲方工作范围内发生事故的一切责任由乙方负责；</w:t>
      </w:r>
    </w:p>
    <w:p w14:paraId="0D2BF3DB">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（五）采购文件、投标文件及合同附件中约定的乙方其它权利义务。</w:t>
      </w:r>
    </w:p>
    <w:p w14:paraId="687AEE65">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十、违约责任与赔偿损失</w:t>
      </w:r>
    </w:p>
    <w:p w14:paraId="220BBFA7">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一）乙方提供的服务不符合采购文件、投标文件或本合同规定的，甲方有权拒收，乙方应在甲方规定时间内按要求重做，并按次向甲方支付本合同总价3‰的违约金。乙方重做后仍不符合甲方要求的，甲方有权解除本合同，乙方须赔偿甲方因此遭受的一切损失。</w:t>
      </w:r>
    </w:p>
    <w:p w14:paraId="3BF1B9A3">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二）乙方未能按照本合同规定的时间提供服务，从逾期之日起每日按本合同总价3‰的数额向甲方支付违约金；逾期15天以上（含15天）的，甲方有权终止合同，要求乙方支付违约金，并且给甲方造成的经济损失由乙方承担赔偿责任。</w:t>
      </w:r>
    </w:p>
    <w:p w14:paraId="343AA5E2">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（三）甲方无正当理由拒收接受服务，到期拒付服务款项的，甲方向乙方偿付本合同总价5%的违约金。</w:t>
      </w:r>
    </w:p>
    <w:p w14:paraId="256113DE">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（四）其他违约责任按《中华人民共和国民法典》处理。</w:t>
      </w:r>
    </w:p>
    <w:p w14:paraId="2BBB52B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十一、争端的解决</w:t>
      </w:r>
    </w:p>
    <w:p w14:paraId="7467B2E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合同执行过程中发生的任何争议，如双方不能通过友好协商解决，甲、乙双方一致同意向甲方所在地人民法院提起诉讼，败诉方须承担对方因此产生的包括但不限于律师费、诉讼费等一切费用，法院另有判决的除外。</w:t>
      </w:r>
    </w:p>
    <w:p w14:paraId="0F9A15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十二、不可抗力</w:t>
      </w:r>
    </w:p>
    <w:p w14:paraId="20C561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任何一方由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AA451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十三、税费</w:t>
      </w:r>
    </w:p>
    <w:p w14:paraId="1E7074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在中国境内、外发生的与本合同执行有关的一切税费均由乙方承担。</w:t>
      </w:r>
    </w:p>
    <w:p w14:paraId="25D2B0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十四、其他</w:t>
      </w:r>
    </w:p>
    <w:p w14:paraId="6F93E6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（一）本合同所有附件、采购文件、投标文件、中标通知书均为合同的有效组成部分，与本合同具有同等法律效力。</w:t>
      </w:r>
    </w:p>
    <w:p w14:paraId="30F139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（二）在执行本合同的过程中，所有经双方签署确认的文件（包括会议纪要、补充协议、往来信函）即成为本合同有效组成部分。</w:t>
      </w:r>
    </w:p>
    <w:p w14:paraId="4F32BD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（三）如一方地址、电话、传真号码有变更，应在变更当日内书面通知对方，否则，应承担相应责任。</w:t>
      </w:r>
    </w:p>
    <w:p w14:paraId="1FA58B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（四）除甲方事先书面同意外，乙方不得部分或全部转让其应履行的合同项下的义务。</w:t>
      </w:r>
    </w:p>
    <w:p w14:paraId="1A6B849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十五、合同生效</w:t>
      </w:r>
    </w:p>
    <w:p w14:paraId="73290B2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（一）合同自甲乙双方法人代表或其授权代表签字盖章之日起生效。</w:t>
      </w:r>
    </w:p>
    <w:p w14:paraId="54D12AC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（二）合同</w:t>
      </w:r>
      <w:r>
        <w:rPr>
          <w:rFonts w:hint="eastAsia" w:ascii="宋体" w:hAnsi="宋体" w:eastAsia="宋体" w:cs="宋体"/>
          <w:b w:val="0"/>
          <w:bCs/>
          <w:color w:val="auto"/>
          <w:kern w:val="2"/>
          <w:sz w:val="21"/>
          <w:szCs w:val="21"/>
          <w:highlight w:val="none"/>
          <w:u w:val="single"/>
          <w:lang w:val="en-US" w:eastAsia="zh-CN" w:bidi="ar-SA"/>
        </w:rPr>
        <w:t xml:space="preserve"> 壹 </w:t>
      </w:r>
      <w:r>
        <w:rPr>
          <w:rFonts w:hint="eastAsia" w:ascii="宋体" w:hAnsi="宋体" w:eastAsia="宋体" w:cs="宋体"/>
          <w:b w:val="0"/>
          <w:bCs/>
          <w:color w:val="auto"/>
          <w:kern w:val="2"/>
          <w:sz w:val="21"/>
          <w:szCs w:val="21"/>
          <w:highlight w:val="none"/>
          <w:lang w:val="en-US" w:eastAsia="zh-CN" w:bidi="ar-SA"/>
        </w:rPr>
        <w:t>式</w:t>
      </w:r>
      <w:r>
        <w:rPr>
          <w:rFonts w:hint="eastAsia" w:ascii="宋体" w:hAnsi="宋体" w:eastAsia="宋体" w:cs="宋体"/>
          <w:b w:val="0"/>
          <w:bCs/>
          <w:color w:val="auto"/>
          <w:kern w:val="2"/>
          <w:sz w:val="21"/>
          <w:szCs w:val="21"/>
          <w:highlight w:val="none"/>
          <w:u w:val="single"/>
          <w:lang w:val="en-US" w:eastAsia="zh-CN" w:bidi="ar-SA"/>
        </w:rPr>
        <w:t xml:space="preserve"> 壹拾贰 </w:t>
      </w:r>
      <w:r>
        <w:rPr>
          <w:rFonts w:hint="eastAsia" w:ascii="宋体" w:hAnsi="宋体" w:eastAsia="宋体" w:cs="宋体"/>
          <w:b w:val="0"/>
          <w:bCs/>
          <w:color w:val="auto"/>
          <w:kern w:val="2"/>
          <w:sz w:val="21"/>
          <w:szCs w:val="21"/>
          <w:highlight w:val="none"/>
          <w:lang w:val="en-US" w:eastAsia="zh-CN" w:bidi="ar-SA"/>
        </w:rPr>
        <w:t>份，其中，甲方执</w:t>
      </w:r>
      <w:r>
        <w:rPr>
          <w:rFonts w:hint="eastAsia" w:ascii="宋体" w:hAnsi="宋体" w:eastAsia="宋体" w:cs="宋体"/>
          <w:b w:val="0"/>
          <w:bCs/>
          <w:color w:val="auto"/>
          <w:kern w:val="2"/>
          <w:sz w:val="21"/>
          <w:szCs w:val="21"/>
          <w:highlight w:val="none"/>
          <w:u w:val="single"/>
          <w:lang w:val="en-US" w:eastAsia="zh-CN" w:bidi="ar-SA"/>
        </w:rPr>
        <w:t xml:space="preserve"> 捌 </w:t>
      </w:r>
      <w:r>
        <w:rPr>
          <w:rFonts w:hint="eastAsia" w:ascii="宋体" w:hAnsi="宋体" w:eastAsia="宋体" w:cs="宋体"/>
          <w:b w:val="0"/>
          <w:bCs/>
          <w:color w:val="auto"/>
          <w:kern w:val="2"/>
          <w:sz w:val="21"/>
          <w:szCs w:val="21"/>
          <w:highlight w:val="none"/>
          <w:lang w:val="en-US" w:eastAsia="zh-CN" w:bidi="ar-SA"/>
        </w:rPr>
        <w:t>份，乙方执</w:t>
      </w:r>
      <w:r>
        <w:rPr>
          <w:rFonts w:hint="eastAsia" w:ascii="宋体" w:hAnsi="宋体" w:eastAsia="宋体" w:cs="宋体"/>
          <w:b w:val="0"/>
          <w:bCs/>
          <w:color w:val="auto"/>
          <w:kern w:val="2"/>
          <w:sz w:val="21"/>
          <w:szCs w:val="21"/>
          <w:highlight w:val="none"/>
          <w:u w:val="single"/>
          <w:lang w:val="en-US" w:eastAsia="zh-CN" w:bidi="ar-SA"/>
        </w:rPr>
        <w:t xml:space="preserve"> 肆 </w:t>
      </w:r>
      <w:r>
        <w:rPr>
          <w:rFonts w:hint="eastAsia" w:ascii="宋体" w:hAnsi="宋体" w:eastAsia="宋体" w:cs="宋体"/>
          <w:b w:val="0"/>
          <w:bCs/>
          <w:color w:val="auto"/>
          <w:kern w:val="2"/>
          <w:sz w:val="21"/>
          <w:szCs w:val="21"/>
          <w:highlight w:val="none"/>
          <w:lang w:val="en-US" w:eastAsia="zh-CN" w:bidi="ar-SA"/>
        </w:rPr>
        <w:t>份，均具有同等法律效力。</w:t>
      </w:r>
    </w:p>
    <w:p w14:paraId="6778CE5B">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p>
    <w:p w14:paraId="01B8CB0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lang w:val="en-US" w:eastAsia="zh-CN"/>
        </w:rPr>
      </w:pPr>
    </w:p>
    <w:p w14:paraId="6B88D790">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eastAsia="宋体" w:cs="宋体"/>
          <w:b w:val="0"/>
          <w:bCs/>
          <w:color w:val="auto"/>
          <w:kern w:val="2"/>
          <w:sz w:val="21"/>
          <w:szCs w:val="21"/>
          <w:highlight w:val="none"/>
          <w:lang w:val="en-US" w:eastAsia="zh-CN" w:bidi="ar-SA"/>
        </w:rPr>
      </w:pPr>
    </w:p>
    <w:p w14:paraId="0C8DAE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（此页以下无正文）</w:t>
      </w:r>
    </w:p>
    <w:p w14:paraId="07B2E4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lang w:val="en-US" w:eastAsia="zh-CN"/>
        </w:rPr>
      </w:pPr>
    </w:p>
    <w:p w14:paraId="17C31C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甲方（盖章）：</w:t>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p>
    <w:p w14:paraId="65183B5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地址：</w:t>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p>
    <w:p w14:paraId="1AED7D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法定代表人：</w:t>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p>
    <w:p w14:paraId="621B334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委托代理人：</w:t>
      </w:r>
    </w:p>
    <w:p w14:paraId="71991D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电话：</w:t>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p>
    <w:p w14:paraId="6D28BF6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传真：</w:t>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p>
    <w:p w14:paraId="5922FC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邮政编码：</w:t>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r>
        <w:rPr>
          <w:rFonts w:hint="eastAsia" w:ascii="宋体" w:hAnsi="宋体" w:eastAsia="宋体" w:cs="宋体"/>
          <w:b w:val="0"/>
          <w:bCs/>
          <w:color w:val="auto"/>
          <w:kern w:val="2"/>
          <w:sz w:val="21"/>
          <w:szCs w:val="21"/>
          <w:highlight w:val="none"/>
          <w:lang w:val="en-US" w:eastAsia="zh-CN" w:bidi="ar-SA"/>
        </w:rPr>
        <w:tab/>
      </w:r>
    </w:p>
    <w:p w14:paraId="4E37C9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sz w:val="21"/>
          <w:szCs w:val="21"/>
          <w:highlight w:val="none"/>
        </w:rPr>
      </w:pPr>
    </w:p>
    <w:p w14:paraId="29D5E9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sz w:val="21"/>
          <w:szCs w:val="21"/>
          <w:highlight w:val="none"/>
        </w:rPr>
      </w:pPr>
    </w:p>
    <w:p w14:paraId="2523A73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乙方（盖章）：</w:t>
      </w:r>
    </w:p>
    <w:p w14:paraId="3E4FD9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地址：</w:t>
      </w:r>
    </w:p>
    <w:p w14:paraId="7FE667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法定代表人：</w:t>
      </w:r>
    </w:p>
    <w:p w14:paraId="2FBABF85">
      <w:pPr>
        <w:keepNext w:val="0"/>
        <w:keepLines w:val="0"/>
        <w:pageBreakBefore w:val="0"/>
        <w:widowControl w:val="0"/>
        <w:tabs>
          <w:tab w:val="left" w:pos="1328"/>
        </w:tabs>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委托代理人：</w:t>
      </w:r>
    </w:p>
    <w:p w14:paraId="69410C6E">
      <w:pPr>
        <w:keepNext w:val="0"/>
        <w:keepLines w:val="0"/>
        <w:pageBreakBefore w:val="0"/>
        <w:widowControl w:val="0"/>
        <w:tabs>
          <w:tab w:val="left" w:pos="1328"/>
        </w:tabs>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电话：</w:t>
      </w:r>
    </w:p>
    <w:p w14:paraId="0655CF9C">
      <w:pPr>
        <w:keepNext w:val="0"/>
        <w:keepLines w:val="0"/>
        <w:pageBreakBefore w:val="0"/>
        <w:widowControl w:val="0"/>
        <w:tabs>
          <w:tab w:val="left" w:pos="1328"/>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开户银行：</w:t>
      </w:r>
    </w:p>
    <w:p w14:paraId="219133CC">
      <w:pPr>
        <w:keepNext w:val="0"/>
        <w:keepLines w:val="0"/>
        <w:pageBreakBefore w:val="0"/>
        <w:widowControl w:val="0"/>
        <w:tabs>
          <w:tab w:val="left" w:pos="1328"/>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银行账号：</w:t>
      </w:r>
    </w:p>
    <w:p w14:paraId="3DD939E2">
      <w:pPr>
        <w:keepNext w:val="0"/>
        <w:keepLines w:val="0"/>
        <w:pageBreakBefore w:val="0"/>
        <w:widowControl w:val="0"/>
        <w:tabs>
          <w:tab w:val="left" w:pos="1328"/>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税号：</w:t>
      </w:r>
    </w:p>
    <w:p w14:paraId="13A68919">
      <w:pPr>
        <w:keepNext w:val="0"/>
        <w:keepLines w:val="0"/>
        <w:pageBreakBefore w:val="0"/>
        <w:widowControl w:val="0"/>
        <w:tabs>
          <w:tab w:val="left" w:pos="1328"/>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邮政编码：</w:t>
      </w:r>
    </w:p>
    <w:p w14:paraId="6E36D0F6">
      <w:pPr>
        <w:tabs>
          <w:tab w:val="left" w:pos="1328"/>
        </w:tabs>
        <w:jc w:val="left"/>
        <w:rPr>
          <w:rFonts w:hint="eastAsia" w:ascii="Calibri" w:hAnsi="Calibri"/>
          <w:color w:val="auto"/>
          <w:sz w:val="24"/>
          <w:highlight w:val="none"/>
          <w:lang w:val="en-US" w:eastAsia="zh-CN"/>
        </w:rPr>
      </w:pPr>
    </w:p>
    <w:p w14:paraId="1528EB74">
      <w:pPr>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br w:type="page"/>
      </w:r>
    </w:p>
    <w:p w14:paraId="33CF5C5C">
      <w:pPr>
        <w:pStyle w:val="13"/>
        <w:ind w:firstLine="48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附表：</w:t>
      </w:r>
    </w:p>
    <w:p w14:paraId="2C216B1B">
      <w:pPr>
        <w:pStyle w:val="13"/>
        <w:ind w:firstLine="1944" w:firstLineChars="926"/>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2025年万顷沙镇生活垃圾分类督导服务项目月考核评分表</w:t>
      </w:r>
    </w:p>
    <w:p w14:paraId="212E6C4D">
      <w:pPr>
        <w:pStyle w:val="13"/>
        <w:spacing w:line="360" w:lineRule="auto"/>
        <w:ind w:firstLine="0"/>
        <w:jc w:val="left"/>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服务单位：                                                   考核日期：     年    月</w:t>
      </w:r>
    </w:p>
    <w:tbl>
      <w:tblPr>
        <w:tblStyle w:val="34"/>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586"/>
        <w:gridCol w:w="3050"/>
        <w:gridCol w:w="750"/>
        <w:gridCol w:w="1067"/>
        <w:gridCol w:w="1333"/>
        <w:gridCol w:w="1233"/>
      </w:tblGrid>
      <w:tr w14:paraId="0D22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39B7CD34">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考核项目</w:t>
            </w:r>
          </w:p>
        </w:tc>
        <w:tc>
          <w:tcPr>
            <w:tcW w:w="4386" w:type="dxa"/>
            <w:gridSpan w:val="3"/>
            <w:vAlign w:val="center"/>
          </w:tcPr>
          <w:p w14:paraId="71EC527E">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考核指标</w:t>
            </w:r>
          </w:p>
        </w:tc>
        <w:tc>
          <w:tcPr>
            <w:tcW w:w="1067" w:type="dxa"/>
            <w:vAlign w:val="center"/>
          </w:tcPr>
          <w:p w14:paraId="7CAC7A23">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评分分值</w:t>
            </w:r>
          </w:p>
        </w:tc>
        <w:tc>
          <w:tcPr>
            <w:tcW w:w="1333" w:type="dxa"/>
            <w:vAlign w:val="center"/>
          </w:tcPr>
          <w:p w14:paraId="409E6433">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权重</w:t>
            </w:r>
          </w:p>
        </w:tc>
        <w:tc>
          <w:tcPr>
            <w:tcW w:w="1233" w:type="dxa"/>
            <w:vAlign w:val="center"/>
          </w:tcPr>
          <w:p w14:paraId="1319FD42">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列举扣分情况</w:t>
            </w:r>
          </w:p>
        </w:tc>
      </w:tr>
      <w:tr w14:paraId="0CF6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vAlign w:val="center"/>
          </w:tcPr>
          <w:p w14:paraId="6621C33E">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每月实地工作检查与指导</w:t>
            </w:r>
          </w:p>
        </w:tc>
        <w:tc>
          <w:tcPr>
            <w:tcW w:w="4386" w:type="dxa"/>
            <w:gridSpan w:val="3"/>
          </w:tcPr>
          <w:p w14:paraId="3465D89B">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每月巡检覆盖（含三类单位、居住小区、农村等）不少于350个次</w:t>
            </w:r>
          </w:p>
        </w:tc>
        <w:tc>
          <w:tcPr>
            <w:tcW w:w="1067" w:type="dxa"/>
            <w:vAlign w:val="center"/>
          </w:tcPr>
          <w:p w14:paraId="653B6CEE">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333" w:type="dxa"/>
            <w:vMerge w:val="restart"/>
            <w:vAlign w:val="center"/>
          </w:tcPr>
          <w:p w14:paraId="0DF3634B">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233" w:type="dxa"/>
          </w:tcPr>
          <w:p w14:paraId="46267338">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73A4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vAlign w:val="center"/>
          </w:tcPr>
          <w:p w14:paraId="593B93A2">
            <w:pPr>
              <w:pStyle w:val="13"/>
              <w:spacing w:line="360" w:lineRule="auto"/>
              <w:jc w:val="left"/>
              <w:rPr>
                <w:rFonts w:hint="default" w:ascii="宋体" w:hAnsi="宋体" w:cs="宋体"/>
                <w:bCs/>
                <w:color w:val="auto"/>
                <w:sz w:val="21"/>
                <w:szCs w:val="21"/>
                <w:highlight w:val="none"/>
                <w:vertAlign w:val="baseline"/>
                <w:lang w:val="en-US" w:eastAsia="zh-CN"/>
              </w:rPr>
            </w:pPr>
          </w:p>
        </w:tc>
        <w:tc>
          <w:tcPr>
            <w:tcW w:w="4386" w:type="dxa"/>
            <w:gridSpan w:val="3"/>
          </w:tcPr>
          <w:p w14:paraId="16B93A31">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开展垃圾分类现场工作(日常宣传、指导培训、容器配置、投放模式、点位检查、点位优化提升、分类投放、分类收集等)进行检查、指导并督促单位整改、做好三类单位创建及维护等工作,完成农村、居住小区100%全覆盖，抽取村（居）三类单位进行检查。</w:t>
            </w:r>
          </w:p>
        </w:tc>
        <w:tc>
          <w:tcPr>
            <w:tcW w:w="1067" w:type="dxa"/>
            <w:vAlign w:val="center"/>
          </w:tcPr>
          <w:p w14:paraId="7E931DDE">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333" w:type="dxa"/>
            <w:vMerge w:val="continue"/>
            <w:vAlign w:val="center"/>
          </w:tcPr>
          <w:p w14:paraId="797A7A1F">
            <w:pPr>
              <w:jc w:val="center"/>
              <w:rPr>
                <w:rFonts w:hint="default" w:ascii="宋体" w:hAnsi="宋体" w:cs="宋体"/>
                <w:bCs/>
                <w:color w:val="auto"/>
                <w:sz w:val="21"/>
                <w:szCs w:val="21"/>
                <w:highlight w:val="none"/>
                <w:vertAlign w:val="baseline"/>
                <w:lang w:val="en-US" w:eastAsia="zh-CN"/>
              </w:rPr>
            </w:pPr>
          </w:p>
        </w:tc>
        <w:tc>
          <w:tcPr>
            <w:tcW w:w="1233" w:type="dxa"/>
          </w:tcPr>
          <w:p w14:paraId="7D634627">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75AE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vAlign w:val="center"/>
          </w:tcPr>
          <w:p w14:paraId="27D39A6C">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现场台账资料检查与指导</w:t>
            </w:r>
          </w:p>
        </w:tc>
        <w:tc>
          <w:tcPr>
            <w:tcW w:w="4386" w:type="dxa"/>
            <w:gridSpan w:val="3"/>
          </w:tcPr>
          <w:p w14:paraId="32A0FCED">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构建我镇生活垃圾分类处理工作台账、生活垃圾分类收运工作台账，分析工作形势提出指导意见。</w:t>
            </w:r>
          </w:p>
        </w:tc>
        <w:tc>
          <w:tcPr>
            <w:tcW w:w="1067" w:type="dxa"/>
            <w:vAlign w:val="center"/>
          </w:tcPr>
          <w:p w14:paraId="19BF1161">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333" w:type="dxa"/>
            <w:vAlign w:val="center"/>
          </w:tcPr>
          <w:p w14:paraId="4901374A">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33" w:type="dxa"/>
          </w:tcPr>
          <w:p w14:paraId="1B088D66">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2D5E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vAlign w:val="center"/>
          </w:tcPr>
          <w:p w14:paraId="2FDEF556">
            <w:pPr>
              <w:pStyle w:val="13"/>
              <w:spacing w:line="360" w:lineRule="auto"/>
              <w:jc w:val="left"/>
              <w:rPr>
                <w:rFonts w:hint="default" w:ascii="宋体" w:hAnsi="宋体" w:cs="宋体"/>
                <w:bCs/>
                <w:color w:val="auto"/>
                <w:sz w:val="21"/>
                <w:szCs w:val="21"/>
                <w:highlight w:val="none"/>
                <w:vertAlign w:val="baseline"/>
                <w:lang w:val="en-US" w:eastAsia="zh-CN"/>
              </w:rPr>
            </w:pPr>
          </w:p>
        </w:tc>
        <w:tc>
          <w:tcPr>
            <w:tcW w:w="4386" w:type="dxa"/>
            <w:gridSpan w:val="3"/>
          </w:tcPr>
          <w:p w14:paraId="32DC806D">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开展年度农村生活垃圾分类和资源化利用典型村创建并对万顷沙镇垃圾分类台账及16个村（居）单位的垃圾分类处理工作台账进行检查、指导并督促村（居）整改等工作。</w:t>
            </w:r>
          </w:p>
        </w:tc>
        <w:tc>
          <w:tcPr>
            <w:tcW w:w="1067" w:type="dxa"/>
            <w:vAlign w:val="center"/>
          </w:tcPr>
          <w:p w14:paraId="73B0BFC8">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333" w:type="dxa"/>
            <w:vAlign w:val="center"/>
          </w:tcPr>
          <w:p w14:paraId="3EB64E01">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33" w:type="dxa"/>
          </w:tcPr>
          <w:p w14:paraId="333A5687">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58B6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651025AA">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每月实地组织开展分类宣传和培训</w:t>
            </w:r>
          </w:p>
        </w:tc>
        <w:tc>
          <w:tcPr>
            <w:tcW w:w="4386" w:type="dxa"/>
            <w:gridSpan w:val="3"/>
          </w:tcPr>
          <w:p w14:paraId="4E805D0C">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组织开展垃圾分类宣传工作,宣传方式涵盖（垃圾分类全民行动日活动、镇主题宣传活动、村（居）主题宣传活动、类型单位主题宣传活动、居住小区投放点“入点”宣传培训活动等），每月不少于25场宣传或培训活动。</w:t>
            </w:r>
          </w:p>
        </w:tc>
        <w:tc>
          <w:tcPr>
            <w:tcW w:w="1067" w:type="dxa"/>
            <w:vAlign w:val="center"/>
          </w:tcPr>
          <w:p w14:paraId="0EC09F90">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333" w:type="dxa"/>
            <w:vAlign w:val="center"/>
          </w:tcPr>
          <w:p w14:paraId="52FD99C5">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233" w:type="dxa"/>
          </w:tcPr>
          <w:p w14:paraId="4E65FCB2">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65AE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vAlign w:val="center"/>
          </w:tcPr>
          <w:p w14:paraId="750F92CC">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媒体报道</w:t>
            </w:r>
          </w:p>
        </w:tc>
        <w:tc>
          <w:tcPr>
            <w:tcW w:w="4386" w:type="dxa"/>
            <w:gridSpan w:val="3"/>
          </w:tcPr>
          <w:p w14:paraId="15D12539">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每月2次在央级媒体电视台、报纸、杂志(app或其他线上形式)等开展正面宣传报道。</w:t>
            </w:r>
          </w:p>
        </w:tc>
        <w:tc>
          <w:tcPr>
            <w:tcW w:w="1067" w:type="dxa"/>
            <w:vAlign w:val="center"/>
          </w:tcPr>
          <w:p w14:paraId="00AFD74C">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333" w:type="dxa"/>
            <w:vMerge w:val="restart"/>
            <w:vAlign w:val="center"/>
          </w:tcPr>
          <w:p w14:paraId="51E2E4D7">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w:t>
            </w:r>
          </w:p>
        </w:tc>
        <w:tc>
          <w:tcPr>
            <w:tcW w:w="1233" w:type="dxa"/>
          </w:tcPr>
          <w:p w14:paraId="7CAE05C2">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5391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14:paraId="55492A48">
            <w:pPr>
              <w:pStyle w:val="13"/>
              <w:spacing w:line="360" w:lineRule="auto"/>
              <w:jc w:val="left"/>
              <w:rPr>
                <w:rFonts w:hint="default" w:ascii="宋体" w:hAnsi="宋体" w:cs="宋体"/>
                <w:bCs/>
                <w:color w:val="auto"/>
                <w:sz w:val="21"/>
                <w:szCs w:val="21"/>
                <w:highlight w:val="none"/>
                <w:vertAlign w:val="baseline"/>
                <w:lang w:val="en-US" w:eastAsia="zh-CN"/>
              </w:rPr>
            </w:pPr>
          </w:p>
        </w:tc>
        <w:tc>
          <w:tcPr>
            <w:tcW w:w="4386" w:type="dxa"/>
            <w:gridSpan w:val="3"/>
          </w:tcPr>
          <w:p w14:paraId="3D551356">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每月2次在省级、市级媒体电视台、报纸、杂志(app或其他线上形式)等开展正面宣传。</w:t>
            </w:r>
          </w:p>
        </w:tc>
        <w:tc>
          <w:tcPr>
            <w:tcW w:w="1067" w:type="dxa"/>
            <w:vAlign w:val="center"/>
          </w:tcPr>
          <w:p w14:paraId="011E7609">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333" w:type="dxa"/>
            <w:vMerge w:val="continue"/>
            <w:vAlign w:val="center"/>
          </w:tcPr>
          <w:p w14:paraId="20388C58">
            <w:pPr>
              <w:jc w:val="center"/>
              <w:rPr>
                <w:rFonts w:hint="default" w:ascii="宋体" w:hAnsi="宋体" w:cs="宋体"/>
                <w:bCs/>
                <w:color w:val="auto"/>
                <w:sz w:val="21"/>
                <w:szCs w:val="21"/>
                <w:highlight w:val="none"/>
                <w:vertAlign w:val="baseline"/>
                <w:lang w:val="en-US" w:eastAsia="zh-CN"/>
              </w:rPr>
            </w:pPr>
          </w:p>
        </w:tc>
        <w:tc>
          <w:tcPr>
            <w:tcW w:w="1233" w:type="dxa"/>
          </w:tcPr>
          <w:p w14:paraId="1CA06CE0">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7D94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tcPr>
          <w:p w14:paraId="1F9389A4">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积极在信息化系统报送相关工作</w:t>
            </w:r>
          </w:p>
        </w:tc>
        <w:tc>
          <w:tcPr>
            <w:tcW w:w="4386" w:type="dxa"/>
            <w:gridSpan w:val="3"/>
          </w:tcPr>
          <w:p w14:paraId="73DA8877">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穗时尚信息维护情况</w:t>
            </w:r>
          </w:p>
        </w:tc>
        <w:tc>
          <w:tcPr>
            <w:tcW w:w="1067" w:type="dxa"/>
            <w:vAlign w:val="center"/>
          </w:tcPr>
          <w:p w14:paraId="31936181">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333" w:type="dxa"/>
            <w:vMerge w:val="restart"/>
            <w:vAlign w:val="center"/>
          </w:tcPr>
          <w:p w14:paraId="10EA50A0">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233" w:type="dxa"/>
          </w:tcPr>
          <w:p w14:paraId="0D57E18C">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26FF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14:paraId="00571192">
            <w:pPr>
              <w:pStyle w:val="13"/>
              <w:spacing w:line="360" w:lineRule="auto"/>
              <w:jc w:val="left"/>
              <w:rPr>
                <w:rFonts w:hint="default" w:ascii="宋体" w:hAnsi="宋体" w:cs="宋体"/>
                <w:bCs/>
                <w:color w:val="auto"/>
                <w:sz w:val="21"/>
                <w:szCs w:val="21"/>
                <w:highlight w:val="none"/>
                <w:vertAlign w:val="baseline"/>
                <w:lang w:val="en-US" w:eastAsia="zh-CN"/>
              </w:rPr>
            </w:pPr>
          </w:p>
        </w:tc>
        <w:tc>
          <w:tcPr>
            <w:tcW w:w="4386" w:type="dxa"/>
            <w:gridSpan w:val="3"/>
          </w:tcPr>
          <w:p w14:paraId="276D3BED">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志愿时信息维护情况</w:t>
            </w:r>
          </w:p>
        </w:tc>
        <w:tc>
          <w:tcPr>
            <w:tcW w:w="1067" w:type="dxa"/>
            <w:vAlign w:val="center"/>
          </w:tcPr>
          <w:p w14:paraId="100DCFCF">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333" w:type="dxa"/>
            <w:vMerge w:val="continue"/>
            <w:vAlign w:val="center"/>
          </w:tcPr>
          <w:p w14:paraId="546F156D">
            <w:pPr>
              <w:jc w:val="center"/>
              <w:rPr>
                <w:rFonts w:hint="default" w:ascii="宋体" w:hAnsi="宋体" w:cs="宋体"/>
                <w:bCs/>
                <w:color w:val="auto"/>
                <w:sz w:val="21"/>
                <w:szCs w:val="21"/>
                <w:highlight w:val="none"/>
                <w:vertAlign w:val="baseline"/>
                <w:lang w:val="en-US" w:eastAsia="zh-CN"/>
              </w:rPr>
            </w:pPr>
          </w:p>
        </w:tc>
        <w:tc>
          <w:tcPr>
            <w:tcW w:w="1233" w:type="dxa"/>
          </w:tcPr>
          <w:p w14:paraId="349FF8A6">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2292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066" w:type="dxa"/>
            <w:vMerge w:val="restart"/>
          </w:tcPr>
          <w:p w14:paraId="1A2F5E56">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积极宣传餐厨垃圾（含废弃食用油脂）收运处置政策</w:t>
            </w:r>
          </w:p>
        </w:tc>
        <w:tc>
          <w:tcPr>
            <w:tcW w:w="4386" w:type="dxa"/>
            <w:gridSpan w:val="3"/>
            <w:vAlign w:val="center"/>
          </w:tcPr>
          <w:p w14:paraId="114E07E1">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餐厨垃圾收运处置情况</w:t>
            </w:r>
          </w:p>
        </w:tc>
        <w:tc>
          <w:tcPr>
            <w:tcW w:w="1067" w:type="dxa"/>
            <w:vAlign w:val="center"/>
          </w:tcPr>
          <w:p w14:paraId="08FD5408">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333" w:type="dxa"/>
            <w:vMerge w:val="restart"/>
            <w:vAlign w:val="center"/>
          </w:tcPr>
          <w:p w14:paraId="0166F945">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233" w:type="dxa"/>
          </w:tcPr>
          <w:p w14:paraId="07B86067">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5B05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14:paraId="58C49950">
            <w:pPr>
              <w:pStyle w:val="13"/>
              <w:spacing w:line="360" w:lineRule="auto"/>
              <w:jc w:val="left"/>
              <w:rPr>
                <w:rFonts w:hint="default" w:ascii="宋体" w:hAnsi="宋体" w:cs="宋体"/>
                <w:bCs/>
                <w:color w:val="auto"/>
                <w:sz w:val="21"/>
                <w:szCs w:val="21"/>
                <w:highlight w:val="none"/>
                <w:vertAlign w:val="baseline"/>
                <w:lang w:val="en-US" w:eastAsia="zh-CN"/>
              </w:rPr>
            </w:pPr>
          </w:p>
        </w:tc>
        <w:tc>
          <w:tcPr>
            <w:tcW w:w="4386" w:type="dxa"/>
            <w:gridSpan w:val="3"/>
            <w:vAlign w:val="center"/>
          </w:tcPr>
          <w:p w14:paraId="2C968587">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废弃食用油脂收运处置情况</w:t>
            </w:r>
          </w:p>
        </w:tc>
        <w:tc>
          <w:tcPr>
            <w:tcW w:w="1067" w:type="dxa"/>
            <w:vAlign w:val="center"/>
          </w:tcPr>
          <w:p w14:paraId="6215CF48">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333" w:type="dxa"/>
            <w:vMerge w:val="continue"/>
            <w:vAlign w:val="center"/>
          </w:tcPr>
          <w:p w14:paraId="30F3C035">
            <w:pPr>
              <w:jc w:val="center"/>
              <w:rPr>
                <w:rFonts w:hint="default" w:ascii="宋体" w:hAnsi="宋体" w:cs="宋体"/>
                <w:bCs/>
                <w:color w:val="auto"/>
                <w:sz w:val="21"/>
                <w:szCs w:val="21"/>
                <w:highlight w:val="none"/>
                <w:vertAlign w:val="baseline"/>
                <w:lang w:val="en-US" w:eastAsia="zh-CN"/>
              </w:rPr>
            </w:pPr>
          </w:p>
        </w:tc>
        <w:tc>
          <w:tcPr>
            <w:tcW w:w="1233" w:type="dxa"/>
          </w:tcPr>
          <w:p w14:paraId="291716E1">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16D3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vAlign w:val="center"/>
          </w:tcPr>
          <w:p w14:paraId="6C490812">
            <w:pPr>
              <w:pStyle w:val="13"/>
              <w:spacing w:line="360" w:lineRule="auto"/>
              <w:jc w:val="both"/>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生活垃圾分类专项提升服务成果提交</w:t>
            </w:r>
          </w:p>
        </w:tc>
        <w:tc>
          <w:tcPr>
            <w:tcW w:w="4386" w:type="dxa"/>
            <w:gridSpan w:val="3"/>
          </w:tcPr>
          <w:p w14:paraId="3862E1D3">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每10日前草拟上月检查指导情况，分析存在问题并提出改进意见。</w:t>
            </w:r>
          </w:p>
        </w:tc>
        <w:tc>
          <w:tcPr>
            <w:tcW w:w="1067" w:type="dxa"/>
            <w:vAlign w:val="center"/>
          </w:tcPr>
          <w:p w14:paraId="0859A4F8">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333" w:type="dxa"/>
            <w:vMerge w:val="restart"/>
            <w:vAlign w:val="center"/>
          </w:tcPr>
          <w:p w14:paraId="67797A08">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30%</w:t>
            </w:r>
          </w:p>
        </w:tc>
        <w:tc>
          <w:tcPr>
            <w:tcW w:w="1233" w:type="dxa"/>
          </w:tcPr>
          <w:p w14:paraId="1CA15764">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1FE5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14:paraId="5D924A51">
            <w:pPr>
              <w:pStyle w:val="13"/>
              <w:spacing w:line="360" w:lineRule="auto"/>
              <w:jc w:val="left"/>
              <w:rPr>
                <w:rFonts w:hint="default" w:ascii="宋体" w:hAnsi="宋体" w:cs="宋体"/>
                <w:bCs/>
                <w:color w:val="auto"/>
                <w:sz w:val="21"/>
                <w:szCs w:val="21"/>
                <w:highlight w:val="none"/>
                <w:vertAlign w:val="baseline"/>
                <w:lang w:val="en-US" w:eastAsia="zh-CN"/>
              </w:rPr>
            </w:pPr>
          </w:p>
        </w:tc>
        <w:tc>
          <w:tcPr>
            <w:tcW w:w="4386" w:type="dxa"/>
            <w:gridSpan w:val="3"/>
          </w:tcPr>
          <w:p w14:paraId="0E9BDFCE">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根据每月开展的各类垃圾分类宣传培训活动，形成相工作小结、工作统计表和活动记录表等资料，按上级要求及时报送相关数据</w:t>
            </w:r>
          </w:p>
        </w:tc>
        <w:tc>
          <w:tcPr>
            <w:tcW w:w="1067" w:type="dxa"/>
            <w:vAlign w:val="center"/>
          </w:tcPr>
          <w:p w14:paraId="68C06EF4">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333" w:type="dxa"/>
            <w:vMerge w:val="continue"/>
            <w:vAlign w:val="center"/>
          </w:tcPr>
          <w:p w14:paraId="32B0B7F2">
            <w:pPr>
              <w:jc w:val="center"/>
              <w:rPr>
                <w:rFonts w:hint="default" w:ascii="宋体" w:hAnsi="宋体" w:cs="宋体"/>
                <w:bCs/>
                <w:color w:val="auto"/>
                <w:sz w:val="21"/>
                <w:szCs w:val="21"/>
                <w:highlight w:val="none"/>
                <w:vertAlign w:val="baseline"/>
                <w:lang w:val="en-US" w:eastAsia="zh-CN"/>
              </w:rPr>
            </w:pPr>
          </w:p>
        </w:tc>
        <w:tc>
          <w:tcPr>
            <w:tcW w:w="1233" w:type="dxa"/>
          </w:tcPr>
          <w:p w14:paraId="182ACA90">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59B6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tcPr>
          <w:p w14:paraId="73E81C01">
            <w:pPr>
              <w:pStyle w:val="13"/>
              <w:spacing w:line="360" w:lineRule="auto"/>
              <w:jc w:val="left"/>
              <w:rPr>
                <w:rFonts w:hint="default" w:ascii="宋体" w:hAnsi="宋体" w:cs="宋体"/>
                <w:bCs/>
                <w:color w:val="auto"/>
                <w:sz w:val="21"/>
                <w:szCs w:val="21"/>
                <w:highlight w:val="none"/>
                <w:vertAlign w:val="baseline"/>
                <w:lang w:val="en-US" w:eastAsia="zh-CN"/>
              </w:rPr>
            </w:pPr>
          </w:p>
        </w:tc>
        <w:tc>
          <w:tcPr>
            <w:tcW w:w="4386" w:type="dxa"/>
            <w:gridSpan w:val="3"/>
          </w:tcPr>
          <w:p w14:paraId="1311E986">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每月收集、汇总生活垃圾分类处理量数据，填报各类统计表、信息表，形成相关工作情况，及时向上级单位报送。</w:t>
            </w:r>
          </w:p>
        </w:tc>
        <w:tc>
          <w:tcPr>
            <w:tcW w:w="1067" w:type="dxa"/>
            <w:vAlign w:val="center"/>
          </w:tcPr>
          <w:p w14:paraId="0AE1CF86">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333" w:type="dxa"/>
            <w:vMerge w:val="continue"/>
            <w:vAlign w:val="center"/>
          </w:tcPr>
          <w:p w14:paraId="662C0272">
            <w:pPr>
              <w:jc w:val="center"/>
              <w:rPr>
                <w:rFonts w:hint="default" w:ascii="宋体" w:hAnsi="宋体" w:cs="宋体"/>
                <w:bCs/>
                <w:color w:val="auto"/>
                <w:sz w:val="21"/>
                <w:szCs w:val="21"/>
                <w:highlight w:val="none"/>
                <w:vertAlign w:val="baseline"/>
                <w:lang w:val="en-US" w:eastAsia="zh-CN"/>
              </w:rPr>
            </w:pPr>
          </w:p>
        </w:tc>
        <w:tc>
          <w:tcPr>
            <w:tcW w:w="1233" w:type="dxa"/>
          </w:tcPr>
          <w:p w14:paraId="4985DF10">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1F29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3DF665D">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附加分项</w:t>
            </w:r>
          </w:p>
        </w:tc>
        <w:tc>
          <w:tcPr>
            <w:tcW w:w="4386" w:type="dxa"/>
            <w:gridSpan w:val="3"/>
          </w:tcPr>
          <w:p w14:paraId="32E0547B">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随时响应应急突击任务、应急迎检保障、节日保障及上级职能部门调动等突发任务；</w:t>
            </w:r>
          </w:p>
        </w:tc>
        <w:tc>
          <w:tcPr>
            <w:tcW w:w="1067" w:type="dxa"/>
            <w:vAlign w:val="center"/>
          </w:tcPr>
          <w:p w14:paraId="1766B052">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333" w:type="dxa"/>
            <w:vAlign w:val="center"/>
          </w:tcPr>
          <w:p w14:paraId="3F909452">
            <w:pPr>
              <w:keepNext w:val="0"/>
              <w:keepLines w:val="0"/>
              <w:widowControl/>
              <w:suppressLineNumbers w:val="0"/>
              <w:jc w:val="center"/>
              <w:textAlignment w:val="center"/>
              <w:rPr>
                <w:rFonts w:hint="default"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w:t>
            </w:r>
          </w:p>
        </w:tc>
        <w:tc>
          <w:tcPr>
            <w:tcW w:w="1233" w:type="dxa"/>
          </w:tcPr>
          <w:p w14:paraId="03DD00CB">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07B5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gridSpan w:val="2"/>
            <w:vMerge w:val="restart"/>
            <w:vAlign w:val="center"/>
          </w:tcPr>
          <w:p w14:paraId="5C021225">
            <w:pPr>
              <w:pStyle w:val="13"/>
              <w:spacing w:line="360" w:lineRule="auto"/>
              <w:jc w:val="center"/>
              <w:rPr>
                <w:rFonts w:hint="eastAsia" w:ascii="宋体" w:hAnsi="宋体" w:cs="宋体"/>
                <w:bCs/>
                <w:color w:val="auto"/>
                <w:sz w:val="21"/>
                <w:szCs w:val="21"/>
                <w:highlight w:val="none"/>
                <w:vertAlign w:val="baseline"/>
                <w:lang w:val="en-US" w:eastAsia="zh-CN"/>
              </w:rPr>
            </w:pPr>
            <w:r>
              <w:rPr>
                <w:rFonts w:hint="eastAsia" w:ascii="宋体" w:hAnsi="宋体" w:cs="宋体"/>
                <w:bCs/>
                <w:color w:val="auto"/>
                <w:sz w:val="21"/>
                <w:szCs w:val="21"/>
                <w:highlight w:val="none"/>
                <w:vertAlign w:val="baseline"/>
                <w:lang w:val="en-US" w:eastAsia="zh-CN"/>
              </w:rPr>
              <w:t>考评得分</w:t>
            </w:r>
          </w:p>
        </w:tc>
        <w:tc>
          <w:tcPr>
            <w:tcW w:w="3050" w:type="dxa"/>
            <w:vMerge w:val="restart"/>
            <w:vAlign w:val="center"/>
          </w:tcPr>
          <w:p w14:paraId="03E39041">
            <w:pPr>
              <w:pStyle w:val="13"/>
              <w:spacing w:line="360" w:lineRule="auto"/>
              <w:jc w:val="center"/>
              <w:rPr>
                <w:rFonts w:hint="eastAsia" w:ascii="宋体" w:hAnsi="宋体" w:cs="宋体"/>
                <w:bCs/>
                <w:color w:val="auto"/>
                <w:sz w:val="21"/>
                <w:szCs w:val="21"/>
                <w:highlight w:val="none"/>
                <w:vertAlign w:val="baseline"/>
                <w:lang w:val="en-US" w:eastAsia="zh-CN"/>
              </w:rPr>
            </w:pPr>
          </w:p>
        </w:tc>
        <w:tc>
          <w:tcPr>
            <w:tcW w:w="1817" w:type="dxa"/>
            <w:gridSpan w:val="2"/>
            <w:vAlign w:val="center"/>
          </w:tcPr>
          <w:p w14:paraId="321754B6">
            <w:pPr>
              <w:keepNext w:val="0"/>
              <w:keepLines w:val="0"/>
              <w:widowControl/>
              <w:suppressLineNumbers w:val="0"/>
              <w:jc w:val="center"/>
              <w:textAlignment w:val="center"/>
              <w:rPr>
                <w:rFonts w:hint="eastAsia"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镇职能部门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审核：</w:t>
            </w:r>
          </w:p>
        </w:tc>
        <w:tc>
          <w:tcPr>
            <w:tcW w:w="2566" w:type="dxa"/>
            <w:gridSpan w:val="2"/>
          </w:tcPr>
          <w:p w14:paraId="3C41000E">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5992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gridSpan w:val="2"/>
            <w:vMerge w:val="continue"/>
            <w:vAlign w:val="center"/>
          </w:tcPr>
          <w:p w14:paraId="40213F87">
            <w:pPr>
              <w:pStyle w:val="13"/>
              <w:spacing w:line="360" w:lineRule="auto"/>
              <w:jc w:val="center"/>
              <w:rPr>
                <w:rFonts w:hint="eastAsia" w:ascii="宋体" w:hAnsi="宋体" w:cs="宋体"/>
                <w:bCs/>
                <w:color w:val="auto"/>
                <w:sz w:val="21"/>
                <w:szCs w:val="21"/>
                <w:highlight w:val="none"/>
                <w:vertAlign w:val="baseline"/>
                <w:lang w:val="en-US" w:eastAsia="zh-CN"/>
              </w:rPr>
            </w:pPr>
          </w:p>
        </w:tc>
        <w:tc>
          <w:tcPr>
            <w:tcW w:w="3050" w:type="dxa"/>
            <w:vMerge w:val="continue"/>
            <w:vAlign w:val="center"/>
          </w:tcPr>
          <w:p w14:paraId="2F6B80F5">
            <w:pPr>
              <w:pStyle w:val="13"/>
              <w:spacing w:line="360" w:lineRule="auto"/>
              <w:jc w:val="center"/>
              <w:rPr>
                <w:rFonts w:hint="eastAsia" w:ascii="宋体" w:hAnsi="宋体" w:cs="宋体"/>
                <w:bCs/>
                <w:color w:val="auto"/>
                <w:sz w:val="21"/>
                <w:szCs w:val="21"/>
                <w:highlight w:val="none"/>
                <w:vertAlign w:val="baseline"/>
                <w:lang w:val="en-US" w:eastAsia="zh-CN"/>
              </w:rPr>
            </w:pPr>
          </w:p>
        </w:tc>
        <w:tc>
          <w:tcPr>
            <w:tcW w:w="1817" w:type="dxa"/>
            <w:gridSpan w:val="2"/>
            <w:vAlign w:val="center"/>
          </w:tcPr>
          <w:p w14:paraId="4828A23F">
            <w:pPr>
              <w:keepNext w:val="0"/>
              <w:keepLines w:val="0"/>
              <w:widowControl/>
              <w:suppressLineNumbers w:val="0"/>
              <w:jc w:val="center"/>
              <w:textAlignment w:val="center"/>
              <w:rPr>
                <w:rFonts w:hint="eastAsia" w:ascii="宋体" w:hAnsi="宋体" w:cs="宋体"/>
                <w:bCs/>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审核日期：</w:t>
            </w:r>
          </w:p>
        </w:tc>
        <w:tc>
          <w:tcPr>
            <w:tcW w:w="2566" w:type="dxa"/>
            <w:gridSpan w:val="2"/>
          </w:tcPr>
          <w:p w14:paraId="4D4B462D">
            <w:pPr>
              <w:pStyle w:val="13"/>
              <w:spacing w:line="360" w:lineRule="auto"/>
              <w:jc w:val="left"/>
              <w:rPr>
                <w:rFonts w:hint="default" w:ascii="宋体" w:hAnsi="宋体" w:cs="宋体"/>
                <w:bCs/>
                <w:color w:val="auto"/>
                <w:sz w:val="21"/>
                <w:szCs w:val="21"/>
                <w:highlight w:val="none"/>
                <w:vertAlign w:val="baseline"/>
                <w:lang w:val="en-US" w:eastAsia="zh-CN"/>
              </w:rPr>
            </w:pPr>
          </w:p>
        </w:tc>
      </w:tr>
      <w:tr w14:paraId="0B7D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gridSpan w:val="7"/>
            <w:vAlign w:val="center"/>
          </w:tcPr>
          <w:p w14:paraId="549C8427">
            <w:pPr>
              <w:pStyle w:val="13"/>
              <w:spacing w:line="360" w:lineRule="auto"/>
              <w:jc w:val="left"/>
              <w:rPr>
                <w:rFonts w:hint="default" w:ascii="宋体" w:hAnsi="宋体" w:cs="宋体"/>
                <w:bCs/>
                <w:color w:val="auto"/>
                <w:sz w:val="21"/>
                <w:szCs w:val="21"/>
                <w:highlight w:val="none"/>
                <w:vertAlign w:val="baseline"/>
                <w:lang w:val="en-US" w:eastAsia="zh-CN"/>
              </w:rPr>
            </w:pPr>
            <w:r>
              <w:rPr>
                <w:rFonts w:hint="default" w:ascii="宋体" w:hAnsi="宋体" w:cs="宋体"/>
                <w:bCs/>
                <w:color w:val="auto"/>
                <w:sz w:val="21"/>
                <w:szCs w:val="21"/>
                <w:highlight w:val="none"/>
                <w:vertAlign w:val="baseline"/>
                <w:lang w:val="en-US" w:eastAsia="zh-CN"/>
              </w:rPr>
              <w:t>注：1.此表由镇有关职能部门考评填写，填写时务必认真，客观，实事求是。</w:t>
            </w:r>
          </w:p>
        </w:tc>
      </w:tr>
    </w:tbl>
    <w:p w14:paraId="3956746F">
      <w:pPr>
        <w:pStyle w:val="13"/>
        <w:ind w:firstLine="0"/>
        <w:jc w:val="left"/>
        <w:rPr>
          <w:rFonts w:hint="default" w:ascii="宋体" w:hAnsi="宋体" w:cs="宋体"/>
          <w:bCs/>
          <w:color w:val="auto"/>
          <w:sz w:val="21"/>
          <w:szCs w:val="21"/>
          <w:highlight w:val="none"/>
          <w:lang w:val="en-US" w:eastAsia="zh-CN"/>
        </w:rPr>
        <w:sectPr>
          <w:footerReference r:id="rId13" w:type="default"/>
          <w:pgSz w:w="11906" w:h="16838"/>
          <w:pgMar w:top="935" w:right="1644" w:bottom="567" w:left="1260" w:header="851" w:footer="564" w:gutter="0"/>
          <w:cols w:space="720" w:num="1"/>
          <w:docGrid w:type="linesAndChars" w:linePitch="312" w:charSpace="0"/>
        </w:sectPr>
      </w:pPr>
    </w:p>
    <w:p w14:paraId="4F8FEEDA">
      <w:pPr>
        <w:widowControl/>
        <w:spacing w:before="0" w:after="0" w:line="360" w:lineRule="auto"/>
        <w:jc w:val="center"/>
        <w:rPr>
          <w:rFonts w:hint="eastAsia" w:asciiTheme="majorEastAsia" w:hAnsiTheme="majorEastAsia" w:eastAsiaTheme="majorEastAsia" w:cstheme="majorEastAsia"/>
          <w:b/>
          <w:bCs/>
          <w:color w:val="auto"/>
          <w:sz w:val="28"/>
          <w:szCs w:val="28"/>
          <w:highlight w:val="none"/>
        </w:rPr>
      </w:pPr>
      <w:bookmarkStart w:id="143" w:name="_Toc18845"/>
      <w:r>
        <w:rPr>
          <w:rFonts w:hint="eastAsia" w:asciiTheme="majorEastAsia" w:hAnsiTheme="majorEastAsia" w:eastAsiaTheme="majorEastAsia" w:cstheme="majorEastAsia"/>
          <w:b/>
          <w:bCs/>
          <w:color w:val="auto"/>
          <w:sz w:val="28"/>
          <w:szCs w:val="28"/>
          <w:highlight w:val="none"/>
        </w:rPr>
        <w:t>第四部分  评审办法</w:t>
      </w:r>
      <w:bookmarkEnd w:id="143"/>
    </w:p>
    <w:bookmarkEnd w:id="4"/>
    <w:bookmarkEnd w:id="68"/>
    <w:bookmarkEnd w:id="69"/>
    <w:bookmarkEnd w:id="70"/>
    <w:bookmarkEnd w:id="71"/>
    <w:bookmarkEnd w:id="72"/>
    <w:bookmarkEnd w:id="135"/>
    <w:bookmarkEnd w:id="136"/>
    <w:bookmarkEnd w:id="137"/>
    <w:bookmarkEnd w:id="138"/>
    <w:bookmarkEnd w:id="139"/>
    <w:bookmarkEnd w:id="140"/>
    <w:p w14:paraId="1B701CF6">
      <w:pPr>
        <w:numPr>
          <w:ilvl w:val="0"/>
          <w:numId w:val="14"/>
        </w:numPr>
        <w:tabs>
          <w:tab w:val="clear" w:pos="851"/>
        </w:tabs>
        <w:snapToGrid w:val="0"/>
        <w:spacing w:line="360" w:lineRule="auto"/>
        <w:rPr>
          <w:rFonts w:ascii="宋体" w:hAnsi="宋体" w:cs="宋体"/>
          <w:b/>
          <w:color w:val="auto"/>
          <w:szCs w:val="21"/>
          <w:highlight w:val="none"/>
          <w:lang w:eastAsia="zh-TW"/>
        </w:rPr>
      </w:pPr>
      <w:r>
        <w:rPr>
          <w:rFonts w:hint="eastAsia" w:ascii="宋体" w:hAnsi="宋体" w:cs="宋体"/>
          <w:b/>
          <w:color w:val="auto"/>
          <w:szCs w:val="21"/>
          <w:highlight w:val="none"/>
        </w:rPr>
        <w:t>磋商小组</w:t>
      </w:r>
    </w:p>
    <w:p w14:paraId="65369B5C">
      <w:pPr>
        <w:numPr>
          <w:ilvl w:val="1"/>
          <w:numId w:val="14"/>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本次磋商按照磋商须知前附表第9项规定依法组建磋商小组。</w:t>
      </w:r>
    </w:p>
    <w:p w14:paraId="771BFE03">
      <w:pPr>
        <w:numPr>
          <w:ilvl w:val="1"/>
          <w:numId w:val="14"/>
        </w:numPr>
        <w:tabs>
          <w:tab w:val="clear" w:pos="851"/>
        </w:tabs>
        <w:snapToGrid w:val="0"/>
        <w:spacing w:line="360" w:lineRule="auto"/>
        <w:ind w:left="567" w:hanging="567"/>
        <w:rPr>
          <w:rFonts w:ascii="宋体" w:hAnsi="宋体"/>
          <w:color w:val="auto"/>
          <w:szCs w:val="21"/>
          <w:highlight w:val="none"/>
        </w:rPr>
      </w:pPr>
      <w:r>
        <w:rPr>
          <w:rFonts w:hint="eastAsia" w:ascii="宋体" w:hAnsi="宋体"/>
          <w:color w:val="auto"/>
          <w:szCs w:val="21"/>
          <w:highlight w:val="none"/>
        </w:rPr>
        <w:t>磋商小组所有成员集中对响应文件进行审查，与每个供应商分别进行先商务技术条件后价格的磋商，本次磋商采用一轮磋商，两次报价形式进行。最后报价提交时间视磋商进程由磋商小组决定。磋商小组也可视实际情况确定磋商轮次及报价次数，并提交评审报告及推荐成交供应商。</w:t>
      </w:r>
    </w:p>
    <w:p w14:paraId="33A03874">
      <w:pPr>
        <w:numPr>
          <w:ilvl w:val="1"/>
          <w:numId w:val="14"/>
        </w:numPr>
        <w:tabs>
          <w:tab w:val="clear" w:pos="851"/>
        </w:tabs>
        <w:snapToGrid w:val="0"/>
        <w:spacing w:line="360" w:lineRule="auto"/>
        <w:ind w:left="567" w:hanging="567"/>
        <w:rPr>
          <w:rFonts w:ascii="宋体" w:hAnsi="宋体"/>
          <w:b/>
          <w:bCs/>
          <w:color w:val="auto"/>
          <w:szCs w:val="21"/>
          <w:highlight w:val="none"/>
        </w:rPr>
      </w:pPr>
      <w:r>
        <w:rPr>
          <w:rFonts w:hint="eastAsia" w:ascii="宋体" w:hAnsi="宋体"/>
          <w:color w:val="auto"/>
          <w:szCs w:val="21"/>
          <w:highlight w:val="none"/>
        </w:rPr>
        <w:t>磋商小组名单在磋商结果确定前严格保密。</w:t>
      </w:r>
    </w:p>
    <w:p w14:paraId="3A83CA63">
      <w:pPr>
        <w:numPr>
          <w:ilvl w:val="0"/>
          <w:numId w:val="14"/>
        </w:numPr>
        <w:tabs>
          <w:tab w:val="clear" w:pos="851"/>
        </w:tabs>
        <w:snapToGrid w:val="0"/>
        <w:spacing w:line="360" w:lineRule="auto"/>
        <w:rPr>
          <w:rFonts w:ascii="宋体" w:hAnsi="宋体" w:cs="宋体"/>
          <w:b/>
          <w:color w:val="auto"/>
          <w:szCs w:val="21"/>
          <w:highlight w:val="none"/>
          <w:lang w:eastAsia="zh-TW"/>
        </w:rPr>
      </w:pPr>
      <w:r>
        <w:rPr>
          <w:rFonts w:hint="eastAsia" w:ascii="宋体" w:hAnsi="宋体" w:cs="宋体"/>
          <w:b/>
          <w:color w:val="auto"/>
          <w:szCs w:val="21"/>
          <w:highlight w:val="none"/>
        </w:rPr>
        <w:t>评审方法：综合评分法。</w:t>
      </w:r>
    </w:p>
    <w:p w14:paraId="506128EA">
      <w:pPr>
        <w:snapToGrid w:val="0"/>
        <w:spacing w:line="360" w:lineRule="auto"/>
        <w:ind w:firstLine="411" w:firstLineChars="196"/>
        <w:rPr>
          <w:rFonts w:ascii="宋体" w:hAnsi="宋体"/>
          <w:b/>
          <w:color w:val="auto"/>
          <w:szCs w:val="21"/>
          <w:highlight w:val="none"/>
        </w:rPr>
      </w:pPr>
      <w:r>
        <w:rPr>
          <w:rFonts w:hint="eastAsia" w:ascii="宋体" w:hAnsi="宋体"/>
          <w:b/>
          <w:color w:val="auto"/>
          <w:szCs w:val="21"/>
          <w:highlight w:val="none"/>
        </w:rPr>
        <w:t>先进行资格、符合性评审的第一阶段审查，不通过第一阶段审查的供应商，其响应文件作无效处理，不进入磋商阶段。磋商完成后，进行资格、符合性评审的第二阶段审查，然后进行详细评审。</w:t>
      </w:r>
    </w:p>
    <w:p w14:paraId="6B1D5DEC">
      <w:pPr>
        <w:numPr>
          <w:ilvl w:val="0"/>
          <w:numId w:val="14"/>
        </w:numPr>
        <w:tabs>
          <w:tab w:val="clear" w:pos="851"/>
        </w:tabs>
        <w:snapToGrid w:val="0"/>
        <w:spacing w:line="360" w:lineRule="auto"/>
        <w:rPr>
          <w:rFonts w:ascii="宋体" w:hAnsi="宋体" w:cs="宋体"/>
          <w:b/>
          <w:color w:val="auto"/>
          <w:szCs w:val="21"/>
          <w:highlight w:val="none"/>
          <w:lang w:eastAsia="zh-TW"/>
        </w:rPr>
      </w:pPr>
      <w:r>
        <w:rPr>
          <w:rFonts w:hint="eastAsia" w:ascii="宋体" w:hAnsi="宋体" w:cs="宋体"/>
          <w:b/>
          <w:color w:val="auto"/>
          <w:szCs w:val="21"/>
          <w:highlight w:val="none"/>
        </w:rPr>
        <w:t>评审程序</w:t>
      </w:r>
    </w:p>
    <w:p w14:paraId="3D747038">
      <w:pPr>
        <w:numPr>
          <w:ilvl w:val="1"/>
          <w:numId w:val="15"/>
        </w:numPr>
        <w:tabs>
          <w:tab w:val="left" w:pos="567"/>
        </w:tabs>
        <w:snapToGrid w:val="0"/>
        <w:spacing w:line="360" w:lineRule="auto"/>
        <w:rPr>
          <w:rFonts w:ascii="宋体" w:hAnsi="宋体"/>
          <w:b/>
          <w:color w:val="auto"/>
          <w:szCs w:val="21"/>
          <w:highlight w:val="none"/>
        </w:rPr>
      </w:pPr>
      <w:r>
        <w:rPr>
          <w:rFonts w:hint="eastAsia" w:ascii="宋体" w:hAnsi="宋体"/>
          <w:b/>
          <w:color w:val="auto"/>
          <w:szCs w:val="21"/>
          <w:highlight w:val="none"/>
        </w:rPr>
        <w:t>确定磋商次序</w:t>
      </w:r>
    </w:p>
    <w:p w14:paraId="5AB5D804">
      <w:pPr>
        <w:snapToGrid w:val="0"/>
        <w:spacing w:line="360" w:lineRule="auto"/>
        <w:ind w:left="567" w:leftChars="270"/>
        <w:rPr>
          <w:rFonts w:ascii="宋体" w:hAnsi="宋体"/>
          <w:color w:val="auto"/>
          <w:szCs w:val="21"/>
          <w:highlight w:val="none"/>
        </w:rPr>
      </w:pPr>
      <w:r>
        <w:rPr>
          <w:rFonts w:hint="eastAsia" w:ascii="宋体" w:hAnsi="宋体"/>
          <w:color w:val="auto"/>
          <w:szCs w:val="21"/>
          <w:highlight w:val="none"/>
        </w:rPr>
        <w:t>按照供应商递交首次磋商响应文件的先后顺序作为磋商的先后顺序。</w:t>
      </w:r>
    </w:p>
    <w:p w14:paraId="3F2F6DF4">
      <w:pPr>
        <w:numPr>
          <w:ilvl w:val="1"/>
          <w:numId w:val="15"/>
        </w:numPr>
        <w:tabs>
          <w:tab w:val="clear" w:pos="851"/>
        </w:tabs>
        <w:snapToGrid w:val="0"/>
        <w:spacing w:line="360" w:lineRule="auto"/>
        <w:ind w:left="567" w:hanging="567"/>
        <w:rPr>
          <w:rFonts w:ascii="宋体" w:hAnsi="宋体"/>
          <w:b/>
          <w:color w:val="auto"/>
          <w:szCs w:val="21"/>
          <w:highlight w:val="none"/>
        </w:rPr>
      </w:pPr>
      <w:r>
        <w:rPr>
          <w:rFonts w:hint="eastAsia" w:ascii="宋体" w:hAnsi="宋体"/>
          <w:b/>
          <w:color w:val="auto"/>
          <w:szCs w:val="21"/>
          <w:highlight w:val="none"/>
        </w:rPr>
        <w:t>磋商小组确认磋商文件</w:t>
      </w:r>
    </w:p>
    <w:p w14:paraId="097706B8">
      <w:pPr>
        <w:numPr>
          <w:ilvl w:val="1"/>
          <w:numId w:val="15"/>
        </w:numPr>
        <w:tabs>
          <w:tab w:val="clear" w:pos="851"/>
        </w:tabs>
        <w:snapToGrid w:val="0"/>
        <w:spacing w:line="360" w:lineRule="auto"/>
        <w:ind w:left="567" w:hanging="567"/>
        <w:rPr>
          <w:rFonts w:ascii="宋体" w:hAnsi="宋体"/>
          <w:b/>
          <w:color w:val="auto"/>
          <w:szCs w:val="21"/>
          <w:highlight w:val="none"/>
        </w:rPr>
      </w:pPr>
      <w:r>
        <w:rPr>
          <w:rFonts w:hint="eastAsia" w:ascii="宋体" w:hAnsi="宋体"/>
          <w:b/>
          <w:color w:val="auto"/>
          <w:szCs w:val="21"/>
          <w:highlight w:val="none"/>
        </w:rPr>
        <w:t>资格、符合性评审</w:t>
      </w:r>
    </w:p>
    <w:p w14:paraId="6B50F508">
      <w:pPr>
        <w:snapToGrid w:val="0"/>
        <w:spacing w:line="360" w:lineRule="auto"/>
        <w:ind w:left="567" w:leftChars="270"/>
        <w:rPr>
          <w:rFonts w:ascii="宋体" w:hAnsi="宋体"/>
          <w:color w:val="auto"/>
          <w:szCs w:val="21"/>
          <w:highlight w:val="none"/>
        </w:rPr>
      </w:pPr>
      <w:r>
        <w:rPr>
          <w:rFonts w:hint="eastAsia" w:ascii="宋体" w:hAnsi="宋体"/>
          <w:color w:val="auto"/>
          <w:szCs w:val="21"/>
          <w:highlight w:val="none"/>
        </w:rPr>
        <w:t>磋商小组对每个供应商的响应文件进行资格、符合性评审。评审细则详见“附表一：资格、符合性评审表”。</w:t>
      </w:r>
      <w:r>
        <w:rPr>
          <w:rFonts w:hint="eastAsia" w:ascii="宋体" w:hAnsi="宋体"/>
          <w:b/>
          <w:color w:val="auto"/>
          <w:szCs w:val="21"/>
          <w:highlight w:val="none"/>
        </w:rPr>
        <w:t>对不通过第一阶段审查的供应商，由磋商小组或采购人代表将集体意见现场及时告知该供应商，其响应文件作无效处理，不参与磋商。</w:t>
      </w:r>
    </w:p>
    <w:p w14:paraId="59F43D2A">
      <w:pPr>
        <w:numPr>
          <w:ilvl w:val="1"/>
          <w:numId w:val="15"/>
        </w:numPr>
        <w:tabs>
          <w:tab w:val="clear" w:pos="851"/>
        </w:tabs>
        <w:snapToGrid w:val="0"/>
        <w:spacing w:line="360" w:lineRule="auto"/>
        <w:ind w:left="567" w:hanging="567"/>
        <w:rPr>
          <w:rFonts w:ascii="宋体" w:hAnsi="宋体"/>
          <w:b/>
          <w:color w:val="auto"/>
          <w:szCs w:val="21"/>
          <w:highlight w:val="none"/>
        </w:rPr>
      </w:pPr>
      <w:r>
        <w:rPr>
          <w:rFonts w:hint="eastAsia" w:ascii="宋体" w:hAnsi="宋体"/>
          <w:b/>
          <w:color w:val="auto"/>
          <w:szCs w:val="21"/>
          <w:highlight w:val="none"/>
        </w:rPr>
        <w:t>磋商</w:t>
      </w:r>
    </w:p>
    <w:p w14:paraId="5A135EDA">
      <w:pPr>
        <w:snapToGrid w:val="0"/>
        <w:spacing w:line="360" w:lineRule="auto"/>
        <w:rPr>
          <w:rFonts w:ascii="宋体" w:hAnsi="宋体"/>
          <w:b/>
          <w:color w:val="auto"/>
          <w:szCs w:val="21"/>
          <w:highlight w:val="none"/>
        </w:rPr>
      </w:pPr>
      <w:r>
        <w:rPr>
          <w:rFonts w:hint="eastAsia" w:ascii="宋体" w:hAnsi="宋体"/>
          <w:b/>
          <w:color w:val="auto"/>
          <w:szCs w:val="21"/>
          <w:highlight w:val="none"/>
        </w:rPr>
        <w:t>3.4.1磋商文件未发生实质性变动的：</w:t>
      </w:r>
    </w:p>
    <w:p w14:paraId="07D0928D">
      <w:pPr>
        <w:snapToGrid w:val="0"/>
        <w:spacing w:line="360" w:lineRule="auto"/>
        <w:ind w:left="567" w:leftChars="270"/>
        <w:rPr>
          <w:rFonts w:ascii="宋体" w:hAnsi="宋体"/>
          <w:color w:val="auto"/>
          <w:szCs w:val="21"/>
          <w:highlight w:val="none"/>
        </w:rPr>
      </w:pPr>
      <w:r>
        <w:rPr>
          <w:rFonts w:hint="eastAsia" w:ascii="宋体" w:hAnsi="宋体"/>
          <w:color w:val="auto"/>
          <w:szCs w:val="21"/>
          <w:highlight w:val="none"/>
        </w:rPr>
        <w:t>磋商小组集中与每个供应商分别进行磋商。磋商的内容主要是对响应文件的澄清、修正、补充、确认等。供应商磋商结束后，填写《最终报价表》，在该文件上注明最后报价及有关承诺。《最终报价表》是响应文件的有效组成部分。</w:t>
      </w:r>
    </w:p>
    <w:p w14:paraId="2F2B5FE3">
      <w:pPr>
        <w:snapToGrid w:val="0"/>
        <w:spacing w:line="360" w:lineRule="auto"/>
        <w:rPr>
          <w:rFonts w:ascii="宋体" w:hAnsi="宋体"/>
          <w:b/>
          <w:color w:val="auto"/>
          <w:szCs w:val="21"/>
          <w:highlight w:val="none"/>
        </w:rPr>
      </w:pPr>
      <w:r>
        <w:rPr>
          <w:rFonts w:hint="eastAsia" w:ascii="宋体" w:hAnsi="宋体"/>
          <w:b/>
          <w:color w:val="auto"/>
          <w:szCs w:val="21"/>
          <w:highlight w:val="none"/>
        </w:rPr>
        <w:t>3.4.2磋商文件发生实质性变动的：</w:t>
      </w:r>
    </w:p>
    <w:p w14:paraId="798872A9">
      <w:pPr>
        <w:snapToGrid w:val="0"/>
        <w:spacing w:line="360" w:lineRule="auto"/>
        <w:ind w:left="567" w:leftChars="270"/>
        <w:rPr>
          <w:rFonts w:ascii="宋体" w:hAnsi="宋体"/>
          <w:b/>
          <w:color w:val="auto"/>
          <w:szCs w:val="21"/>
          <w:highlight w:val="none"/>
        </w:rPr>
      </w:pPr>
      <w:r>
        <w:rPr>
          <w:rFonts w:hint="eastAsia" w:ascii="宋体" w:hAnsi="宋体"/>
          <w:b/>
          <w:color w:val="auto"/>
          <w:szCs w:val="21"/>
          <w:highlight w:val="none"/>
        </w:rPr>
        <w:t>（1）书面通知变更内容</w:t>
      </w:r>
    </w:p>
    <w:p w14:paraId="37BBCD8E">
      <w:pPr>
        <w:snapToGrid w:val="0"/>
        <w:spacing w:line="360" w:lineRule="auto"/>
        <w:ind w:left="567" w:leftChars="270"/>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经采购人代表确认后，由磋商小组书面通知所有供应商。对磋商文件作出的实质性变动是磋商文件的有效组成部分。</w:t>
      </w:r>
    </w:p>
    <w:p w14:paraId="76E6AC98">
      <w:pPr>
        <w:snapToGrid w:val="0"/>
        <w:spacing w:line="360" w:lineRule="auto"/>
        <w:ind w:left="567" w:leftChars="270"/>
        <w:rPr>
          <w:rFonts w:ascii="宋体" w:hAnsi="宋体"/>
          <w:b/>
          <w:color w:val="auto"/>
          <w:szCs w:val="21"/>
          <w:highlight w:val="none"/>
        </w:rPr>
      </w:pPr>
      <w:r>
        <w:rPr>
          <w:rFonts w:hint="eastAsia" w:ascii="宋体" w:hAnsi="宋体"/>
          <w:b/>
          <w:color w:val="auto"/>
          <w:szCs w:val="21"/>
          <w:highlight w:val="none"/>
        </w:rPr>
        <w:t>（2）磋商</w:t>
      </w:r>
    </w:p>
    <w:p w14:paraId="09241B86">
      <w:pPr>
        <w:snapToGrid w:val="0"/>
        <w:spacing w:line="360" w:lineRule="auto"/>
        <w:ind w:left="567" w:leftChars="270"/>
        <w:rPr>
          <w:rFonts w:ascii="宋体" w:hAnsi="宋体"/>
          <w:b/>
          <w:color w:val="auto"/>
          <w:szCs w:val="21"/>
          <w:highlight w:val="none"/>
          <w:u w:val="single"/>
        </w:rPr>
      </w:pPr>
      <w:r>
        <w:rPr>
          <w:rFonts w:hint="eastAsia" w:ascii="宋体" w:hAnsi="宋体"/>
          <w:color w:val="auto"/>
          <w:szCs w:val="21"/>
          <w:highlight w:val="none"/>
        </w:rPr>
        <w:t>磋商小组集中与接受磋商文件变更的每个供应商分别进行磋商，并形成磋商纪要。磋商的内容主要是对响应文件的澄清、修正、补充、确认等。</w:t>
      </w:r>
      <w:r>
        <w:rPr>
          <w:rFonts w:hint="eastAsia" w:ascii="宋体" w:hAnsi="宋体"/>
          <w:b/>
          <w:color w:val="auto"/>
          <w:szCs w:val="21"/>
          <w:highlight w:val="none"/>
          <w:u w:val="single"/>
        </w:rPr>
        <w:t>不接受磋商文件变更的供应商，视为自动退出磋商，其响应文件作无效处理。</w:t>
      </w:r>
    </w:p>
    <w:p w14:paraId="2C95AE4D">
      <w:pPr>
        <w:snapToGrid w:val="0"/>
        <w:spacing w:line="360" w:lineRule="auto"/>
        <w:ind w:left="567" w:leftChars="270"/>
        <w:rPr>
          <w:rFonts w:ascii="宋体" w:hAnsi="宋体"/>
          <w:b/>
          <w:color w:val="auto"/>
          <w:szCs w:val="21"/>
          <w:highlight w:val="none"/>
        </w:rPr>
      </w:pPr>
      <w:r>
        <w:rPr>
          <w:rFonts w:hint="eastAsia" w:ascii="宋体" w:hAnsi="宋体"/>
          <w:b/>
          <w:color w:val="auto"/>
          <w:szCs w:val="21"/>
          <w:highlight w:val="none"/>
        </w:rPr>
        <w:t>（3）重新提交响应文件（含报价</w:t>
      </w:r>
      <w:r>
        <w:rPr>
          <w:rFonts w:ascii="宋体" w:hAnsi="宋体"/>
          <w:b/>
          <w:color w:val="auto"/>
          <w:szCs w:val="21"/>
          <w:highlight w:val="none"/>
        </w:rPr>
        <w:t>）</w:t>
      </w:r>
    </w:p>
    <w:p w14:paraId="45AD8665">
      <w:pPr>
        <w:snapToGrid w:val="0"/>
        <w:spacing w:line="360" w:lineRule="auto"/>
        <w:ind w:left="567" w:leftChars="270"/>
        <w:rPr>
          <w:rFonts w:ascii="宋体" w:hAnsi="宋体"/>
          <w:color w:val="auto"/>
          <w:szCs w:val="21"/>
          <w:highlight w:val="none"/>
        </w:rPr>
      </w:pPr>
      <w:r>
        <w:rPr>
          <w:rFonts w:hint="eastAsia" w:ascii="宋体" w:hAnsi="宋体"/>
          <w:color w:val="auto"/>
          <w:szCs w:val="21"/>
          <w:highlight w:val="none"/>
        </w:rPr>
        <w:t>供应商应当按照磋商文件的变动情况和磋商小组的要求重新提交响应文件（指磋商结束后，在规定时间内填写《最终报价表》，在该文件上注明最后报价及有关承诺，并提交）。最终报价时间视磋商进程由磋商小组决定。《最终报价表》是响应文件的有效组成部分，须由其法定代表人或授权代表签字或印鉴或者加盖公章。由授权代表签字或印鉴的，应当附法定代表人授权书。供应商为自然人的，应当由本人签字或印鉴并附身份证明。</w:t>
      </w:r>
    </w:p>
    <w:p w14:paraId="3CEB34DF">
      <w:pPr>
        <w:snapToGrid w:val="0"/>
        <w:spacing w:line="360" w:lineRule="auto"/>
        <w:ind w:left="567" w:leftChars="270"/>
        <w:rPr>
          <w:rFonts w:ascii="宋体" w:hAnsi="宋体"/>
          <w:b/>
          <w:color w:val="auto"/>
          <w:szCs w:val="21"/>
          <w:highlight w:val="none"/>
          <w:u w:val="single"/>
        </w:rPr>
      </w:pPr>
      <w:r>
        <w:rPr>
          <w:rFonts w:hint="eastAsia" w:ascii="宋体" w:hAnsi="宋体"/>
          <w:b/>
          <w:color w:val="auto"/>
          <w:szCs w:val="21"/>
          <w:highlight w:val="none"/>
          <w:u w:val="single"/>
        </w:rPr>
        <w:t>★供应商未在规定时间内提交最终报价的，视为退出磋商，其响应文件作无效处理。</w:t>
      </w:r>
    </w:p>
    <w:p w14:paraId="450A888B">
      <w:pPr>
        <w:numPr>
          <w:ilvl w:val="1"/>
          <w:numId w:val="15"/>
        </w:numPr>
        <w:tabs>
          <w:tab w:val="clear" w:pos="851"/>
        </w:tabs>
        <w:snapToGrid w:val="0"/>
        <w:spacing w:line="360" w:lineRule="auto"/>
        <w:ind w:left="567" w:hanging="567"/>
        <w:rPr>
          <w:rFonts w:ascii="宋体" w:hAnsi="宋体"/>
          <w:b/>
          <w:color w:val="auto"/>
          <w:szCs w:val="21"/>
          <w:highlight w:val="none"/>
        </w:rPr>
      </w:pPr>
      <w:r>
        <w:rPr>
          <w:rFonts w:hint="eastAsia" w:ascii="宋体" w:hAnsi="宋体"/>
          <w:b/>
          <w:color w:val="auto"/>
          <w:szCs w:val="21"/>
          <w:highlight w:val="none"/>
        </w:rPr>
        <w:t>最终报价的详细报价的确定</w:t>
      </w:r>
    </w:p>
    <w:p w14:paraId="08E3430E">
      <w:pPr>
        <w:snapToGrid w:val="0"/>
        <w:spacing w:line="360" w:lineRule="auto"/>
        <w:ind w:left="567" w:leftChars="270"/>
        <w:rPr>
          <w:rFonts w:ascii="宋体" w:hAnsi="宋体"/>
          <w:color w:val="auto"/>
          <w:szCs w:val="21"/>
          <w:highlight w:val="none"/>
        </w:rPr>
      </w:pPr>
      <w:r>
        <w:rPr>
          <w:rFonts w:hint="eastAsia" w:ascii="宋体" w:hAnsi="宋体"/>
          <w:color w:val="auto"/>
          <w:szCs w:val="21"/>
          <w:highlight w:val="none"/>
        </w:rPr>
        <w:t>供应商应在最终报价表中详细填写各项单价。若只填写总价不填报单价，则视为供应商同意按照下浮率b%对首次报价表中的单价进行统一下浮。</w:t>
      </w:r>
    </w:p>
    <w:p w14:paraId="7BD583F7">
      <w:pPr>
        <w:snapToGrid w:val="0"/>
        <w:spacing w:line="360" w:lineRule="auto"/>
        <w:ind w:left="567" w:leftChars="270"/>
        <w:rPr>
          <w:rFonts w:ascii="宋体" w:hAnsi="宋体"/>
          <w:color w:val="auto"/>
          <w:szCs w:val="21"/>
          <w:highlight w:val="none"/>
        </w:rPr>
      </w:pPr>
      <w:r>
        <w:rPr>
          <w:rFonts w:hint="eastAsia" w:ascii="宋体" w:hAnsi="宋体"/>
          <w:color w:val="auto"/>
          <w:szCs w:val="21"/>
          <w:highlight w:val="none"/>
        </w:rPr>
        <w:t>下浮率b%的计算方法=1-最终报价总价/首次报价总价</w:t>
      </w:r>
    </w:p>
    <w:p w14:paraId="5EB630B3">
      <w:pPr>
        <w:snapToGrid w:val="0"/>
        <w:spacing w:line="360" w:lineRule="auto"/>
        <w:ind w:left="567" w:leftChars="270"/>
        <w:rPr>
          <w:rFonts w:ascii="宋体" w:hAnsi="宋体"/>
          <w:color w:val="auto"/>
          <w:szCs w:val="21"/>
          <w:highlight w:val="none"/>
        </w:rPr>
      </w:pPr>
      <w:r>
        <w:rPr>
          <w:rFonts w:hint="eastAsia" w:ascii="宋体" w:hAnsi="宋体"/>
          <w:color w:val="auto"/>
          <w:szCs w:val="21"/>
          <w:highlight w:val="none"/>
        </w:rPr>
        <w:t>当供应商的最终报价总价高于首次报价总价的，供应商应当在最终报价表中详细填写各项单价。</w:t>
      </w:r>
    </w:p>
    <w:p w14:paraId="578A80FE">
      <w:pPr>
        <w:numPr>
          <w:ilvl w:val="1"/>
          <w:numId w:val="15"/>
        </w:numPr>
        <w:tabs>
          <w:tab w:val="clear" w:pos="851"/>
        </w:tabs>
        <w:snapToGrid w:val="0"/>
        <w:spacing w:line="360" w:lineRule="auto"/>
        <w:ind w:left="567" w:hanging="567"/>
        <w:rPr>
          <w:rFonts w:ascii="宋体" w:hAnsi="宋体"/>
          <w:b/>
          <w:color w:val="auto"/>
          <w:szCs w:val="21"/>
          <w:highlight w:val="none"/>
        </w:rPr>
      </w:pPr>
      <w:r>
        <w:rPr>
          <w:rFonts w:hint="eastAsia" w:ascii="宋体" w:hAnsi="宋体"/>
          <w:b/>
          <w:color w:val="auto"/>
          <w:szCs w:val="21"/>
          <w:highlight w:val="none"/>
        </w:rPr>
        <w:t>最终报价</w:t>
      </w:r>
    </w:p>
    <w:p w14:paraId="3AA3F067">
      <w:pPr>
        <w:snapToGrid w:val="0"/>
        <w:spacing w:line="360" w:lineRule="auto"/>
        <w:ind w:left="567" w:leftChars="270"/>
        <w:rPr>
          <w:rFonts w:ascii="宋体" w:hAnsi="宋体"/>
          <w:color w:val="auto"/>
          <w:szCs w:val="21"/>
          <w:highlight w:val="none"/>
        </w:rPr>
      </w:pPr>
      <w:r>
        <w:rPr>
          <w:rFonts w:hint="eastAsia" w:ascii="宋体" w:hAnsi="宋体"/>
          <w:color w:val="auto"/>
          <w:szCs w:val="21"/>
          <w:highlight w:val="none"/>
        </w:rPr>
        <w:t>最终报价内容现场不公布。</w:t>
      </w:r>
    </w:p>
    <w:p w14:paraId="6E25783A">
      <w:pPr>
        <w:numPr>
          <w:ilvl w:val="1"/>
          <w:numId w:val="15"/>
        </w:numPr>
        <w:tabs>
          <w:tab w:val="clear" w:pos="851"/>
        </w:tabs>
        <w:snapToGrid w:val="0"/>
        <w:spacing w:line="360" w:lineRule="auto"/>
        <w:ind w:left="567" w:hanging="567"/>
        <w:rPr>
          <w:rFonts w:ascii="宋体" w:hAnsi="宋体"/>
          <w:b/>
          <w:color w:val="auto"/>
          <w:szCs w:val="21"/>
          <w:highlight w:val="none"/>
        </w:rPr>
      </w:pPr>
      <w:r>
        <w:rPr>
          <w:rFonts w:hint="eastAsia" w:ascii="宋体" w:hAnsi="宋体"/>
          <w:b/>
          <w:color w:val="auto"/>
          <w:szCs w:val="21"/>
          <w:highlight w:val="none"/>
        </w:rPr>
        <w:t>最终方案评审</w:t>
      </w:r>
    </w:p>
    <w:p w14:paraId="1A18E565">
      <w:pPr>
        <w:snapToGrid w:val="0"/>
        <w:spacing w:line="360" w:lineRule="auto"/>
        <w:ind w:firstLine="420" w:firstLineChars="200"/>
        <w:rPr>
          <w:rFonts w:ascii="宋体" w:hAnsi="宋体"/>
          <w:color w:val="auto"/>
          <w:szCs w:val="21"/>
          <w:highlight w:val="none"/>
        </w:rPr>
      </w:pPr>
      <w:r>
        <w:rPr>
          <w:rFonts w:hint="eastAsia" w:ascii="宋体" w:hAnsi="宋体"/>
          <w:b/>
          <w:color w:val="auto"/>
          <w:szCs w:val="21"/>
          <w:highlight w:val="none"/>
        </w:rPr>
        <w:t>经磋商确定最终采购需求和提交最后报价的供应商后，由磋商小组采用综合评分法对提交最后报价的供应商的响应文件和最后报价进行综合评分（即技术、商务及价格的详细评审）。</w:t>
      </w:r>
    </w:p>
    <w:p w14:paraId="3C34B6D1">
      <w:pPr>
        <w:numPr>
          <w:ilvl w:val="1"/>
          <w:numId w:val="16"/>
        </w:numPr>
        <w:spacing w:line="360" w:lineRule="auto"/>
        <w:ind w:left="748" w:hanging="28"/>
        <w:rPr>
          <w:rFonts w:ascii="宋体" w:hAnsi="宋体"/>
          <w:color w:val="auto"/>
          <w:szCs w:val="21"/>
          <w:highlight w:val="none"/>
        </w:rPr>
      </w:pPr>
      <w:r>
        <w:rPr>
          <w:rFonts w:hint="eastAsia" w:ascii="宋体" w:hAnsi="宋体"/>
          <w:color w:val="auto"/>
          <w:szCs w:val="21"/>
          <w:highlight w:val="none"/>
        </w:rPr>
        <w:t>资格、符合性评审表（详见附表一）</w:t>
      </w:r>
    </w:p>
    <w:p w14:paraId="6E2EC22E">
      <w:pPr>
        <w:numPr>
          <w:ilvl w:val="1"/>
          <w:numId w:val="16"/>
        </w:numPr>
        <w:spacing w:line="360" w:lineRule="auto"/>
        <w:ind w:left="748" w:hanging="28"/>
        <w:rPr>
          <w:rFonts w:ascii="宋体" w:hAnsi="宋体"/>
          <w:color w:val="auto"/>
          <w:szCs w:val="21"/>
          <w:highlight w:val="none"/>
        </w:rPr>
      </w:pPr>
      <w:r>
        <w:rPr>
          <w:rFonts w:hint="eastAsia" w:ascii="宋体" w:hAnsi="宋体"/>
          <w:color w:val="auto"/>
          <w:szCs w:val="21"/>
          <w:highlight w:val="none"/>
        </w:rPr>
        <w:t>技术评审表（详见附表二）</w:t>
      </w:r>
    </w:p>
    <w:p w14:paraId="57CA918C">
      <w:pPr>
        <w:numPr>
          <w:ilvl w:val="1"/>
          <w:numId w:val="16"/>
        </w:numPr>
        <w:spacing w:line="360" w:lineRule="auto"/>
        <w:ind w:left="748" w:hanging="28"/>
        <w:rPr>
          <w:rFonts w:ascii="宋体" w:hAnsi="宋体"/>
          <w:color w:val="auto"/>
          <w:szCs w:val="21"/>
          <w:highlight w:val="none"/>
        </w:rPr>
      </w:pPr>
      <w:r>
        <w:rPr>
          <w:rFonts w:hint="eastAsia" w:ascii="宋体" w:hAnsi="宋体"/>
          <w:color w:val="auto"/>
          <w:szCs w:val="21"/>
          <w:highlight w:val="none"/>
        </w:rPr>
        <w:t>商务评审表（详见附表三）</w:t>
      </w:r>
    </w:p>
    <w:p w14:paraId="5423F299">
      <w:pPr>
        <w:numPr>
          <w:ilvl w:val="1"/>
          <w:numId w:val="16"/>
        </w:numPr>
        <w:spacing w:line="360" w:lineRule="auto"/>
        <w:ind w:left="748" w:hanging="28"/>
        <w:rPr>
          <w:rFonts w:ascii="宋体" w:hAnsi="宋体"/>
          <w:color w:val="auto"/>
          <w:szCs w:val="21"/>
          <w:highlight w:val="none"/>
        </w:rPr>
      </w:pPr>
      <w:r>
        <w:rPr>
          <w:rFonts w:hint="eastAsia" w:ascii="宋体" w:hAnsi="宋体"/>
          <w:color w:val="auto"/>
          <w:szCs w:val="21"/>
          <w:highlight w:val="none"/>
        </w:rPr>
        <w:t>价格评审（详见附表四）</w:t>
      </w:r>
    </w:p>
    <w:p w14:paraId="60DC1CA4">
      <w:pPr>
        <w:snapToGrid w:val="0"/>
        <w:spacing w:line="360" w:lineRule="auto"/>
        <w:rPr>
          <w:rFonts w:ascii="宋体" w:hAnsi="宋体"/>
          <w:b/>
          <w:color w:val="auto"/>
          <w:szCs w:val="21"/>
          <w:highlight w:val="none"/>
        </w:rPr>
      </w:pPr>
      <w:r>
        <w:rPr>
          <w:rFonts w:hint="eastAsia" w:ascii="宋体" w:hAnsi="宋体"/>
          <w:b/>
          <w:color w:val="auto"/>
          <w:szCs w:val="21"/>
          <w:highlight w:val="none"/>
        </w:rPr>
        <w:t>3.7.1比较与评价</w:t>
      </w:r>
    </w:p>
    <w:p w14:paraId="5EF320C2">
      <w:pPr>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磋商小组按磋商文件中规定的评审方法和标准，对通过第一、第二阶段资格、符合性评审的响应文件进行商务和技术评估，综合比较与评价。技术、商务、价格部分分值分配如下：</w:t>
      </w:r>
    </w:p>
    <w:tbl>
      <w:tblPr>
        <w:tblStyle w:val="33"/>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889"/>
        <w:gridCol w:w="1701"/>
        <w:gridCol w:w="1522"/>
        <w:gridCol w:w="1406"/>
        <w:gridCol w:w="1556"/>
      </w:tblGrid>
      <w:tr w14:paraId="381D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Align w:val="center"/>
          </w:tcPr>
          <w:p w14:paraId="4F29E50B">
            <w:pPr>
              <w:autoSpaceDE w:val="0"/>
              <w:autoSpaceDN w:val="0"/>
              <w:adjustRightIn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评分项目</w:t>
            </w:r>
          </w:p>
        </w:tc>
        <w:tc>
          <w:tcPr>
            <w:tcW w:w="1889" w:type="dxa"/>
            <w:vAlign w:val="center"/>
          </w:tcPr>
          <w:p w14:paraId="3954F691">
            <w:pPr>
              <w:autoSpaceDE w:val="0"/>
              <w:autoSpaceDN w:val="0"/>
              <w:adjustRightIn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技术评分</w:t>
            </w:r>
          </w:p>
        </w:tc>
        <w:tc>
          <w:tcPr>
            <w:tcW w:w="1701" w:type="dxa"/>
            <w:vAlign w:val="center"/>
          </w:tcPr>
          <w:p w14:paraId="0339DD2D">
            <w:pPr>
              <w:autoSpaceDE w:val="0"/>
              <w:autoSpaceDN w:val="0"/>
              <w:adjustRightIn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商务评分</w:t>
            </w:r>
          </w:p>
        </w:tc>
        <w:tc>
          <w:tcPr>
            <w:tcW w:w="1522" w:type="dxa"/>
            <w:vAlign w:val="center"/>
          </w:tcPr>
          <w:p w14:paraId="60BFD296">
            <w:pPr>
              <w:autoSpaceDE w:val="0"/>
              <w:autoSpaceDN w:val="0"/>
              <w:adjustRightInd w:val="0"/>
              <w:spacing w:line="360" w:lineRule="auto"/>
              <w:ind w:left="0" w:leftChars="-51" w:hanging="107" w:hangingChars="51"/>
              <w:jc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综合信用分</w:t>
            </w:r>
          </w:p>
        </w:tc>
        <w:tc>
          <w:tcPr>
            <w:tcW w:w="1406" w:type="dxa"/>
            <w:vAlign w:val="center"/>
          </w:tcPr>
          <w:p w14:paraId="55CD33CF">
            <w:pPr>
              <w:autoSpaceDE w:val="0"/>
              <w:autoSpaceDN w:val="0"/>
              <w:adjustRightInd w:val="0"/>
              <w:spacing w:line="360" w:lineRule="auto"/>
              <w:ind w:left="0" w:leftChars="-51" w:hanging="107" w:hanging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价格评分</w:t>
            </w:r>
          </w:p>
        </w:tc>
        <w:tc>
          <w:tcPr>
            <w:tcW w:w="1556" w:type="dxa"/>
            <w:vAlign w:val="center"/>
          </w:tcPr>
          <w:p w14:paraId="18E9320E">
            <w:pPr>
              <w:spacing w:line="360" w:lineRule="auto"/>
              <w:jc w:val="center"/>
              <w:rPr>
                <w:rFonts w:ascii="宋体" w:hAnsi="宋体"/>
                <w:b/>
                <w:color w:val="auto"/>
                <w:szCs w:val="21"/>
                <w:highlight w:val="none"/>
              </w:rPr>
            </w:pPr>
            <w:r>
              <w:rPr>
                <w:rFonts w:hint="eastAsia" w:ascii="宋体" w:hAnsi="宋体"/>
                <w:b/>
                <w:color w:val="auto"/>
                <w:szCs w:val="21"/>
                <w:highlight w:val="none"/>
              </w:rPr>
              <w:t>合  计</w:t>
            </w:r>
          </w:p>
        </w:tc>
      </w:tr>
      <w:tr w14:paraId="2D8B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Align w:val="center"/>
          </w:tcPr>
          <w:p w14:paraId="5553AD7F">
            <w:pPr>
              <w:autoSpaceDE w:val="0"/>
              <w:autoSpaceDN w:val="0"/>
              <w:adjustRightIn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权重</w:t>
            </w:r>
          </w:p>
        </w:tc>
        <w:tc>
          <w:tcPr>
            <w:tcW w:w="1889" w:type="dxa"/>
            <w:vAlign w:val="center"/>
          </w:tcPr>
          <w:p w14:paraId="0F89FEA0">
            <w:pPr>
              <w:autoSpaceDE w:val="0"/>
              <w:autoSpaceDN w:val="0"/>
              <w:adjustRightInd w:val="0"/>
              <w:spacing w:line="360" w:lineRule="auto"/>
              <w:jc w:val="center"/>
              <w:rPr>
                <w:rFonts w:ascii="宋体" w:hAnsi="宋体" w:cs="宋体"/>
                <w:b/>
                <w:color w:val="auto"/>
                <w:kern w:val="0"/>
                <w:szCs w:val="21"/>
                <w:highlight w:val="none"/>
              </w:rPr>
            </w:pPr>
            <w:r>
              <w:rPr>
                <w:rFonts w:hint="eastAsia" w:ascii="宋体" w:hAnsi="宋体"/>
                <w:b/>
                <w:color w:val="auto"/>
                <w:szCs w:val="21"/>
                <w:highlight w:val="none"/>
              </w:rPr>
              <w:t>60%</w:t>
            </w:r>
          </w:p>
        </w:tc>
        <w:tc>
          <w:tcPr>
            <w:tcW w:w="1701" w:type="dxa"/>
            <w:vAlign w:val="center"/>
          </w:tcPr>
          <w:p w14:paraId="43BE3A69">
            <w:pPr>
              <w:autoSpaceDE w:val="0"/>
              <w:autoSpaceDN w:val="0"/>
              <w:adjustRightInd w:val="0"/>
              <w:spacing w:line="360" w:lineRule="auto"/>
              <w:jc w:val="center"/>
              <w:rPr>
                <w:rFonts w:ascii="宋体" w:hAnsi="宋体" w:cs="宋体"/>
                <w:b/>
                <w:color w:val="auto"/>
                <w:kern w:val="0"/>
                <w:szCs w:val="21"/>
                <w:highlight w:val="none"/>
              </w:rPr>
            </w:pPr>
            <w:r>
              <w:rPr>
                <w:rFonts w:hint="eastAsia" w:ascii="宋体" w:hAnsi="宋体"/>
                <w:b/>
                <w:color w:val="auto"/>
                <w:szCs w:val="21"/>
                <w:highlight w:val="none"/>
                <w:lang w:val="en-US" w:eastAsia="zh-CN"/>
              </w:rPr>
              <w:t>25</w:t>
            </w:r>
            <w:r>
              <w:rPr>
                <w:rFonts w:hint="eastAsia" w:ascii="宋体" w:hAnsi="宋体"/>
                <w:b/>
                <w:color w:val="auto"/>
                <w:szCs w:val="21"/>
                <w:highlight w:val="none"/>
              </w:rPr>
              <w:t>%</w:t>
            </w:r>
          </w:p>
        </w:tc>
        <w:tc>
          <w:tcPr>
            <w:tcW w:w="1522" w:type="dxa"/>
            <w:vAlign w:val="center"/>
          </w:tcPr>
          <w:p w14:paraId="729D81C7">
            <w:pPr>
              <w:autoSpaceDE w:val="0"/>
              <w:autoSpaceDN w:val="0"/>
              <w:adjustRightInd w:val="0"/>
              <w:spacing w:line="360" w:lineRule="auto"/>
              <w:ind w:left="0" w:leftChars="-51" w:hanging="107" w:hangingChars="51"/>
              <w:jc w:val="center"/>
              <w:rPr>
                <w:rFonts w:ascii="宋体" w:hAnsi="宋体" w:cs="宋体"/>
                <w:b/>
                <w:color w:val="auto"/>
                <w:kern w:val="0"/>
                <w:szCs w:val="21"/>
                <w:highlight w:val="none"/>
              </w:rPr>
            </w:pPr>
            <w:r>
              <w:rPr>
                <w:rFonts w:hint="eastAsia" w:ascii="宋体" w:hAnsi="宋体"/>
                <w:b/>
                <w:color w:val="auto"/>
                <w:szCs w:val="21"/>
                <w:highlight w:val="none"/>
                <w:lang w:val="en-US" w:eastAsia="zh-CN"/>
              </w:rPr>
              <w:t>5</w:t>
            </w:r>
            <w:r>
              <w:rPr>
                <w:rFonts w:hint="eastAsia" w:ascii="宋体" w:hAnsi="宋体"/>
                <w:b/>
                <w:color w:val="auto"/>
                <w:szCs w:val="21"/>
                <w:highlight w:val="none"/>
              </w:rPr>
              <w:t>%</w:t>
            </w:r>
          </w:p>
        </w:tc>
        <w:tc>
          <w:tcPr>
            <w:tcW w:w="1406" w:type="dxa"/>
            <w:vAlign w:val="center"/>
          </w:tcPr>
          <w:p w14:paraId="651B4656">
            <w:pPr>
              <w:autoSpaceDE w:val="0"/>
              <w:autoSpaceDN w:val="0"/>
              <w:adjustRightInd w:val="0"/>
              <w:spacing w:line="360" w:lineRule="auto"/>
              <w:ind w:left="0" w:leftChars="-51" w:hanging="107" w:hangingChars="51"/>
              <w:jc w:val="center"/>
              <w:rPr>
                <w:rFonts w:hint="eastAsia" w:ascii="宋体" w:hAnsi="宋体"/>
                <w:b/>
                <w:color w:val="auto"/>
                <w:szCs w:val="21"/>
                <w:highlight w:val="none"/>
              </w:rPr>
            </w:pPr>
            <w:r>
              <w:rPr>
                <w:rFonts w:hint="eastAsia" w:ascii="宋体" w:hAnsi="宋体"/>
                <w:b/>
                <w:color w:val="auto"/>
                <w:szCs w:val="21"/>
                <w:highlight w:val="none"/>
              </w:rPr>
              <w:t>10%</w:t>
            </w:r>
          </w:p>
        </w:tc>
        <w:tc>
          <w:tcPr>
            <w:tcW w:w="1556" w:type="dxa"/>
            <w:vAlign w:val="center"/>
          </w:tcPr>
          <w:p w14:paraId="235D9CED">
            <w:pPr>
              <w:spacing w:line="360" w:lineRule="auto"/>
              <w:jc w:val="center"/>
              <w:rPr>
                <w:rFonts w:ascii="宋体" w:hAnsi="宋体"/>
                <w:b/>
                <w:color w:val="auto"/>
                <w:szCs w:val="21"/>
                <w:highlight w:val="none"/>
              </w:rPr>
            </w:pPr>
            <w:r>
              <w:rPr>
                <w:rFonts w:hint="eastAsia" w:ascii="宋体" w:hAnsi="宋体"/>
                <w:b/>
                <w:color w:val="auto"/>
                <w:szCs w:val="21"/>
                <w:highlight w:val="none"/>
              </w:rPr>
              <w:t>100%</w:t>
            </w:r>
          </w:p>
        </w:tc>
      </w:tr>
      <w:tr w14:paraId="7A16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16" w:type="dxa"/>
            <w:vAlign w:val="center"/>
          </w:tcPr>
          <w:p w14:paraId="45687880">
            <w:pPr>
              <w:autoSpaceDE w:val="0"/>
              <w:autoSpaceDN w:val="0"/>
              <w:adjustRightIn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分值</w:t>
            </w:r>
          </w:p>
        </w:tc>
        <w:tc>
          <w:tcPr>
            <w:tcW w:w="1889" w:type="dxa"/>
            <w:vAlign w:val="center"/>
          </w:tcPr>
          <w:p w14:paraId="323E2688">
            <w:pPr>
              <w:autoSpaceDE w:val="0"/>
              <w:autoSpaceDN w:val="0"/>
              <w:adjustRightIn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60分</w:t>
            </w:r>
          </w:p>
        </w:tc>
        <w:tc>
          <w:tcPr>
            <w:tcW w:w="1701" w:type="dxa"/>
            <w:vAlign w:val="center"/>
          </w:tcPr>
          <w:p w14:paraId="25EDF909">
            <w:pPr>
              <w:autoSpaceDE w:val="0"/>
              <w:autoSpaceDN w:val="0"/>
              <w:adjustRightIn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25</w:t>
            </w:r>
            <w:r>
              <w:rPr>
                <w:rFonts w:hint="eastAsia" w:ascii="宋体" w:hAnsi="宋体" w:cs="宋体"/>
                <w:b/>
                <w:color w:val="auto"/>
                <w:kern w:val="0"/>
                <w:szCs w:val="21"/>
                <w:highlight w:val="none"/>
              </w:rPr>
              <w:t>分</w:t>
            </w:r>
          </w:p>
        </w:tc>
        <w:tc>
          <w:tcPr>
            <w:tcW w:w="1522" w:type="dxa"/>
            <w:vAlign w:val="center"/>
          </w:tcPr>
          <w:p w14:paraId="1B1CC0E5">
            <w:pPr>
              <w:autoSpaceDE w:val="0"/>
              <w:autoSpaceDN w:val="0"/>
              <w:adjustRightInd w:val="0"/>
              <w:spacing w:line="360" w:lineRule="auto"/>
              <w:ind w:left="0" w:leftChars="-51" w:hanging="107" w:hangingChars="51"/>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5</w:t>
            </w:r>
            <w:r>
              <w:rPr>
                <w:rFonts w:hint="eastAsia" w:ascii="宋体" w:hAnsi="宋体" w:cs="宋体"/>
                <w:b/>
                <w:color w:val="auto"/>
                <w:kern w:val="0"/>
                <w:szCs w:val="21"/>
                <w:highlight w:val="none"/>
              </w:rPr>
              <w:t>分</w:t>
            </w:r>
          </w:p>
        </w:tc>
        <w:tc>
          <w:tcPr>
            <w:tcW w:w="1406" w:type="dxa"/>
            <w:vAlign w:val="center"/>
          </w:tcPr>
          <w:p w14:paraId="0B4349AA">
            <w:pPr>
              <w:autoSpaceDE w:val="0"/>
              <w:autoSpaceDN w:val="0"/>
              <w:adjustRightInd w:val="0"/>
              <w:spacing w:line="360" w:lineRule="auto"/>
              <w:ind w:left="0" w:leftChars="-51" w:hanging="107" w:hanging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10分</w:t>
            </w:r>
          </w:p>
        </w:tc>
        <w:tc>
          <w:tcPr>
            <w:tcW w:w="1556" w:type="dxa"/>
            <w:vAlign w:val="center"/>
          </w:tcPr>
          <w:p w14:paraId="7715EB49">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100分</w:t>
            </w:r>
          </w:p>
        </w:tc>
      </w:tr>
    </w:tbl>
    <w:p w14:paraId="4D5CF362">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具体量化打分标准如下：</w:t>
      </w:r>
    </w:p>
    <w:p w14:paraId="41A1529E">
      <w:pPr>
        <w:snapToGrid w:val="0"/>
        <w:spacing w:line="360" w:lineRule="auto"/>
        <w:rPr>
          <w:rFonts w:ascii="宋体" w:hAnsi="宋体"/>
          <w:b/>
          <w:color w:val="auto"/>
          <w:szCs w:val="21"/>
          <w:highlight w:val="none"/>
        </w:rPr>
      </w:pPr>
      <w:r>
        <w:rPr>
          <w:rFonts w:hint="eastAsia" w:ascii="宋体" w:hAnsi="宋体"/>
          <w:b/>
          <w:color w:val="auto"/>
          <w:szCs w:val="21"/>
          <w:highlight w:val="none"/>
        </w:rPr>
        <w:t>（1）技术、商务评分</w:t>
      </w:r>
    </w:p>
    <w:p w14:paraId="1278930A">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磋商小组分别对各供应商的技术、商务响应文件中的各项内容进行评议比较，详细对比其技术、商务方案等各种因素方面是否满足磋商文件的要求。在技术、商务评审表的相应项各自记名打分。</w:t>
      </w:r>
    </w:p>
    <w:p w14:paraId="2BB829D3">
      <w:pPr>
        <w:snapToGrid w:val="0"/>
        <w:spacing w:line="360" w:lineRule="auto"/>
        <w:rPr>
          <w:rFonts w:ascii="宋体" w:hAnsi="宋体"/>
          <w:b/>
          <w:color w:val="auto"/>
          <w:szCs w:val="21"/>
          <w:highlight w:val="none"/>
        </w:rPr>
      </w:pPr>
      <w:r>
        <w:rPr>
          <w:rFonts w:hint="eastAsia" w:ascii="宋体" w:hAnsi="宋体"/>
          <w:b/>
          <w:color w:val="auto"/>
          <w:szCs w:val="21"/>
          <w:highlight w:val="none"/>
        </w:rPr>
        <w:t>（2）技术商务得分统计</w:t>
      </w:r>
    </w:p>
    <w:p w14:paraId="7B85D4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将所有磋商小组的技术评分的算术平均值即为每个有效供应商的技术得分（四舍五入后，精确到0.01）。</w:t>
      </w:r>
    </w:p>
    <w:p w14:paraId="7AEE6A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将所有磋商小组的商务评分的算术平均值即为每个有效供应商的商务得分（四舍五入后，精确到0.01）。</w:t>
      </w:r>
    </w:p>
    <w:p w14:paraId="49CE913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将技术得分、商务得分相加得出商务技术得分。</w:t>
      </w:r>
    </w:p>
    <w:p w14:paraId="5C38F0A0">
      <w:pPr>
        <w:spacing w:line="360" w:lineRule="auto"/>
        <w:rPr>
          <w:rFonts w:ascii="宋体" w:hAnsi="宋体"/>
          <w:color w:val="auto"/>
          <w:szCs w:val="21"/>
          <w:highlight w:val="none"/>
        </w:rPr>
      </w:pPr>
      <w:r>
        <w:rPr>
          <w:rFonts w:hint="eastAsia" w:ascii="宋体" w:hAnsi="宋体"/>
          <w:b/>
          <w:color w:val="auto"/>
          <w:szCs w:val="21"/>
          <w:highlight w:val="none"/>
        </w:rPr>
        <w:t>（3）价格核准和评分</w:t>
      </w:r>
    </w:p>
    <w:p w14:paraId="4AEC0529">
      <w:pPr>
        <w:pStyle w:val="68"/>
        <w:numPr>
          <w:ilvl w:val="0"/>
          <w:numId w:val="17"/>
        </w:numPr>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价格的核准</w:t>
      </w:r>
    </w:p>
    <w:p w14:paraId="20B26A37">
      <w:pPr>
        <w:snapToGrid w:val="0"/>
        <w:spacing w:line="360" w:lineRule="auto"/>
        <w:ind w:firstLine="411" w:firstLineChars="196"/>
        <w:rPr>
          <w:rFonts w:ascii="宋体" w:hAnsi="宋体"/>
          <w:b/>
          <w:color w:val="auto"/>
          <w:szCs w:val="21"/>
          <w:highlight w:val="none"/>
          <w:u w:val="single"/>
        </w:rPr>
      </w:pPr>
      <w:r>
        <w:rPr>
          <w:rFonts w:hint="eastAsia" w:ascii="宋体" w:hAnsi="宋体"/>
          <w:b/>
          <w:color w:val="auto"/>
          <w:szCs w:val="21"/>
          <w:highlight w:val="none"/>
          <w:u w:val="single"/>
        </w:rPr>
        <w:t>如果磋商小组发现响应供应商的最终报价明显低于其他通过资格、符合性评审供应商的报价，有可能影响产品质量或者不能诚信履约的，将要求其在磋商现场在磋商小组规定的时间内提供书面说明，必要时提交相关证明材料；供应商不能证明其报价合理性的，磋商小组将其作为响应无效处理。</w:t>
      </w:r>
    </w:p>
    <w:p w14:paraId="51DE8EC3">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磋商小组先对入围供应商的最后报价进行复核，审查其是否有计算上的错误，修正错误的原则如下</w:t>
      </w:r>
    </w:p>
    <w:p w14:paraId="6BF437C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0EFDCD13">
      <w:pPr>
        <w:snapToGrid w:val="0"/>
        <w:spacing w:line="360" w:lineRule="auto"/>
        <w:ind w:firstLine="420" w:firstLineChars="200"/>
        <w:rPr>
          <w:rFonts w:ascii="宋体" w:hAnsi="宋体"/>
          <w:b/>
          <w:color w:val="auto"/>
          <w:szCs w:val="21"/>
          <w:highlight w:val="none"/>
          <w:u w:val="single"/>
        </w:rPr>
      </w:pPr>
      <w:r>
        <w:rPr>
          <w:rFonts w:hint="eastAsia" w:ascii="宋体" w:hAnsi="宋体"/>
          <w:b/>
          <w:color w:val="auto"/>
          <w:szCs w:val="21"/>
          <w:highlight w:val="none"/>
          <w:u w:val="single"/>
        </w:rPr>
        <w:t>按上述修正错误的方法调整后的最后报价，对供应商具有约束力。如果供应商不接受修正后的价格，则其响应文件作无效处理。</w:t>
      </w:r>
    </w:p>
    <w:p w14:paraId="717956A2">
      <w:pPr>
        <w:pStyle w:val="68"/>
        <w:numPr>
          <w:ilvl w:val="0"/>
          <w:numId w:val="17"/>
        </w:numPr>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小型和微型企业产品价格扣除条款</w:t>
      </w:r>
    </w:p>
    <w:p w14:paraId="31051E17">
      <w:pPr>
        <w:pStyle w:val="68"/>
        <w:snapToGrid w:val="0"/>
        <w:spacing w:line="360" w:lineRule="auto"/>
        <w:ind w:left="105" w:leftChars="50"/>
        <w:rPr>
          <w:rFonts w:ascii="宋体" w:hAnsi="宋体"/>
          <w:color w:val="auto"/>
          <w:szCs w:val="21"/>
          <w:highlight w:val="none"/>
        </w:rPr>
      </w:pPr>
      <w:r>
        <w:rPr>
          <w:rFonts w:hint="eastAsia" w:ascii="宋体" w:hAnsi="宋体"/>
          <w:color w:val="auto"/>
          <w:szCs w:val="21"/>
          <w:highlight w:val="none"/>
        </w:rPr>
        <w:t>供应商报价产品/服务全部为小型或微型企业产品/服务时，报价给予K</w:t>
      </w:r>
      <w:r>
        <w:rPr>
          <w:rFonts w:hint="eastAsia" w:ascii="宋体" w:hAnsi="宋体"/>
          <w:color w:val="auto"/>
          <w:szCs w:val="21"/>
          <w:highlight w:val="none"/>
          <w:vertAlign w:val="subscript"/>
        </w:rPr>
        <w:t>1</w:t>
      </w:r>
      <w:r>
        <w:rPr>
          <w:rFonts w:hint="eastAsia" w:ascii="宋体" w:hAnsi="宋体"/>
          <w:color w:val="auto"/>
          <w:szCs w:val="21"/>
          <w:highlight w:val="none"/>
        </w:rPr>
        <w:t>的价格扣除（</w:t>
      </w:r>
      <w:r>
        <w:rPr>
          <w:rFonts w:hint="eastAsia" w:ascii="宋体" w:hAnsi="宋体"/>
          <w:b/>
          <w:bCs/>
          <w:color w:val="auto"/>
          <w:szCs w:val="21"/>
          <w:highlight w:val="none"/>
        </w:rPr>
        <w:t>K</w:t>
      </w:r>
      <w:r>
        <w:rPr>
          <w:rFonts w:hint="eastAsia" w:ascii="宋体" w:hAnsi="宋体"/>
          <w:b/>
          <w:bCs/>
          <w:color w:val="auto"/>
          <w:szCs w:val="21"/>
          <w:highlight w:val="none"/>
          <w:vertAlign w:val="subscript"/>
        </w:rPr>
        <w:t>1</w:t>
      </w:r>
      <w:r>
        <w:rPr>
          <w:rFonts w:hint="eastAsia" w:ascii="宋体" w:hAnsi="宋体"/>
          <w:b/>
          <w:bCs/>
          <w:color w:val="auto"/>
          <w:szCs w:val="21"/>
          <w:highlight w:val="none"/>
        </w:rPr>
        <w:t>的取值为10%）</w:t>
      </w:r>
      <w:r>
        <w:rPr>
          <w:rFonts w:hint="eastAsia" w:ascii="宋体" w:hAnsi="宋体"/>
          <w:color w:val="auto"/>
          <w:szCs w:val="21"/>
          <w:highlight w:val="none"/>
        </w:rPr>
        <w:t>，即：评标价＝修正后的报价*（1-K</w:t>
      </w:r>
      <w:r>
        <w:rPr>
          <w:rFonts w:hint="eastAsia" w:ascii="宋体" w:hAnsi="宋体"/>
          <w:color w:val="auto"/>
          <w:szCs w:val="21"/>
          <w:highlight w:val="none"/>
          <w:vertAlign w:val="subscript"/>
        </w:rPr>
        <w:t>1</w:t>
      </w:r>
      <w:r>
        <w:rPr>
          <w:rFonts w:hint="eastAsia" w:ascii="宋体" w:hAnsi="宋体"/>
          <w:color w:val="auto"/>
          <w:szCs w:val="21"/>
          <w:highlight w:val="none"/>
        </w:rPr>
        <w:t>）；</w:t>
      </w:r>
    </w:p>
    <w:p w14:paraId="590FE498">
      <w:pPr>
        <w:pStyle w:val="68"/>
        <w:snapToGrid w:val="0"/>
        <w:spacing w:line="360" w:lineRule="auto"/>
        <w:ind w:left="105" w:leftChars="50"/>
        <w:rPr>
          <w:rFonts w:ascii="宋体" w:hAnsi="宋体"/>
          <w:color w:val="auto"/>
          <w:szCs w:val="21"/>
          <w:highlight w:val="none"/>
        </w:rPr>
      </w:pPr>
      <w:r>
        <w:rPr>
          <w:rFonts w:hint="eastAsia" w:ascii="宋体" w:hAnsi="宋体"/>
          <w:color w:val="auto"/>
          <w:szCs w:val="21"/>
          <w:highlight w:val="none"/>
        </w:rPr>
        <w:t>若项目接受大中型企业与小微企业组成联合体或者允许大中型企业向一家或者多家小微企业分包的，且联合体协议或者分包意向协议中约定小微企业的合同份额占到合同总金额30%以上的，对联合体或者大中型企业的报价给予K</w:t>
      </w:r>
      <w:r>
        <w:rPr>
          <w:rFonts w:hint="eastAsia" w:ascii="宋体" w:hAnsi="宋体"/>
          <w:color w:val="auto"/>
          <w:szCs w:val="21"/>
          <w:highlight w:val="none"/>
          <w:vertAlign w:val="subscript"/>
        </w:rPr>
        <w:t>2</w:t>
      </w:r>
      <w:r>
        <w:rPr>
          <w:rFonts w:hint="eastAsia" w:ascii="宋体" w:hAnsi="宋体"/>
          <w:color w:val="auto"/>
          <w:szCs w:val="21"/>
          <w:highlight w:val="none"/>
        </w:rPr>
        <w:t>的价格扣除（K</w:t>
      </w:r>
      <w:r>
        <w:rPr>
          <w:rFonts w:hint="eastAsia" w:ascii="宋体" w:hAnsi="宋体"/>
          <w:color w:val="auto"/>
          <w:szCs w:val="21"/>
          <w:highlight w:val="none"/>
          <w:vertAlign w:val="subscript"/>
        </w:rPr>
        <w:t>2</w:t>
      </w:r>
      <w:r>
        <w:rPr>
          <w:rFonts w:hint="eastAsia" w:ascii="宋体" w:hAnsi="宋体"/>
          <w:color w:val="auto"/>
          <w:szCs w:val="21"/>
          <w:highlight w:val="none"/>
        </w:rPr>
        <w:t>的取值为2%），即：评标价＝修正后的报价*（1-K</w:t>
      </w:r>
      <w:r>
        <w:rPr>
          <w:rFonts w:hint="eastAsia" w:ascii="宋体" w:hAnsi="宋体"/>
          <w:color w:val="auto"/>
          <w:szCs w:val="21"/>
          <w:highlight w:val="none"/>
          <w:vertAlign w:val="subscript"/>
        </w:rPr>
        <w:t>2</w:t>
      </w:r>
      <w:r>
        <w:rPr>
          <w:rFonts w:hint="eastAsia" w:ascii="宋体" w:hAnsi="宋体"/>
          <w:color w:val="auto"/>
          <w:szCs w:val="21"/>
          <w:highlight w:val="none"/>
        </w:rPr>
        <w:t>）；</w:t>
      </w:r>
    </w:p>
    <w:p w14:paraId="6B4EE03F">
      <w:pPr>
        <w:pStyle w:val="68"/>
        <w:snapToGrid w:val="0"/>
        <w:spacing w:line="360" w:lineRule="auto"/>
        <w:ind w:left="105" w:leftChars="50"/>
        <w:rPr>
          <w:rFonts w:ascii="宋体" w:hAnsi="宋体"/>
          <w:color w:val="auto"/>
          <w:szCs w:val="21"/>
          <w:highlight w:val="none"/>
        </w:rPr>
      </w:pPr>
      <w:r>
        <w:rPr>
          <w:rFonts w:hint="eastAsia" w:ascii="宋体" w:hAnsi="宋体"/>
          <w:color w:val="auto"/>
          <w:szCs w:val="21"/>
          <w:highlight w:val="none"/>
        </w:rPr>
        <w:t>组成联合体或者接受分包的小微企业与联合体内其他企业、分包企业之间存在直接控股、管理关系的，不享受价格扣除优惠政策。</w:t>
      </w:r>
    </w:p>
    <w:p w14:paraId="51C6330B">
      <w:pPr>
        <w:pStyle w:val="68"/>
        <w:snapToGrid w:val="0"/>
        <w:spacing w:line="360" w:lineRule="auto"/>
        <w:ind w:left="105" w:leftChars="50"/>
        <w:rPr>
          <w:rFonts w:ascii="宋体" w:hAnsi="宋体"/>
          <w:color w:val="auto"/>
          <w:szCs w:val="21"/>
          <w:highlight w:val="none"/>
        </w:rPr>
      </w:pPr>
      <w:r>
        <w:rPr>
          <w:rFonts w:hint="eastAsia" w:ascii="宋体" w:hAnsi="宋体"/>
          <w:color w:val="auto"/>
          <w:szCs w:val="21"/>
          <w:highlight w:val="none"/>
        </w:rPr>
        <w:t>本条款所称小型或微型企业应当符合以下条件：符合《工业和信息化部、国家统计局、国家发展和改革委员会、财政部关于印发中小企业划型标准规定的通知》（工信部联企业[2011]300号）规定的对小型或微型企业的划分标准；</w:t>
      </w:r>
    </w:p>
    <w:p w14:paraId="1D01629B">
      <w:pPr>
        <w:pStyle w:val="68"/>
        <w:snapToGrid w:val="0"/>
        <w:spacing w:line="360" w:lineRule="auto"/>
        <w:ind w:left="105" w:leftChars="50"/>
        <w:rPr>
          <w:rFonts w:ascii="宋体" w:hAnsi="宋体"/>
          <w:color w:val="auto"/>
          <w:szCs w:val="21"/>
          <w:highlight w:val="none"/>
        </w:rPr>
      </w:pPr>
      <w:r>
        <w:rPr>
          <w:rFonts w:hint="eastAsia" w:ascii="宋体" w:hAnsi="宋体"/>
          <w:color w:val="auto"/>
          <w:szCs w:val="21"/>
          <w:highlight w:val="none"/>
        </w:rPr>
        <w:t>参加政府采购活动的中小企业应当提供《中小企业声明函》。符合残疾人福利性单位认定条件的，应当提供《残疾人福利性单位声明函》（详见第五部分 响应文件格式第四章）。符合监狱企业单位认定条件的，应当提供由省级以上监狱管理局、戒毒管理局(含新疆生产建设兵团)出具的属于监狱企业的证明文件。</w:t>
      </w:r>
    </w:p>
    <w:p w14:paraId="4D1CBF51">
      <w:pPr>
        <w:pStyle w:val="68"/>
        <w:snapToGrid w:val="0"/>
        <w:spacing w:line="360" w:lineRule="auto"/>
        <w:ind w:left="105" w:leftChars="50"/>
        <w:rPr>
          <w:rFonts w:ascii="宋体" w:hAnsi="宋体"/>
          <w:color w:val="auto"/>
          <w:szCs w:val="21"/>
          <w:highlight w:val="none"/>
        </w:rPr>
      </w:pPr>
      <w:r>
        <w:rPr>
          <w:rFonts w:hint="eastAsia" w:ascii="宋体" w:hAnsi="宋体"/>
          <w:color w:val="auto"/>
          <w:szCs w:val="21"/>
          <w:highlight w:val="none"/>
        </w:rPr>
        <w:t>监狱企业、残疾人福利性单位视同小型、微型企业，享受以上价格扣除政策。</w:t>
      </w:r>
    </w:p>
    <w:p w14:paraId="00E4076C">
      <w:pPr>
        <w:pStyle w:val="68"/>
        <w:snapToGrid w:val="0"/>
        <w:spacing w:line="360" w:lineRule="auto"/>
        <w:ind w:left="105" w:leftChars="50"/>
        <w:rPr>
          <w:rFonts w:ascii="宋体" w:hAnsi="宋体"/>
          <w:color w:val="auto"/>
          <w:szCs w:val="21"/>
          <w:highlight w:val="none"/>
        </w:rPr>
      </w:pPr>
      <w:r>
        <w:rPr>
          <w:rFonts w:hint="eastAsia" w:ascii="宋体" w:hAnsi="宋体"/>
          <w:color w:val="auto"/>
          <w:szCs w:val="21"/>
          <w:highlight w:val="none"/>
        </w:rPr>
        <w:t>监狱企业、残疾人福利性单位本身属于小型、微型企业的，不重复享受政策。</w:t>
      </w:r>
    </w:p>
    <w:p w14:paraId="37E4B0FD">
      <w:pPr>
        <w:pStyle w:val="68"/>
        <w:numPr>
          <w:ilvl w:val="0"/>
          <w:numId w:val="17"/>
        </w:numPr>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节能环保产品价格扣除条款</w:t>
      </w:r>
    </w:p>
    <w:p w14:paraId="6FFFF16E">
      <w:pPr>
        <w:pStyle w:val="16"/>
        <w:numPr>
          <w:ilvl w:val="0"/>
          <w:numId w:val="18"/>
        </w:numPr>
        <w:adjustRightInd w:val="0"/>
        <w:snapToGrid w:val="0"/>
        <w:ind w:left="567" w:hanging="141"/>
        <w:rPr>
          <w:rFonts w:hAnsi="宋体"/>
          <w:color w:val="auto"/>
          <w:sz w:val="21"/>
          <w:highlight w:val="none"/>
        </w:rPr>
      </w:pPr>
      <w:r>
        <w:rPr>
          <w:rFonts w:hint="eastAsia" w:hAnsi="宋体"/>
          <w:color w:val="auto"/>
          <w:sz w:val="21"/>
          <w:highlight w:val="none"/>
        </w:rPr>
        <w:t>所投产品(针对非政府强制采购产品)获得有效期内的节能产品认证证书的，节能产品报价占总报价比例在80%或以上的，</w:t>
      </w:r>
      <w:r>
        <w:rPr>
          <w:rFonts w:hint="eastAsia" w:hAnsi="宋体"/>
          <w:bCs/>
          <w:color w:val="auto"/>
          <w:sz w:val="21"/>
          <w:highlight w:val="none"/>
        </w:rPr>
        <w:t>对</w:t>
      </w:r>
      <w:r>
        <w:rPr>
          <w:rFonts w:hint="eastAsia" w:hAnsi="宋体"/>
          <w:color w:val="auto"/>
          <w:sz w:val="21"/>
          <w:highlight w:val="none"/>
        </w:rPr>
        <w:t>节能</w:t>
      </w:r>
      <w:r>
        <w:rPr>
          <w:rFonts w:hint="eastAsia" w:hAnsi="宋体"/>
          <w:bCs/>
          <w:color w:val="auto"/>
          <w:sz w:val="21"/>
          <w:highlight w:val="none"/>
        </w:rPr>
        <w:t>产品的价格给予2%的扣除，</w:t>
      </w:r>
      <w:r>
        <w:rPr>
          <w:rFonts w:hint="eastAsia" w:hAnsi="宋体"/>
          <w:color w:val="auto"/>
          <w:sz w:val="21"/>
          <w:highlight w:val="none"/>
        </w:rPr>
        <w:t>在80%以下的，</w:t>
      </w:r>
      <w:r>
        <w:rPr>
          <w:rFonts w:hint="eastAsia" w:hAnsi="宋体"/>
          <w:bCs/>
          <w:color w:val="auto"/>
          <w:sz w:val="21"/>
          <w:highlight w:val="none"/>
        </w:rPr>
        <w:t>对</w:t>
      </w:r>
      <w:r>
        <w:rPr>
          <w:rFonts w:hint="eastAsia" w:hAnsi="宋体"/>
          <w:color w:val="auto"/>
          <w:sz w:val="21"/>
          <w:highlight w:val="none"/>
        </w:rPr>
        <w:t>节能</w:t>
      </w:r>
      <w:r>
        <w:rPr>
          <w:rFonts w:hint="eastAsia" w:hAnsi="宋体"/>
          <w:bCs/>
          <w:color w:val="auto"/>
          <w:sz w:val="21"/>
          <w:highlight w:val="none"/>
        </w:rPr>
        <w:t>产品的价格给予1%的扣除，用扣除后的价格参与评审。（</w:t>
      </w:r>
      <w:r>
        <w:rPr>
          <w:rFonts w:hint="eastAsia" w:hAnsi="宋体"/>
          <w:color w:val="auto"/>
          <w:sz w:val="21"/>
          <w:highlight w:val="none"/>
        </w:rPr>
        <w:t>提供节能产品认证证书）。</w:t>
      </w:r>
    </w:p>
    <w:p w14:paraId="529C73A9">
      <w:pPr>
        <w:pStyle w:val="16"/>
        <w:numPr>
          <w:ilvl w:val="0"/>
          <w:numId w:val="18"/>
        </w:numPr>
        <w:adjustRightInd w:val="0"/>
        <w:snapToGrid w:val="0"/>
        <w:ind w:left="567" w:hanging="141"/>
        <w:rPr>
          <w:rFonts w:hAnsi="宋体"/>
          <w:color w:val="auto"/>
          <w:sz w:val="21"/>
          <w:highlight w:val="none"/>
        </w:rPr>
      </w:pPr>
      <w:r>
        <w:rPr>
          <w:rFonts w:hint="eastAsia" w:hAnsi="宋体"/>
          <w:color w:val="auto"/>
          <w:sz w:val="21"/>
          <w:highlight w:val="none"/>
        </w:rPr>
        <w:t>所投产品(针对非政府强制采购产品)获得有效期内的环境标志产品认证证书的，环境标志产品报价占总报价比例在80%或以上的，</w:t>
      </w:r>
      <w:r>
        <w:rPr>
          <w:rFonts w:hint="eastAsia" w:hAnsi="宋体"/>
          <w:bCs/>
          <w:color w:val="auto"/>
          <w:sz w:val="21"/>
          <w:highlight w:val="none"/>
        </w:rPr>
        <w:t>对</w:t>
      </w:r>
      <w:r>
        <w:rPr>
          <w:rFonts w:hint="eastAsia" w:hAnsi="宋体"/>
          <w:color w:val="auto"/>
          <w:sz w:val="21"/>
          <w:highlight w:val="none"/>
        </w:rPr>
        <w:t>环境标志产品</w:t>
      </w:r>
      <w:r>
        <w:rPr>
          <w:rFonts w:hint="eastAsia" w:hAnsi="宋体"/>
          <w:bCs/>
          <w:color w:val="auto"/>
          <w:sz w:val="21"/>
          <w:highlight w:val="none"/>
        </w:rPr>
        <w:t>的价格给予2%的扣除，</w:t>
      </w:r>
      <w:r>
        <w:rPr>
          <w:rFonts w:hint="eastAsia" w:hAnsi="宋体"/>
          <w:color w:val="auto"/>
          <w:sz w:val="21"/>
          <w:highlight w:val="none"/>
        </w:rPr>
        <w:t>在80%以下的，</w:t>
      </w:r>
      <w:r>
        <w:rPr>
          <w:rFonts w:hint="eastAsia" w:hAnsi="宋体"/>
          <w:bCs/>
          <w:color w:val="auto"/>
          <w:sz w:val="21"/>
          <w:highlight w:val="none"/>
        </w:rPr>
        <w:t>对</w:t>
      </w:r>
      <w:r>
        <w:rPr>
          <w:rFonts w:hint="eastAsia" w:hAnsi="宋体"/>
          <w:color w:val="auto"/>
          <w:sz w:val="21"/>
          <w:highlight w:val="none"/>
        </w:rPr>
        <w:t>环境标志产品</w:t>
      </w:r>
      <w:r>
        <w:rPr>
          <w:rFonts w:hint="eastAsia" w:hAnsi="宋体"/>
          <w:bCs/>
          <w:color w:val="auto"/>
          <w:sz w:val="21"/>
          <w:highlight w:val="none"/>
        </w:rPr>
        <w:t>的价格给予1%的扣除，用扣除后的价格参与评审。（</w:t>
      </w:r>
      <w:r>
        <w:rPr>
          <w:rFonts w:hint="eastAsia" w:hAnsi="宋体"/>
          <w:color w:val="auto"/>
          <w:sz w:val="21"/>
          <w:highlight w:val="none"/>
        </w:rPr>
        <w:t>提供环境标志产品认证证书）。</w:t>
      </w:r>
    </w:p>
    <w:p w14:paraId="35BAC8BA">
      <w:pPr>
        <w:pStyle w:val="68"/>
        <w:snapToGrid w:val="0"/>
        <w:spacing w:line="360" w:lineRule="auto"/>
        <w:ind w:left="422" w:firstLine="0" w:firstLineChars="0"/>
        <w:rPr>
          <w:rFonts w:ascii="宋体" w:hAnsi="宋体"/>
          <w:b/>
          <w:color w:val="auto"/>
          <w:szCs w:val="21"/>
          <w:highlight w:val="none"/>
        </w:rPr>
      </w:pPr>
      <w:r>
        <w:rPr>
          <w:rFonts w:hint="eastAsia" w:ascii="宋体" w:hAnsi="宋体"/>
          <w:color w:val="auto"/>
          <w:szCs w:val="21"/>
          <w:highlight w:val="none"/>
        </w:rPr>
        <w:t>对属于强制采购的节能产品，节能要求作为实质性响应指标，不再享受评审优惠。</w:t>
      </w:r>
    </w:p>
    <w:p w14:paraId="375D0E9B">
      <w:pPr>
        <w:pStyle w:val="68"/>
        <w:numPr>
          <w:ilvl w:val="0"/>
          <w:numId w:val="17"/>
        </w:numPr>
        <w:snapToGrid w:val="0"/>
        <w:spacing w:line="360" w:lineRule="auto"/>
        <w:ind w:firstLineChars="0"/>
        <w:rPr>
          <w:rFonts w:ascii="宋体" w:hAnsi="宋体"/>
          <w:b/>
          <w:color w:val="auto"/>
          <w:szCs w:val="21"/>
          <w:highlight w:val="none"/>
        </w:rPr>
      </w:pPr>
      <w:r>
        <w:rPr>
          <w:rFonts w:hint="eastAsia" w:ascii="宋体" w:hAnsi="宋体"/>
          <w:b/>
          <w:color w:val="auto"/>
          <w:szCs w:val="21"/>
          <w:highlight w:val="none"/>
        </w:rPr>
        <w:t>价格评分</w:t>
      </w:r>
    </w:p>
    <w:p w14:paraId="432EC731">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磋商小组对入围的供应商的最后价格进行修正得出评审价。综合评分法中的价格分统一采用低价优先法计算，即满足磋商文件要求（通过资格、符合性评审）且价格最低的有效最后报价（指修正后的价格，下同）为磋商基准价，其价格分为满分。其他供应商的价格分统一按照下列公式计算：</w:t>
      </w:r>
    </w:p>
    <w:p w14:paraId="0AC2BAC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磋商报价得分＝（磋商基准价／最后磋商报价）x 价格权值x 100（精确到0.01）。</w:t>
      </w:r>
    </w:p>
    <w:p w14:paraId="7811E12A">
      <w:pPr>
        <w:numPr>
          <w:ilvl w:val="0"/>
          <w:numId w:val="14"/>
        </w:numPr>
        <w:tabs>
          <w:tab w:val="clear" w:pos="851"/>
        </w:tabs>
        <w:snapToGrid w:val="0"/>
        <w:spacing w:line="360" w:lineRule="auto"/>
        <w:rPr>
          <w:rFonts w:ascii="宋体" w:hAnsi="宋体" w:cs="宋体"/>
          <w:b/>
          <w:color w:val="auto"/>
          <w:szCs w:val="21"/>
          <w:highlight w:val="none"/>
        </w:rPr>
      </w:pPr>
      <w:bookmarkStart w:id="144" w:name="_Toc418701686"/>
      <w:r>
        <w:rPr>
          <w:rFonts w:hint="eastAsia" w:ascii="宋体" w:hAnsi="宋体" w:cs="宋体"/>
          <w:b/>
          <w:color w:val="auto"/>
          <w:szCs w:val="21"/>
          <w:highlight w:val="none"/>
        </w:rPr>
        <w:t>推荐成交候选人名单</w:t>
      </w:r>
      <w:bookmarkEnd w:id="144"/>
    </w:p>
    <w:p w14:paraId="527B3B7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详见磋商须知前附表第11项。</w:t>
      </w:r>
    </w:p>
    <w:p w14:paraId="00C10FBA">
      <w:pPr>
        <w:numPr>
          <w:ilvl w:val="0"/>
          <w:numId w:val="14"/>
        </w:numPr>
        <w:tabs>
          <w:tab w:val="clear" w:pos="851"/>
        </w:tabs>
        <w:snapToGrid w:val="0"/>
        <w:spacing w:line="360" w:lineRule="auto"/>
        <w:rPr>
          <w:rFonts w:ascii="宋体" w:hAnsi="宋体" w:cs="宋体"/>
          <w:b/>
          <w:color w:val="auto"/>
          <w:szCs w:val="21"/>
          <w:highlight w:val="none"/>
        </w:rPr>
      </w:pPr>
      <w:bookmarkStart w:id="145" w:name="_Toc418701687"/>
      <w:r>
        <w:rPr>
          <w:rFonts w:hint="eastAsia" w:ascii="宋体" w:hAnsi="宋体" w:cs="宋体"/>
          <w:b/>
          <w:color w:val="auto"/>
          <w:szCs w:val="21"/>
          <w:highlight w:val="none"/>
        </w:rPr>
        <w:t>确定成交供应商</w:t>
      </w:r>
      <w:bookmarkEnd w:id="145"/>
    </w:p>
    <w:p w14:paraId="147763B9">
      <w:pPr>
        <w:spacing w:line="360" w:lineRule="auto"/>
        <w:ind w:firstLine="420" w:firstLineChars="200"/>
        <w:rPr>
          <w:rFonts w:ascii="宋体" w:hAnsi="宋体" w:cs="Arial"/>
          <w:b/>
          <w:color w:val="auto"/>
          <w:szCs w:val="21"/>
          <w:highlight w:val="none"/>
        </w:rPr>
      </w:pPr>
      <w:r>
        <w:rPr>
          <w:rFonts w:hint="eastAsia" w:ascii="宋体" w:hAnsi="宋体"/>
          <w:color w:val="auto"/>
          <w:szCs w:val="21"/>
          <w:highlight w:val="none"/>
        </w:rPr>
        <w:t>采购人将根据评审结果，确定成交供应商。采购代理机构受采购人委托在规定的媒体</w:t>
      </w:r>
      <w:r>
        <w:rPr>
          <w:rFonts w:ascii="宋体" w:hAnsi="宋体"/>
          <w:bCs/>
          <w:color w:val="auto"/>
          <w:szCs w:val="21"/>
          <w:highlight w:val="none"/>
        </w:rPr>
        <w:t>上</w:t>
      </w:r>
      <w:r>
        <w:rPr>
          <w:rFonts w:hint="eastAsia" w:ascii="宋体" w:hAnsi="宋体"/>
          <w:bCs/>
          <w:color w:val="auto"/>
          <w:szCs w:val="21"/>
          <w:highlight w:val="none"/>
        </w:rPr>
        <w:t>发布成交公告，同时</w:t>
      </w:r>
      <w:r>
        <w:rPr>
          <w:rFonts w:hint="eastAsia" w:ascii="宋体" w:hAnsi="宋体"/>
          <w:color w:val="auto"/>
          <w:szCs w:val="21"/>
          <w:highlight w:val="none"/>
        </w:rPr>
        <w:t>向成交供应商发出书面《成交通知书》，向所有</w:t>
      </w:r>
      <w:r>
        <w:rPr>
          <w:rFonts w:ascii="宋体" w:hAnsi="宋体"/>
          <w:color w:val="auto"/>
          <w:szCs w:val="21"/>
          <w:highlight w:val="none"/>
        </w:rPr>
        <w:t>未成交供应商</w:t>
      </w:r>
      <w:r>
        <w:rPr>
          <w:rFonts w:hint="eastAsia" w:ascii="宋体" w:hAnsi="宋体"/>
          <w:color w:val="auto"/>
          <w:szCs w:val="21"/>
          <w:highlight w:val="none"/>
        </w:rPr>
        <w:t>发出《成交结果通知书》。</w:t>
      </w:r>
    </w:p>
    <w:p w14:paraId="5C669F72">
      <w:pPr>
        <w:spacing w:line="360" w:lineRule="auto"/>
        <w:rPr>
          <w:rFonts w:ascii="宋体" w:hAnsi="宋体"/>
          <w:color w:val="auto"/>
          <w:szCs w:val="21"/>
          <w:highlight w:val="none"/>
        </w:rPr>
      </w:pPr>
    </w:p>
    <w:p w14:paraId="6DA4356D">
      <w:pPr>
        <w:spacing w:line="360" w:lineRule="auto"/>
        <w:rPr>
          <w:rFonts w:ascii="宋体" w:hAnsi="宋体"/>
          <w:color w:val="auto"/>
          <w:highlight w:val="none"/>
        </w:rPr>
      </w:pPr>
    </w:p>
    <w:p w14:paraId="5B9DDADF">
      <w:pPr>
        <w:spacing w:line="360" w:lineRule="auto"/>
        <w:rPr>
          <w:rFonts w:ascii="宋体" w:hAnsi="宋体"/>
          <w:color w:val="auto"/>
          <w:highlight w:val="none"/>
        </w:rPr>
      </w:pPr>
    </w:p>
    <w:p w14:paraId="28ED7115">
      <w:pPr>
        <w:spacing w:line="360" w:lineRule="auto"/>
        <w:rPr>
          <w:rFonts w:ascii="宋体" w:hAnsi="宋体"/>
          <w:b/>
          <w:bCs/>
          <w:color w:val="auto"/>
          <w:sz w:val="28"/>
          <w:highlight w:val="none"/>
        </w:rPr>
      </w:pPr>
      <w:r>
        <w:rPr>
          <w:rFonts w:ascii="宋体" w:hAnsi="宋体"/>
          <w:b/>
          <w:bCs/>
          <w:color w:val="auto"/>
          <w:sz w:val="28"/>
          <w:highlight w:val="none"/>
        </w:rPr>
        <w:br w:type="page"/>
      </w:r>
      <w:r>
        <w:rPr>
          <w:rFonts w:hint="eastAsia" w:ascii="宋体" w:hAnsi="宋体"/>
          <w:b/>
          <w:bCs/>
          <w:color w:val="auto"/>
          <w:sz w:val="28"/>
          <w:highlight w:val="none"/>
        </w:rPr>
        <w:t>附表一：</w:t>
      </w:r>
    </w:p>
    <w:p w14:paraId="6A279797">
      <w:pPr>
        <w:pStyle w:val="3"/>
        <w:jc w:val="center"/>
        <w:rPr>
          <w:rFonts w:hAnsi="宋体" w:cs="仿宋"/>
          <w:bCs/>
          <w:color w:val="auto"/>
          <w:sz w:val="24"/>
          <w:szCs w:val="24"/>
          <w:highlight w:val="none"/>
        </w:rPr>
      </w:pPr>
      <w:bookmarkStart w:id="146" w:name="_Toc11799"/>
      <w:bookmarkStart w:id="147" w:name="_Toc23379"/>
      <w:bookmarkStart w:id="148" w:name="_Toc27491"/>
      <w:bookmarkStart w:id="149" w:name="_Toc14613"/>
      <w:bookmarkStart w:id="150" w:name="_Toc27678"/>
      <w:bookmarkStart w:id="151" w:name="_Toc12052"/>
      <w:bookmarkStart w:id="152" w:name="_Toc30300"/>
      <w:r>
        <w:rPr>
          <w:rFonts w:hint="eastAsia" w:hAnsi="宋体" w:cs="仿宋"/>
          <w:bCs/>
          <w:color w:val="auto"/>
          <w:sz w:val="24"/>
          <w:szCs w:val="24"/>
          <w:highlight w:val="none"/>
        </w:rPr>
        <w:t>一、资格性审查表</w:t>
      </w:r>
      <w:bookmarkEnd w:id="146"/>
      <w:bookmarkEnd w:id="147"/>
      <w:bookmarkEnd w:id="148"/>
      <w:bookmarkEnd w:id="149"/>
    </w:p>
    <w:tbl>
      <w:tblPr>
        <w:tblStyle w:val="3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474"/>
      </w:tblGrid>
      <w:tr w14:paraId="74E5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6" w:type="dxa"/>
            <w:vAlign w:val="center"/>
          </w:tcPr>
          <w:p w14:paraId="09CF686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474" w:type="dxa"/>
            <w:vAlign w:val="center"/>
          </w:tcPr>
          <w:p w14:paraId="6BBE4C3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评审内容</w:t>
            </w:r>
          </w:p>
        </w:tc>
      </w:tr>
      <w:tr w14:paraId="3E8E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06" w:type="dxa"/>
            <w:vAlign w:val="center"/>
          </w:tcPr>
          <w:p w14:paraId="75977027">
            <w:pPr>
              <w:numPr>
                <w:ilvl w:val="0"/>
                <w:numId w:val="19"/>
              </w:numPr>
              <w:tabs>
                <w:tab w:val="left" w:pos="176"/>
                <w:tab w:val="left" w:pos="612"/>
              </w:tabs>
              <w:spacing w:line="360" w:lineRule="auto"/>
              <w:jc w:val="center"/>
              <w:rPr>
                <w:rFonts w:ascii="宋体" w:hAnsi="宋体" w:cs="宋体"/>
                <w:color w:val="auto"/>
                <w:szCs w:val="21"/>
                <w:highlight w:val="none"/>
              </w:rPr>
            </w:pPr>
          </w:p>
        </w:tc>
        <w:tc>
          <w:tcPr>
            <w:tcW w:w="8474" w:type="dxa"/>
            <w:vAlign w:val="center"/>
          </w:tcPr>
          <w:p w14:paraId="6FE410C7">
            <w:pPr>
              <w:spacing w:line="360" w:lineRule="auto"/>
              <w:rPr>
                <w:rFonts w:ascii="宋体" w:hAnsi="宋体" w:cs="仿宋"/>
                <w:color w:val="auto"/>
                <w:szCs w:val="21"/>
                <w:highlight w:val="none"/>
              </w:rPr>
            </w:pPr>
            <w:r>
              <w:rPr>
                <w:rFonts w:hint="eastAsia" w:ascii="宋体" w:hAnsi="宋体" w:cs="仿宋"/>
                <w:color w:val="auto"/>
                <w:szCs w:val="21"/>
                <w:highlight w:val="none"/>
              </w:rPr>
              <w:t>具有独立承担民事责任的能力：是在中华人民共和国境内注册的法人或其他组织或自然人，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如投标人已对接“粤省事”“粤商通”“粤信签”等系统且能通过系统查询到相关内容，则无须提供该项证明文件。</w:t>
            </w:r>
          </w:p>
        </w:tc>
      </w:tr>
      <w:tr w14:paraId="05E9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06" w:type="dxa"/>
            <w:vAlign w:val="center"/>
          </w:tcPr>
          <w:p w14:paraId="5F85864F">
            <w:pPr>
              <w:numPr>
                <w:ilvl w:val="0"/>
                <w:numId w:val="19"/>
              </w:numPr>
              <w:tabs>
                <w:tab w:val="left" w:pos="176"/>
                <w:tab w:val="left" w:pos="612"/>
              </w:tabs>
              <w:spacing w:line="360" w:lineRule="auto"/>
              <w:jc w:val="center"/>
              <w:rPr>
                <w:rFonts w:ascii="宋体" w:hAnsi="宋体" w:cs="宋体"/>
                <w:color w:val="auto"/>
                <w:szCs w:val="21"/>
                <w:highlight w:val="none"/>
              </w:rPr>
            </w:pPr>
          </w:p>
        </w:tc>
        <w:tc>
          <w:tcPr>
            <w:tcW w:w="8474" w:type="dxa"/>
            <w:vAlign w:val="center"/>
          </w:tcPr>
          <w:p w14:paraId="2766A09D">
            <w:pPr>
              <w:spacing w:line="360" w:lineRule="auto"/>
              <w:rPr>
                <w:rFonts w:ascii="宋体" w:hAnsi="宋体" w:cs="仿宋"/>
                <w:color w:val="auto"/>
                <w:szCs w:val="21"/>
                <w:highlight w:val="none"/>
              </w:rPr>
            </w:pPr>
            <w:r>
              <w:rPr>
                <w:rFonts w:hint="eastAsia" w:ascii="宋体" w:hAnsi="宋体" w:cs="仿宋"/>
                <w:color w:val="auto"/>
                <w:szCs w:val="21"/>
                <w:highlight w:val="none"/>
              </w:rPr>
              <w:t>有依法缴纳税收和社会保障资金的良好记录：提供《资格声明函》。</w:t>
            </w:r>
          </w:p>
        </w:tc>
      </w:tr>
      <w:tr w14:paraId="2D28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806" w:type="dxa"/>
            <w:vAlign w:val="center"/>
          </w:tcPr>
          <w:p w14:paraId="1FD97284">
            <w:pPr>
              <w:numPr>
                <w:ilvl w:val="0"/>
                <w:numId w:val="19"/>
              </w:numPr>
              <w:tabs>
                <w:tab w:val="left" w:pos="176"/>
                <w:tab w:val="left" w:pos="612"/>
              </w:tabs>
              <w:spacing w:line="360" w:lineRule="auto"/>
              <w:jc w:val="center"/>
              <w:rPr>
                <w:rFonts w:ascii="宋体" w:hAnsi="宋体" w:cs="宋体"/>
                <w:color w:val="auto"/>
                <w:szCs w:val="21"/>
                <w:highlight w:val="none"/>
              </w:rPr>
            </w:pPr>
          </w:p>
        </w:tc>
        <w:tc>
          <w:tcPr>
            <w:tcW w:w="8474" w:type="dxa"/>
            <w:vAlign w:val="center"/>
          </w:tcPr>
          <w:p w14:paraId="10253D7B">
            <w:pPr>
              <w:spacing w:line="360" w:lineRule="auto"/>
              <w:rPr>
                <w:rFonts w:ascii="宋体" w:hAnsi="宋体" w:cs="仿宋"/>
                <w:color w:val="auto"/>
                <w:szCs w:val="21"/>
                <w:highlight w:val="none"/>
              </w:rPr>
            </w:pPr>
            <w:r>
              <w:rPr>
                <w:rFonts w:hint="eastAsia" w:ascii="宋体" w:hAnsi="宋体" w:cs="仿宋"/>
                <w:color w:val="auto"/>
                <w:szCs w:val="21"/>
                <w:highlight w:val="none"/>
              </w:rPr>
              <w:t>具有良好的商业信誉和健全的财务会计制度：提供《资格声明函》。</w:t>
            </w:r>
          </w:p>
        </w:tc>
      </w:tr>
      <w:tr w14:paraId="0B71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06" w:type="dxa"/>
            <w:vAlign w:val="center"/>
          </w:tcPr>
          <w:p w14:paraId="61BDEE3B">
            <w:pPr>
              <w:numPr>
                <w:ilvl w:val="0"/>
                <w:numId w:val="19"/>
              </w:numPr>
              <w:tabs>
                <w:tab w:val="left" w:pos="176"/>
                <w:tab w:val="left" w:pos="612"/>
              </w:tabs>
              <w:spacing w:line="360" w:lineRule="auto"/>
              <w:jc w:val="center"/>
              <w:rPr>
                <w:rFonts w:ascii="宋体" w:hAnsi="宋体" w:cs="宋体"/>
                <w:color w:val="auto"/>
                <w:szCs w:val="21"/>
                <w:highlight w:val="none"/>
              </w:rPr>
            </w:pPr>
          </w:p>
        </w:tc>
        <w:tc>
          <w:tcPr>
            <w:tcW w:w="8474" w:type="dxa"/>
            <w:vAlign w:val="center"/>
          </w:tcPr>
          <w:p w14:paraId="4D6085D4">
            <w:pPr>
              <w:spacing w:line="360" w:lineRule="auto"/>
              <w:rPr>
                <w:rFonts w:ascii="宋体" w:hAnsi="宋体" w:cs="仿宋"/>
                <w:color w:val="auto"/>
                <w:szCs w:val="21"/>
                <w:highlight w:val="none"/>
              </w:rPr>
            </w:pPr>
            <w:r>
              <w:rPr>
                <w:rFonts w:hint="eastAsia" w:ascii="宋体" w:hAnsi="宋体" w:cs="仿宋"/>
                <w:color w:val="auto"/>
                <w:szCs w:val="21"/>
                <w:highlight w:val="none"/>
              </w:rPr>
              <w:t>履行合同所必需的设备和专业技术能力：提供《资格声明函》。</w:t>
            </w:r>
          </w:p>
        </w:tc>
      </w:tr>
      <w:tr w14:paraId="0046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06" w:type="dxa"/>
            <w:vAlign w:val="center"/>
          </w:tcPr>
          <w:p w14:paraId="2DE7BB07">
            <w:pPr>
              <w:numPr>
                <w:ilvl w:val="0"/>
                <w:numId w:val="19"/>
              </w:numPr>
              <w:tabs>
                <w:tab w:val="left" w:pos="176"/>
                <w:tab w:val="left" w:pos="612"/>
              </w:tabs>
              <w:spacing w:line="360" w:lineRule="auto"/>
              <w:jc w:val="center"/>
              <w:rPr>
                <w:rFonts w:ascii="宋体" w:hAnsi="宋体" w:cs="宋体"/>
                <w:color w:val="auto"/>
                <w:szCs w:val="21"/>
                <w:highlight w:val="none"/>
              </w:rPr>
            </w:pPr>
          </w:p>
        </w:tc>
        <w:tc>
          <w:tcPr>
            <w:tcW w:w="8474" w:type="dxa"/>
            <w:vAlign w:val="center"/>
          </w:tcPr>
          <w:p w14:paraId="4A5507D5">
            <w:pPr>
              <w:spacing w:line="360" w:lineRule="auto"/>
              <w:rPr>
                <w:rFonts w:ascii="宋体" w:hAnsi="宋体" w:cs="仿宋"/>
                <w:color w:val="auto"/>
                <w:szCs w:val="21"/>
                <w:highlight w:val="none"/>
              </w:rPr>
            </w:pPr>
            <w:r>
              <w:rPr>
                <w:rFonts w:hint="eastAsia" w:ascii="宋体" w:hAnsi="宋体" w:cs="仿宋"/>
                <w:color w:val="auto"/>
                <w:szCs w:val="21"/>
                <w:highlight w:val="none"/>
              </w:rPr>
              <w:t>参加采购活动前3年内，在经营活动中没有重大违法记录：提供《资格声明函》。</w:t>
            </w:r>
          </w:p>
        </w:tc>
      </w:tr>
      <w:tr w14:paraId="769B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06" w:type="dxa"/>
            <w:vAlign w:val="center"/>
          </w:tcPr>
          <w:p w14:paraId="759FB145">
            <w:pPr>
              <w:numPr>
                <w:ilvl w:val="0"/>
                <w:numId w:val="19"/>
              </w:numPr>
              <w:tabs>
                <w:tab w:val="left" w:pos="176"/>
                <w:tab w:val="left" w:pos="612"/>
              </w:tabs>
              <w:spacing w:line="360" w:lineRule="auto"/>
              <w:jc w:val="center"/>
              <w:rPr>
                <w:rFonts w:ascii="宋体" w:hAnsi="宋体" w:cs="宋体"/>
                <w:color w:val="auto"/>
                <w:szCs w:val="21"/>
                <w:highlight w:val="none"/>
              </w:rPr>
            </w:pPr>
          </w:p>
        </w:tc>
        <w:tc>
          <w:tcPr>
            <w:tcW w:w="8474" w:type="dxa"/>
            <w:vAlign w:val="center"/>
          </w:tcPr>
          <w:p w14:paraId="2802A6D9">
            <w:pPr>
              <w:spacing w:line="360" w:lineRule="auto"/>
              <w:rPr>
                <w:rFonts w:ascii="宋体" w:hAnsi="宋体" w:cs="仿宋"/>
                <w:color w:val="auto"/>
                <w:szCs w:val="21"/>
                <w:highlight w:val="none"/>
              </w:rPr>
            </w:pPr>
            <w:r>
              <w:rPr>
                <w:rFonts w:hint="eastAsia" w:ascii="宋体" w:hAnsi="宋体" w:cs="仿宋"/>
                <w:color w:val="auto"/>
                <w:szCs w:val="21"/>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提交首次响应文件截止时间当天在“信用中国”网站（www.creditchina.gov.cn）及中国政府采购网（http://www.ccgp.gov.cn/）查询结果为准，如相关失信记录已失效，供应商需提供相关证明资料）</w:t>
            </w:r>
          </w:p>
        </w:tc>
      </w:tr>
      <w:tr w14:paraId="1B54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06" w:type="dxa"/>
            <w:vAlign w:val="center"/>
          </w:tcPr>
          <w:p w14:paraId="042836DF">
            <w:pPr>
              <w:numPr>
                <w:ilvl w:val="0"/>
                <w:numId w:val="19"/>
              </w:numPr>
              <w:tabs>
                <w:tab w:val="left" w:pos="176"/>
                <w:tab w:val="left" w:pos="612"/>
              </w:tabs>
              <w:spacing w:line="360" w:lineRule="auto"/>
              <w:jc w:val="center"/>
              <w:rPr>
                <w:rFonts w:ascii="宋体" w:hAnsi="宋体" w:cs="宋体"/>
                <w:color w:val="auto"/>
                <w:szCs w:val="21"/>
                <w:highlight w:val="none"/>
              </w:rPr>
            </w:pPr>
          </w:p>
        </w:tc>
        <w:tc>
          <w:tcPr>
            <w:tcW w:w="8474" w:type="dxa"/>
            <w:vAlign w:val="center"/>
          </w:tcPr>
          <w:p w14:paraId="66001441">
            <w:pPr>
              <w:spacing w:line="360" w:lineRule="auto"/>
              <w:rPr>
                <w:rFonts w:ascii="宋体" w:hAnsi="宋体" w:cs="仿宋"/>
                <w:color w:val="auto"/>
                <w:szCs w:val="21"/>
                <w:highlight w:val="none"/>
              </w:rPr>
            </w:pPr>
            <w:r>
              <w:rPr>
                <w:rFonts w:hint="eastAsia" w:ascii="宋体" w:hAnsi="宋体" w:cs="仿宋"/>
                <w:color w:val="auto"/>
                <w:szCs w:val="21"/>
                <w:highlight w:val="none"/>
              </w:rPr>
              <w:t>单位负责人为同一人或者存在直接控股、管理关系的不同供应商，不得同时参加本采购项目（或采购包）报价。为本项目提供整体设计、规范编制或者项目管理、监理、检测等服务的供应商，不得再参与本项目报价。提供《资格声明函》</w:t>
            </w:r>
          </w:p>
        </w:tc>
      </w:tr>
      <w:tr w14:paraId="63B0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06" w:type="dxa"/>
            <w:vAlign w:val="center"/>
          </w:tcPr>
          <w:p w14:paraId="62D503B2">
            <w:pPr>
              <w:numPr>
                <w:ilvl w:val="0"/>
                <w:numId w:val="19"/>
              </w:numPr>
              <w:tabs>
                <w:tab w:val="left" w:pos="176"/>
                <w:tab w:val="left" w:pos="612"/>
              </w:tabs>
              <w:spacing w:line="360" w:lineRule="auto"/>
              <w:jc w:val="center"/>
              <w:rPr>
                <w:rFonts w:ascii="宋体" w:hAnsi="宋体" w:cs="宋体"/>
                <w:color w:val="auto"/>
                <w:szCs w:val="21"/>
                <w:highlight w:val="none"/>
              </w:rPr>
            </w:pPr>
          </w:p>
        </w:tc>
        <w:tc>
          <w:tcPr>
            <w:tcW w:w="8474" w:type="dxa"/>
            <w:vAlign w:val="center"/>
          </w:tcPr>
          <w:p w14:paraId="26F03DE2">
            <w:pPr>
              <w:spacing w:line="360" w:lineRule="auto"/>
              <w:rPr>
                <w:rFonts w:ascii="宋体" w:hAnsi="宋体" w:cs="仿宋"/>
                <w:color w:val="auto"/>
                <w:szCs w:val="21"/>
                <w:highlight w:val="none"/>
              </w:rPr>
            </w:pPr>
            <w:r>
              <w:rPr>
                <w:rFonts w:hint="eastAsia" w:ascii="宋体" w:hAnsi="宋体" w:cs="仿宋"/>
                <w:color w:val="auto"/>
                <w:szCs w:val="21"/>
                <w:highlight w:val="none"/>
              </w:rPr>
              <w:t>本项目不接受联合体报价</w:t>
            </w:r>
          </w:p>
        </w:tc>
      </w:tr>
    </w:tbl>
    <w:p w14:paraId="766D7B41">
      <w:pPr>
        <w:rPr>
          <w:rFonts w:ascii="宋体" w:hAnsi="宋体" w:cs="仿宋"/>
          <w:color w:val="auto"/>
          <w:sz w:val="28"/>
          <w:szCs w:val="28"/>
          <w:highlight w:val="none"/>
        </w:rPr>
      </w:pPr>
      <w:r>
        <w:rPr>
          <w:rFonts w:hint="eastAsia" w:ascii="宋体" w:hAnsi="宋体" w:cs="仿宋"/>
          <w:color w:val="auto"/>
          <w:sz w:val="28"/>
          <w:szCs w:val="28"/>
          <w:highlight w:val="none"/>
        </w:rPr>
        <w:br w:type="page"/>
      </w:r>
    </w:p>
    <w:p w14:paraId="06785101">
      <w:pPr>
        <w:rPr>
          <w:color w:val="auto"/>
          <w:highlight w:val="none"/>
        </w:rPr>
      </w:pPr>
    </w:p>
    <w:p w14:paraId="4FBE42B1">
      <w:pPr>
        <w:adjustRightInd w:val="0"/>
        <w:snapToGrid w:val="0"/>
        <w:spacing w:line="360" w:lineRule="auto"/>
        <w:jc w:val="center"/>
        <w:outlineLvl w:val="1"/>
        <w:rPr>
          <w:rFonts w:ascii="宋体" w:hAnsi="宋体" w:cs="仿宋"/>
          <w:color w:val="auto"/>
          <w:sz w:val="24"/>
          <w:highlight w:val="none"/>
        </w:rPr>
      </w:pPr>
      <w:bookmarkStart w:id="153" w:name="_Toc16897"/>
      <w:r>
        <w:rPr>
          <w:rFonts w:hint="eastAsia" w:ascii="宋体" w:hAnsi="宋体" w:cs="仿宋"/>
          <w:color w:val="auto"/>
          <w:sz w:val="24"/>
          <w:highlight w:val="none"/>
        </w:rPr>
        <w:t>二、</w:t>
      </w:r>
      <w:r>
        <w:rPr>
          <w:rFonts w:hint="eastAsia" w:ascii="宋体" w:hAnsi="宋体" w:cs="仿宋"/>
          <w:b/>
          <w:bCs/>
          <w:color w:val="auto"/>
          <w:sz w:val="24"/>
          <w:highlight w:val="none"/>
        </w:rPr>
        <w:t>符合性审查表</w:t>
      </w:r>
      <w:bookmarkEnd w:id="150"/>
      <w:bookmarkEnd w:id="151"/>
      <w:bookmarkEnd w:id="152"/>
      <w:bookmarkEnd w:id="153"/>
    </w:p>
    <w:tbl>
      <w:tblPr>
        <w:tblStyle w:val="3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475"/>
      </w:tblGrid>
      <w:tr w14:paraId="76A3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5" w:type="dxa"/>
            <w:vAlign w:val="center"/>
          </w:tcPr>
          <w:p w14:paraId="059E4307">
            <w:pPr>
              <w:spacing w:line="360" w:lineRule="auto"/>
              <w:jc w:val="center"/>
              <w:rPr>
                <w:rFonts w:ascii="宋体" w:hAnsi="宋体" w:cs="仿宋"/>
                <w:b/>
                <w:color w:val="auto"/>
                <w:szCs w:val="21"/>
                <w:highlight w:val="none"/>
              </w:rPr>
            </w:pPr>
            <w:r>
              <w:rPr>
                <w:rFonts w:hint="eastAsia" w:ascii="宋体" w:hAnsi="宋体" w:cs="仿宋"/>
                <w:b/>
                <w:color w:val="auto"/>
                <w:szCs w:val="21"/>
                <w:highlight w:val="none"/>
              </w:rPr>
              <w:t>序号</w:t>
            </w:r>
          </w:p>
        </w:tc>
        <w:tc>
          <w:tcPr>
            <w:tcW w:w="8475" w:type="dxa"/>
            <w:vAlign w:val="center"/>
          </w:tcPr>
          <w:p w14:paraId="50263C6F">
            <w:pPr>
              <w:spacing w:line="360" w:lineRule="auto"/>
              <w:jc w:val="center"/>
              <w:rPr>
                <w:rFonts w:ascii="宋体" w:hAnsi="宋体" w:cs="仿宋"/>
                <w:b/>
                <w:color w:val="auto"/>
                <w:szCs w:val="21"/>
                <w:highlight w:val="none"/>
              </w:rPr>
            </w:pPr>
            <w:r>
              <w:rPr>
                <w:rFonts w:hint="eastAsia" w:ascii="宋体" w:hAnsi="宋体" w:cs="仿宋"/>
                <w:b/>
                <w:color w:val="auto"/>
                <w:szCs w:val="21"/>
                <w:highlight w:val="none"/>
              </w:rPr>
              <w:t>评审内容</w:t>
            </w:r>
          </w:p>
        </w:tc>
      </w:tr>
      <w:tr w14:paraId="3AD1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05" w:type="dxa"/>
            <w:vAlign w:val="center"/>
          </w:tcPr>
          <w:p w14:paraId="75A1ACF1">
            <w:pPr>
              <w:numPr>
                <w:ilvl w:val="0"/>
                <w:numId w:val="20"/>
              </w:numPr>
              <w:tabs>
                <w:tab w:val="left" w:pos="176"/>
                <w:tab w:val="left" w:pos="612"/>
              </w:tabs>
              <w:spacing w:line="360" w:lineRule="auto"/>
              <w:jc w:val="center"/>
              <w:rPr>
                <w:rFonts w:ascii="宋体" w:hAnsi="宋体" w:cs="仿宋"/>
                <w:color w:val="auto"/>
                <w:szCs w:val="21"/>
                <w:highlight w:val="none"/>
              </w:rPr>
            </w:pPr>
          </w:p>
        </w:tc>
        <w:tc>
          <w:tcPr>
            <w:tcW w:w="8475" w:type="dxa"/>
            <w:vAlign w:val="center"/>
          </w:tcPr>
          <w:p w14:paraId="0ECC8B64">
            <w:pPr>
              <w:tabs>
                <w:tab w:val="left" w:pos="612"/>
              </w:tabs>
              <w:spacing w:line="360" w:lineRule="auto"/>
              <w:rPr>
                <w:rFonts w:ascii="宋体" w:hAnsi="宋体" w:cs="仿宋"/>
                <w:color w:val="auto"/>
                <w:szCs w:val="21"/>
                <w:highlight w:val="none"/>
              </w:rPr>
            </w:pPr>
            <w:r>
              <w:rPr>
                <w:rFonts w:hint="eastAsia" w:ascii="宋体" w:hAnsi="宋体" w:cs="仿宋"/>
                <w:color w:val="auto"/>
                <w:szCs w:val="21"/>
                <w:highlight w:val="none"/>
              </w:rPr>
              <w:t>按照竞争性磋商文件规定要求签署和盖章的；</w:t>
            </w:r>
          </w:p>
        </w:tc>
      </w:tr>
      <w:tr w14:paraId="113C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05" w:type="dxa"/>
            <w:vAlign w:val="center"/>
          </w:tcPr>
          <w:p w14:paraId="5531A2E3">
            <w:pPr>
              <w:numPr>
                <w:ilvl w:val="0"/>
                <w:numId w:val="20"/>
              </w:numPr>
              <w:tabs>
                <w:tab w:val="left" w:pos="176"/>
                <w:tab w:val="left" w:pos="612"/>
              </w:tabs>
              <w:spacing w:line="360" w:lineRule="auto"/>
              <w:jc w:val="center"/>
              <w:rPr>
                <w:rFonts w:ascii="宋体" w:hAnsi="宋体" w:cs="仿宋"/>
                <w:color w:val="auto"/>
                <w:szCs w:val="21"/>
                <w:highlight w:val="none"/>
              </w:rPr>
            </w:pPr>
          </w:p>
        </w:tc>
        <w:tc>
          <w:tcPr>
            <w:tcW w:w="8475" w:type="dxa"/>
            <w:vAlign w:val="center"/>
          </w:tcPr>
          <w:p w14:paraId="483139D2">
            <w:pPr>
              <w:tabs>
                <w:tab w:val="left" w:pos="612"/>
              </w:tabs>
              <w:spacing w:line="360" w:lineRule="auto"/>
              <w:rPr>
                <w:rFonts w:ascii="宋体" w:hAnsi="宋体" w:cs="仿宋"/>
                <w:color w:val="auto"/>
                <w:szCs w:val="21"/>
                <w:highlight w:val="none"/>
              </w:rPr>
            </w:pPr>
            <w:r>
              <w:rPr>
                <w:rFonts w:hint="eastAsia" w:ascii="宋体" w:hAnsi="宋体" w:cs="仿宋"/>
                <w:color w:val="auto"/>
                <w:szCs w:val="21"/>
                <w:highlight w:val="none"/>
              </w:rPr>
              <w:t>法定代表人证明书和法定代表人授权委托书，按照竞争性磋商文件规定响应文件有法定代表人</w:t>
            </w:r>
            <w:r>
              <w:rPr>
                <w:rFonts w:hint="eastAsia" w:ascii="宋体" w:hAnsi="宋体" w:cs="仿宋"/>
                <w:color w:val="auto"/>
                <w:szCs w:val="21"/>
                <w:highlight w:val="none"/>
                <w:lang w:eastAsia="zh-TW"/>
              </w:rPr>
              <w:t>签署本人姓名（或印盖本人姓名章）</w:t>
            </w:r>
            <w:r>
              <w:rPr>
                <w:rFonts w:hint="eastAsia" w:ascii="宋体" w:hAnsi="宋体" w:cs="仿宋"/>
                <w:color w:val="auto"/>
                <w:szCs w:val="21"/>
                <w:highlight w:val="none"/>
              </w:rPr>
              <w:t>；</w:t>
            </w:r>
          </w:p>
        </w:tc>
      </w:tr>
      <w:tr w14:paraId="48D5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05" w:type="dxa"/>
            <w:vAlign w:val="center"/>
          </w:tcPr>
          <w:p w14:paraId="49E8EC25">
            <w:pPr>
              <w:numPr>
                <w:ilvl w:val="0"/>
                <w:numId w:val="20"/>
              </w:numPr>
              <w:tabs>
                <w:tab w:val="left" w:pos="176"/>
                <w:tab w:val="left" w:pos="612"/>
              </w:tabs>
              <w:spacing w:line="360" w:lineRule="auto"/>
              <w:jc w:val="center"/>
              <w:rPr>
                <w:rFonts w:ascii="宋体" w:hAnsi="宋体" w:cs="仿宋"/>
                <w:color w:val="auto"/>
                <w:szCs w:val="21"/>
                <w:highlight w:val="none"/>
              </w:rPr>
            </w:pPr>
          </w:p>
        </w:tc>
        <w:tc>
          <w:tcPr>
            <w:tcW w:w="8475" w:type="dxa"/>
            <w:vAlign w:val="center"/>
          </w:tcPr>
          <w:p w14:paraId="29318FEB">
            <w:pPr>
              <w:spacing w:line="360" w:lineRule="auto"/>
              <w:ind w:left="315" w:hanging="315" w:hangingChars="150"/>
              <w:rPr>
                <w:rFonts w:ascii="宋体" w:hAnsi="宋体" w:cs="仿宋"/>
                <w:color w:val="auto"/>
                <w:szCs w:val="21"/>
                <w:highlight w:val="none"/>
              </w:rPr>
            </w:pPr>
            <w:r>
              <w:rPr>
                <w:rFonts w:hint="eastAsia" w:ascii="宋体" w:hAnsi="宋体" w:cs="仿宋"/>
                <w:color w:val="auto"/>
                <w:szCs w:val="21"/>
                <w:highlight w:val="none"/>
              </w:rPr>
              <w:t>投标报价没有超出最高限价，且是固定唯一值的；</w:t>
            </w:r>
          </w:p>
        </w:tc>
      </w:tr>
      <w:tr w14:paraId="2BA5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05" w:type="dxa"/>
            <w:vAlign w:val="center"/>
          </w:tcPr>
          <w:p w14:paraId="2012C964">
            <w:pPr>
              <w:numPr>
                <w:ilvl w:val="0"/>
                <w:numId w:val="20"/>
              </w:numPr>
              <w:tabs>
                <w:tab w:val="left" w:pos="176"/>
                <w:tab w:val="left" w:pos="612"/>
              </w:tabs>
              <w:spacing w:line="360" w:lineRule="auto"/>
              <w:jc w:val="center"/>
              <w:rPr>
                <w:rFonts w:ascii="宋体" w:hAnsi="宋体" w:cs="仿宋"/>
                <w:color w:val="auto"/>
                <w:szCs w:val="21"/>
                <w:highlight w:val="none"/>
              </w:rPr>
            </w:pPr>
          </w:p>
        </w:tc>
        <w:tc>
          <w:tcPr>
            <w:tcW w:w="8475" w:type="dxa"/>
            <w:vAlign w:val="center"/>
          </w:tcPr>
          <w:p w14:paraId="544601A0">
            <w:pPr>
              <w:spacing w:line="360" w:lineRule="auto"/>
              <w:rPr>
                <w:rFonts w:ascii="宋体" w:hAnsi="宋体" w:cs="仿宋"/>
                <w:color w:val="auto"/>
                <w:szCs w:val="21"/>
                <w:highlight w:val="none"/>
              </w:rPr>
            </w:pPr>
            <w:r>
              <w:rPr>
                <w:rFonts w:hint="eastAsia" w:ascii="宋体" w:hAnsi="宋体" w:cs="仿宋"/>
                <w:color w:val="auto"/>
                <w:szCs w:val="21"/>
                <w:highlight w:val="none"/>
              </w:rPr>
              <w:t>响应文件完全满足竞争性磋商文件</w:t>
            </w:r>
            <w:r>
              <w:rPr>
                <w:rFonts w:hint="eastAsia" w:ascii="宋体" w:hAnsi="宋体" w:cs="仿宋"/>
                <w:bCs/>
                <w:color w:val="auto"/>
                <w:szCs w:val="21"/>
                <w:highlight w:val="none"/>
              </w:rPr>
              <w:t>以“★”标明</w:t>
            </w:r>
            <w:r>
              <w:rPr>
                <w:rFonts w:hint="eastAsia" w:ascii="宋体" w:hAnsi="宋体" w:cs="仿宋"/>
                <w:color w:val="auto"/>
                <w:szCs w:val="21"/>
                <w:highlight w:val="none"/>
              </w:rPr>
              <w:t>的实质性条款要求的；</w:t>
            </w:r>
          </w:p>
        </w:tc>
      </w:tr>
      <w:tr w14:paraId="0E27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05" w:type="dxa"/>
            <w:vAlign w:val="center"/>
          </w:tcPr>
          <w:p w14:paraId="3451E852">
            <w:pPr>
              <w:numPr>
                <w:ilvl w:val="0"/>
                <w:numId w:val="20"/>
              </w:numPr>
              <w:tabs>
                <w:tab w:val="left" w:pos="176"/>
                <w:tab w:val="left" w:pos="612"/>
              </w:tabs>
              <w:spacing w:line="360" w:lineRule="auto"/>
              <w:jc w:val="center"/>
              <w:rPr>
                <w:rFonts w:ascii="宋体" w:hAnsi="宋体" w:cs="仿宋"/>
                <w:color w:val="auto"/>
                <w:szCs w:val="21"/>
                <w:highlight w:val="none"/>
              </w:rPr>
            </w:pPr>
          </w:p>
        </w:tc>
        <w:tc>
          <w:tcPr>
            <w:tcW w:w="8475" w:type="dxa"/>
            <w:vAlign w:val="center"/>
          </w:tcPr>
          <w:p w14:paraId="50034527">
            <w:pPr>
              <w:widowControl/>
              <w:spacing w:line="360" w:lineRule="auto"/>
              <w:jc w:val="left"/>
              <w:rPr>
                <w:rFonts w:ascii="宋体" w:hAnsi="宋体" w:cs="仿宋"/>
                <w:color w:val="auto"/>
                <w:szCs w:val="21"/>
                <w:highlight w:val="none"/>
              </w:rPr>
            </w:pPr>
            <w:r>
              <w:rPr>
                <w:rFonts w:hint="eastAsia" w:ascii="宋体" w:hAnsi="宋体" w:cs="仿宋"/>
                <w:color w:val="auto"/>
                <w:szCs w:val="21"/>
                <w:highlight w:val="none"/>
              </w:rPr>
              <w:t>响应文件没有采购人不能接受的附加条件的；</w:t>
            </w:r>
          </w:p>
        </w:tc>
      </w:tr>
      <w:tr w14:paraId="3D3E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05" w:type="dxa"/>
            <w:vAlign w:val="center"/>
          </w:tcPr>
          <w:p w14:paraId="7D0F3266">
            <w:pPr>
              <w:numPr>
                <w:ilvl w:val="0"/>
                <w:numId w:val="20"/>
              </w:numPr>
              <w:tabs>
                <w:tab w:val="left" w:pos="176"/>
                <w:tab w:val="left" w:pos="612"/>
              </w:tabs>
              <w:spacing w:line="360" w:lineRule="auto"/>
              <w:jc w:val="center"/>
              <w:rPr>
                <w:rFonts w:ascii="宋体" w:hAnsi="宋体" w:cs="仿宋"/>
                <w:color w:val="auto"/>
                <w:szCs w:val="21"/>
                <w:highlight w:val="none"/>
              </w:rPr>
            </w:pPr>
          </w:p>
        </w:tc>
        <w:tc>
          <w:tcPr>
            <w:tcW w:w="8475" w:type="dxa"/>
            <w:vAlign w:val="center"/>
          </w:tcPr>
          <w:p w14:paraId="2C715D6E">
            <w:pPr>
              <w:widowControl/>
              <w:spacing w:line="360" w:lineRule="auto"/>
              <w:jc w:val="left"/>
              <w:rPr>
                <w:rFonts w:ascii="宋体" w:hAnsi="宋体" w:cs="仿宋"/>
                <w:color w:val="auto"/>
                <w:szCs w:val="21"/>
                <w:highlight w:val="none"/>
              </w:rPr>
            </w:pPr>
            <w:r>
              <w:rPr>
                <w:rFonts w:hint="eastAsia" w:ascii="宋体" w:hAnsi="宋体" w:cs="仿宋"/>
                <w:color w:val="auto"/>
                <w:szCs w:val="21"/>
                <w:highlight w:val="none"/>
              </w:rPr>
              <w:t>响应文件没有出现串通投标情形的；</w:t>
            </w:r>
          </w:p>
        </w:tc>
      </w:tr>
      <w:tr w14:paraId="7639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05" w:type="dxa"/>
            <w:vAlign w:val="center"/>
          </w:tcPr>
          <w:p w14:paraId="7A17B10D">
            <w:pPr>
              <w:numPr>
                <w:ilvl w:val="0"/>
                <w:numId w:val="20"/>
              </w:numPr>
              <w:tabs>
                <w:tab w:val="left" w:pos="176"/>
                <w:tab w:val="left" w:pos="612"/>
              </w:tabs>
              <w:spacing w:line="360" w:lineRule="auto"/>
              <w:jc w:val="center"/>
              <w:rPr>
                <w:rFonts w:ascii="宋体" w:hAnsi="宋体" w:cs="仿宋"/>
                <w:color w:val="auto"/>
                <w:szCs w:val="21"/>
                <w:highlight w:val="none"/>
              </w:rPr>
            </w:pPr>
          </w:p>
        </w:tc>
        <w:tc>
          <w:tcPr>
            <w:tcW w:w="8475" w:type="dxa"/>
            <w:vAlign w:val="center"/>
          </w:tcPr>
          <w:p w14:paraId="131042A3">
            <w:pPr>
              <w:spacing w:line="360" w:lineRule="auto"/>
              <w:rPr>
                <w:rFonts w:ascii="宋体" w:hAnsi="宋体" w:cs="仿宋"/>
                <w:color w:val="auto"/>
                <w:szCs w:val="21"/>
                <w:highlight w:val="none"/>
              </w:rPr>
            </w:pPr>
            <w:r>
              <w:rPr>
                <w:rFonts w:hint="eastAsia" w:ascii="宋体" w:hAnsi="宋体" w:cs="仿宋"/>
                <w:color w:val="auto"/>
                <w:szCs w:val="21"/>
                <w:highlight w:val="none"/>
              </w:rPr>
              <w:t>响应文件没有竞争性磋商文件中规定的其他无效投标条款的；</w:t>
            </w:r>
          </w:p>
        </w:tc>
      </w:tr>
      <w:tr w14:paraId="1758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05" w:type="dxa"/>
            <w:vAlign w:val="center"/>
          </w:tcPr>
          <w:p w14:paraId="4F705383">
            <w:pPr>
              <w:numPr>
                <w:ilvl w:val="0"/>
                <w:numId w:val="20"/>
              </w:numPr>
              <w:tabs>
                <w:tab w:val="left" w:pos="176"/>
                <w:tab w:val="left" w:pos="612"/>
              </w:tabs>
              <w:spacing w:line="360" w:lineRule="auto"/>
              <w:jc w:val="center"/>
              <w:rPr>
                <w:rFonts w:ascii="宋体" w:hAnsi="宋体" w:cs="仿宋"/>
                <w:color w:val="auto"/>
                <w:szCs w:val="21"/>
                <w:highlight w:val="none"/>
              </w:rPr>
            </w:pPr>
          </w:p>
        </w:tc>
        <w:tc>
          <w:tcPr>
            <w:tcW w:w="8475" w:type="dxa"/>
            <w:vAlign w:val="center"/>
          </w:tcPr>
          <w:p w14:paraId="3F93E52C">
            <w:pPr>
              <w:spacing w:line="360" w:lineRule="auto"/>
              <w:rPr>
                <w:rFonts w:ascii="宋体" w:hAnsi="宋体" w:cs="仿宋"/>
                <w:color w:val="auto"/>
                <w:szCs w:val="21"/>
                <w:highlight w:val="none"/>
              </w:rPr>
            </w:pPr>
            <w:r>
              <w:rPr>
                <w:rFonts w:hint="eastAsia" w:ascii="宋体" w:hAnsi="宋体" w:cs="仿宋"/>
                <w:color w:val="auto"/>
                <w:szCs w:val="21"/>
                <w:highlight w:val="none"/>
              </w:rPr>
              <w:t>没有法律、法规规定的其他无效情形。</w:t>
            </w:r>
          </w:p>
        </w:tc>
      </w:tr>
    </w:tbl>
    <w:p w14:paraId="4465F577">
      <w:pPr>
        <w:tabs>
          <w:tab w:val="left" w:pos="720"/>
        </w:tabs>
        <w:snapToGrid w:val="0"/>
        <w:spacing w:line="360" w:lineRule="auto"/>
        <w:rPr>
          <w:rFonts w:ascii="宋体" w:hAnsi="宋体"/>
          <w:color w:val="auto"/>
          <w:szCs w:val="21"/>
          <w:highlight w:val="none"/>
        </w:rPr>
      </w:pPr>
      <w:r>
        <w:rPr>
          <w:rFonts w:hint="eastAsia" w:ascii="宋体" w:hAnsi="宋体"/>
          <w:color w:val="auto"/>
          <w:szCs w:val="21"/>
          <w:highlight w:val="none"/>
        </w:rPr>
        <w:t>注：</w:t>
      </w:r>
    </w:p>
    <w:p w14:paraId="74D5DB7C">
      <w:pPr>
        <w:tabs>
          <w:tab w:val="left" w:pos="720"/>
        </w:tabs>
        <w:snapToGrid w:val="0"/>
        <w:spacing w:line="360" w:lineRule="auto"/>
        <w:ind w:left="360"/>
        <w:rPr>
          <w:rFonts w:ascii="宋体" w:hAnsi="宋体"/>
          <w:color w:val="auto"/>
          <w:szCs w:val="21"/>
          <w:highlight w:val="none"/>
        </w:rPr>
      </w:pPr>
      <w:r>
        <w:rPr>
          <w:rFonts w:hint="eastAsia" w:ascii="宋体" w:hAnsi="宋体" w:cs="宋体"/>
          <w:color w:val="auto"/>
          <w:kern w:val="0"/>
          <w:szCs w:val="21"/>
          <w:highlight w:val="none"/>
        </w:rPr>
        <w:t>1、每一项符合要求的打“○”，对不符合要求的打“×”，并在结论栏中简要说明原因。</w:t>
      </w:r>
    </w:p>
    <w:p w14:paraId="5242C3B6">
      <w:pPr>
        <w:tabs>
          <w:tab w:val="left" w:pos="720"/>
        </w:tabs>
        <w:snapToGrid w:val="0"/>
        <w:spacing w:line="360" w:lineRule="auto"/>
        <w:ind w:left="360"/>
        <w:rPr>
          <w:rFonts w:ascii="宋体" w:hAnsi="宋体"/>
          <w:color w:val="auto"/>
          <w:szCs w:val="21"/>
          <w:highlight w:val="none"/>
        </w:rPr>
      </w:pPr>
      <w:r>
        <w:rPr>
          <w:rFonts w:hint="eastAsia" w:ascii="宋体" w:hAnsi="宋体"/>
          <w:b/>
          <w:color w:val="auto"/>
          <w:szCs w:val="21"/>
          <w:highlight w:val="none"/>
          <w:u w:val="single"/>
        </w:rPr>
        <w:t>2、不通过第一阶段审查的供应商，其响应文件作无效处理，不进入磋商阶段。</w:t>
      </w:r>
    </w:p>
    <w:p w14:paraId="1D8E387E">
      <w:pPr>
        <w:spacing w:line="400" w:lineRule="exact"/>
        <w:rPr>
          <w:rFonts w:ascii="宋体" w:hAnsi="宋体"/>
          <w:b/>
          <w:bCs/>
          <w:color w:val="auto"/>
          <w:sz w:val="28"/>
          <w:highlight w:val="none"/>
        </w:rPr>
      </w:pPr>
    </w:p>
    <w:p w14:paraId="3ED73ECB">
      <w:pPr>
        <w:rPr>
          <w:color w:val="auto"/>
          <w:highlight w:val="none"/>
        </w:rPr>
      </w:pPr>
      <w:r>
        <w:rPr>
          <w:rFonts w:hint="eastAsia"/>
          <w:color w:val="auto"/>
          <w:highlight w:val="none"/>
        </w:rPr>
        <w:br w:type="page"/>
      </w:r>
    </w:p>
    <w:p w14:paraId="1EE182C0">
      <w:pPr>
        <w:spacing w:line="400" w:lineRule="exact"/>
        <w:rPr>
          <w:rFonts w:ascii="宋体" w:hAnsi="宋体"/>
          <w:b/>
          <w:bCs/>
          <w:color w:val="auto"/>
          <w:sz w:val="24"/>
          <w:szCs w:val="22"/>
          <w:highlight w:val="none"/>
        </w:rPr>
      </w:pPr>
      <w:r>
        <w:rPr>
          <w:rFonts w:hint="eastAsia" w:ascii="宋体" w:hAnsi="宋体"/>
          <w:b/>
          <w:bCs/>
          <w:color w:val="auto"/>
          <w:sz w:val="24"/>
          <w:szCs w:val="22"/>
          <w:highlight w:val="none"/>
        </w:rPr>
        <w:t>附表二：</w:t>
      </w:r>
    </w:p>
    <w:p w14:paraId="0BFF1D72">
      <w:pPr>
        <w:spacing w:line="360" w:lineRule="auto"/>
        <w:rPr>
          <w:rFonts w:ascii="宋体" w:hAnsi="宋体" w:cs="仿宋"/>
          <w:b/>
          <w:bCs/>
          <w:color w:val="auto"/>
          <w:szCs w:val="21"/>
          <w:highlight w:val="none"/>
        </w:rPr>
      </w:pPr>
      <w:r>
        <w:rPr>
          <w:rFonts w:hint="eastAsia" w:ascii="宋体" w:hAnsi="宋体" w:cs="仿宋"/>
          <w:b/>
          <w:bCs/>
          <w:color w:val="auto"/>
          <w:szCs w:val="21"/>
          <w:highlight w:val="none"/>
        </w:rPr>
        <w:t>1.技术部分评分表（60分）</w:t>
      </w:r>
    </w:p>
    <w:tbl>
      <w:tblPr>
        <w:tblStyle w:val="33"/>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583"/>
        <w:gridCol w:w="5767"/>
        <w:gridCol w:w="1250"/>
      </w:tblGrid>
      <w:tr w14:paraId="274C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649" w:type="dxa"/>
            <w:shd w:val="clear" w:color="auto" w:fill="D9D9D9"/>
            <w:vAlign w:val="center"/>
          </w:tcPr>
          <w:p w14:paraId="10D4B04E">
            <w:pPr>
              <w:autoSpaceDE w:val="0"/>
              <w:autoSpaceDN w:val="0"/>
              <w:adjustRightInd w:val="0"/>
              <w:snapToGrid w:val="0"/>
              <w:spacing w:line="360" w:lineRule="auto"/>
              <w:jc w:val="center"/>
              <w:rPr>
                <w:rFonts w:ascii="宋体" w:hAnsi="宋体" w:cs="仿宋"/>
                <w:b/>
                <w:color w:val="auto"/>
                <w:kern w:val="0"/>
                <w:szCs w:val="21"/>
                <w:highlight w:val="none"/>
              </w:rPr>
            </w:pPr>
            <w:r>
              <w:rPr>
                <w:rFonts w:hint="eastAsia" w:ascii="宋体" w:hAnsi="宋体" w:cs="仿宋"/>
                <w:b/>
                <w:color w:val="auto"/>
                <w:kern w:val="0"/>
                <w:szCs w:val="21"/>
                <w:highlight w:val="none"/>
              </w:rPr>
              <w:t>序号</w:t>
            </w:r>
          </w:p>
        </w:tc>
        <w:tc>
          <w:tcPr>
            <w:tcW w:w="1583" w:type="dxa"/>
            <w:shd w:val="clear" w:color="auto" w:fill="D9D9D9"/>
            <w:vAlign w:val="center"/>
          </w:tcPr>
          <w:p w14:paraId="46215301">
            <w:pPr>
              <w:autoSpaceDE w:val="0"/>
              <w:autoSpaceDN w:val="0"/>
              <w:adjustRightInd w:val="0"/>
              <w:snapToGrid w:val="0"/>
              <w:spacing w:line="360" w:lineRule="auto"/>
              <w:jc w:val="center"/>
              <w:rPr>
                <w:rFonts w:ascii="宋体" w:hAnsi="宋体" w:cs="仿宋"/>
                <w:b/>
                <w:color w:val="auto"/>
                <w:kern w:val="0"/>
                <w:szCs w:val="21"/>
                <w:highlight w:val="none"/>
              </w:rPr>
            </w:pPr>
            <w:r>
              <w:rPr>
                <w:rFonts w:hint="eastAsia" w:ascii="宋体" w:hAnsi="宋体" w:cs="仿宋"/>
                <w:b/>
                <w:color w:val="auto"/>
                <w:kern w:val="0"/>
                <w:szCs w:val="21"/>
                <w:highlight w:val="none"/>
              </w:rPr>
              <w:t>评审项目</w:t>
            </w:r>
          </w:p>
        </w:tc>
        <w:tc>
          <w:tcPr>
            <w:tcW w:w="5767" w:type="dxa"/>
            <w:shd w:val="clear" w:color="auto" w:fill="D9D9D9"/>
            <w:vAlign w:val="center"/>
          </w:tcPr>
          <w:p w14:paraId="3236CEC3">
            <w:pPr>
              <w:autoSpaceDE w:val="0"/>
              <w:autoSpaceDN w:val="0"/>
              <w:adjustRightInd w:val="0"/>
              <w:snapToGrid w:val="0"/>
              <w:spacing w:line="360" w:lineRule="auto"/>
              <w:jc w:val="center"/>
              <w:rPr>
                <w:rFonts w:ascii="宋体" w:hAnsi="宋体" w:cs="仿宋"/>
                <w:b/>
                <w:color w:val="auto"/>
                <w:kern w:val="0"/>
                <w:szCs w:val="21"/>
                <w:highlight w:val="none"/>
              </w:rPr>
            </w:pPr>
            <w:r>
              <w:rPr>
                <w:rFonts w:hint="eastAsia" w:ascii="宋体" w:hAnsi="宋体" w:cs="仿宋"/>
                <w:b/>
                <w:color w:val="auto"/>
                <w:kern w:val="0"/>
                <w:szCs w:val="21"/>
                <w:highlight w:val="none"/>
              </w:rPr>
              <w:t>评分标准</w:t>
            </w:r>
          </w:p>
        </w:tc>
        <w:tc>
          <w:tcPr>
            <w:tcW w:w="1250" w:type="dxa"/>
            <w:shd w:val="clear" w:color="auto" w:fill="D9D9D9"/>
            <w:vAlign w:val="center"/>
          </w:tcPr>
          <w:p w14:paraId="2674040A">
            <w:pPr>
              <w:widowControl/>
              <w:autoSpaceDE w:val="0"/>
              <w:autoSpaceDN w:val="0"/>
              <w:adjustRightInd w:val="0"/>
              <w:snapToGrid w:val="0"/>
              <w:spacing w:line="360" w:lineRule="auto"/>
              <w:jc w:val="center"/>
              <w:rPr>
                <w:rFonts w:ascii="宋体" w:hAnsi="宋体" w:cs="仿宋"/>
                <w:b/>
                <w:color w:val="auto"/>
                <w:kern w:val="0"/>
                <w:szCs w:val="21"/>
                <w:highlight w:val="none"/>
              </w:rPr>
            </w:pPr>
            <w:r>
              <w:rPr>
                <w:rFonts w:hint="eastAsia" w:ascii="宋体" w:hAnsi="宋体" w:cs="仿宋"/>
                <w:b/>
                <w:color w:val="auto"/>
                <w:kern w:val="0"/>
                <w:szCs w:val="21"/>
                <w:highlight w:val="none"/>
              </w:rPr>
              <w:t>分值</w:t>
            </w:r>
          </w:p>
        </w:tc>
      </w:tr>
      <w:tr w14:paraId="4F37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649" w:type="dxa"/>
            <w:vAlign w:val="center"/>
          </w:tcPr>
          <w:p w14:paraId="56F97237">
            <w:pPr>
              <w:widowControl/>
              <w:spacing w:line="360" w:lineRule="auto"/>
              <w:jc w:val="center"/>
              <w:rPr>
                <w:rFonts w:ascii="宋体" w:hAnsi="宋体" w:cs="仿宋"/>
                <w:color w:val="auto"/>
                <w:szCs w:val="21"/>
                <w:highlight w:val="none"/>
              </w:rPr>
            </w:pPr>
            <w:r>
              <w:rPr>
                <w:rFonts w:hint="eastAsia" w:ascii="宋体" w:hAnsi="宋体" w:cs="仿宋"/>
                <w:color w:val="auto"/>
                <w:szCs w:val="21"/>
                <w:highlight w:val="none"/>
              </w:rPr>
              <w:t>1</w:t>
            </w:r>
          </w:p>
        </w:tc>
        <w:tc>
          <w:tcPr>
            <w:tcW w:w="1583" w:type="dxa"/>
            <w:vAlign w:val="center"/>
          </w:tcPr>
          <w:p w14:paraId="24B8228A">
            <w:pPr>
              <w:spacing w:line="360" w:lineRule="auto"/>
              <w:jc w:val="center"/>
              <w:rPr>
                <w:rFonts w:ascii="宋体" w:hAnsi="宋体" w:cs="仿宋"/>
                <w:color w:val="auto"/>
                <w:szCs w:val="21"/>
                <w:highlight w:val="none"/>
              </w:rPr>
            </w:pPr>
            <w:r>
              <w:rPr>
                <w:rFonts w:hint="eastAsia"/>
                <w:color w:val="auto"/>
                <w:szCs w:val="21"/>
                <w:highlight w:val="none"/>
              </w:rPr>
              <w:t>项目实施方案</w:t>
            </w:r>
            <w:r>
              <w:rPr>
                <w:color w:val="auto"/>
                <w:szCs w:val="21"/>
                <w:highlight w:val="none"/>
              </w:rPr>
              <w:t xml:space="preserve"> </w:t>
            </w:r>
          </w:p>
        </w:tc>
        <w:tc>
          <w:tcPr>
            <w:tcW w:w="5767" w:type="dxa"/>
            <w:vAlign w:val="center"/>
          </w:tcPr>
          <w:p w14:paraId="77FAC6C3">
            <w:pPr>
              <w:pStyle w:val="16"/>
              <w:numPr>
                <w:ilvl w:val="0"/>
                <w:numId w:val="0"/>
              </w:numPr>
              <w:spacing w:line="360" w:lineRule="auto"/>
              <w:jc w:val="left"/>
              <w:rPr>
                <w:rFonts w:hint="eastAsia" w:hAnsi="宋体"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hAnsi="宋体" w:cs="宋体"/>
                <w:color w:val="auto"/>
                <w:sz w:val="21"/>
                <w:highlight w:val="none"/>
              </w:rPr>
              <w:t>提供完备的保障项目实施的措施方案，</w:t>
            </w:r>
            <w:r>
              <w:rPr>
                <w:rFonts w:hint="eastAsia" w:hAnsi="宋体" w:cs="宋体"/>
                <w:color w:val="auto"/>
                <w:sz w:val="21"/>
                <w:highlight w:val="none"/>
                <w:lang w:val="en-US" w:eastAsia="zh-CN"/>
              </w:rPr>
              <w:t>方案对项目理解深入透彻</w:t>
            </w:r>
            <w:r>
              <w:rPr>
                <w:rFonts w:hint="eastAsia" w:hAnsi="宋体" w:cs="宋体"/>
                <w:color w:val="auto"/>
                <w:sz w:val="21"/>
                <w:highlight w:val="none"/>
              </w:rPr>
              <w:t>，</w:t>
            </w:r>
            <w:r>
              <w:rPr>
                <w:rFonts w:hint="eastAsia" w:hAnsi="宋体" w:cs="宋体"/>
                <w:color w:val="auto"/>
                <w:sz w:val="21"/>
                <w:highlight w:val="none"/>
                <w:lang w:val="en-US" w:eastAsia="zh-CN"/>
              </w:rPr>
              <w:t>整体框架清晰，阐述内容主次分明，可操作性、可行性强。方案完整全面，包含需求的所有内容，得15分；</w:t>
            </w:r>
          </w:p>
          <w:p w14:paraId="518DD55D">
            <w:pPr>
              <w:pStyle w:val="16"/>
              <w:spacing w:line="360" w:lineRule="auto"/>
              <w:jc w:val="left"/>
              <w:rPr>
                <w:rFonts w:hAnsi="宋体" w:cs="宋体"/>
                <w:color w:val="auto"/>
                <w:sz w:val="21"/>
                <w:highlight w:val="none"/>
              </w:rPr>
            </w:pPr>
            <w:r>
              <w:rPr>
                <w:rFonts w:hint="eastAsia" w:hAnsi="宋体" w:cs="宋体"/>
                <w:color w:val="auto"/>
                <w:sz w:val="21"/>
                <w:highlight w:val="none"/>
              </w:rPr>
              <w:t>2.方案对项目理解较为深入，整体框架较清晰，阐述 内容主次较为分明，具有一定的可操作性、可行性较强，方案完整全面，包含需求的所有内容，完全满足本项目需求，得</w:t>
            </w:r>
            <w:r>
              <w:rPr>
                <w:rFonts w:hint="eastAsia" w:hAnsi="宋体" w:cs="宋体"/>
                <w:color w:val="auto"/>
                <w:sz w:val="21"/>
                <w:highlight w:val="none"/>
                <w:lang w:val="en-US" w:eastAsia="zh-CN"/>
              </w:rPr>
              <w:t>9</w:t>
            </w:r>
            <w:r>
              <w:rPr>
                <w:rFonts w:hint="eastAsia" w:hAnsi="宋体" w:cs="宋体"/>
                <w:color w:val="auto"/>
                <w:sz w:val="21"/>
                <w:highlight w:val="none"/>
              </w:rPr>
              <w:t>分；</w:t>
            </w:r>
          </w:p>
          <w:p w14:paraId="6416F6BE">
            <w:pPr>
              <w:pStyle w:val="16"/>
              <w:spacing w:line="360" w:lineRule="auto"/>
              <w:jc w:val="left"/>
              <w:rPr>
                <w:rFonts w:hAnsi="宋体" w:cs="宋体"/>
                <w:color w:val="auto"/>
                <w:sz w:val="21"/>
                <w:highlight w:val="none"/>
              </w:rPr>
            </w:pPr>
            <w:r>
              <w:rPr>
                <w:rFonts w:hint="eastAsia" w:hAnsi="宋体" w:cs="宋体"/>
                <w:color w:val="auto"/>
                <w:sz w:val="21"/>
                <w:highlight w:val="none"/>
              </w:rPr>
              <w:t>3.方案对项目基本理解，整体框架基本清晰，阐述内容主次基本分明，方案具有基本的可操作性、可行性，方案不完整有缺项，但基本满足本项目需求，得</w:t>
            </w:r>
            <w:r>
              <w:rPr>
                <w:rFonts w:hint="eastAsia" w:hAnsi="宋体" w:cs="宋体"/>
                <w:color w:val="auto"/>
                <w:sz w:val="21"/>
                <w:highlight w:val="none"/>
                <w:lang w:val="en-US" w:eastAsia="zh-CN"/>
              </w:rPr>
              <w:t>6</w:t>
            </w:r>
            <w:r>
              <w:rPr>
                <w:rFonts w:hint="eastAsia" w:hAnsi="宋体" w:cs="宋体"/>
                <w:color w:val="auto"/>
                <w:sz w:val="21"/>
                <w:highlight w:val="none"/>
              </w:rPr>
              <w:t>分；</w:t>
            </w:r>
          </w:p>
          <w:p w14:paraId="06891772">
            <w:pPr>
              <w:pStyle w:val="16"/>
              <w:spacing w:line="360" w:lineRule="auto"/>
              <w:jc w:val="left"/>
              <w:rPr>
                <w:rFonts w:hAnsi="宋体" w:cs="宋体"/>
                <w:color w:val="auto"/>
                <w:sz w:val="21"/>
                <w:highlight w:val="none"/>
              </w:rPr>
            </w:pPr>
            <w:r>
              <w:rPr>
                <w:rFonts w:hint="eastAsia" w:hAnsi="宋体" w:cs="宋体"/>
                <w:color w:val="auto"/>
                <w:sz w:val="21"/>
                <w:highlight w:val="none"/>
              </w:rPr>
              <w:t>4.方案对项目理解不够准确，整体框架不够清晰，阐述内容主次不分，方案可操作性、可行性差，不能完全满足本项目需求，得</w:t>
            </w:r>
            <w:r>
              <w:rPr>
                <w:rFonts w:hint="eastAsia" w:hAnsi="宋体" w:cs="宋体"/>
                <w:color w:val="auto"/>
                <w:sz w:val="21"/>
                <w:highlight w:val="none"/>
                <w:lang w:val="en-US" w:eastAsia="zh-CN"/>
              </w:rPr>
              <w:t>3</w:t>
            </w:r>
            <w:r>
              <w:rPr>
                <w:rFonts w:hint="eastAsia" w:hAnsi="宋体" w:cs="宋体"/>
                <w:color w:val="auto"/>
                <w:sz w:val="21"/>
                <w:highlight w:val="none"/>
              </w:rPr>
              <w:t>分；</w:t>
            </w:r>
          </w:p>
          <w:p w14:paraId="73D70DEA">
            <w:pPr>
              <w:pStyle w:val="16"/>
              <w:spacing w:line="360" w:lineRule="auto"/>
              <w:jc w:val="left"/>
              <w:rPr>
                <w:rFonts w:hint="eastAsia" w:hAnsi="宋体" w:eastAsia="宋体" w:cs="宋体"/>
                <w:color w:val="auto"/>
                <w:sz w:val="21"/>
                <w:highlight w:val="none"/>
                <w:lang w:eastAsia="zh-CN"/>
              </w:rPr>
            </w:pPr>
            <w:r>
              <w:rPr>
                <w:rFonts w:hint="eastAsia" w:hAnsi="宋体" w:cs="宋体"/>
                <w:b w:val="0"/>
                <w:bCs w:val="0"/>
                <w:color w:val="auto"/>
                <w:sz w:val="21"/>
                <w:highlight w:val="none"/>
                <w:lang w:val="en-US" w:eastAsia="zh-CN"/>
              </w:rPr>
              <w:t>其他或无响应，得0分。</w:t>
            </w:r>
            <w:r>
              <w:rPr>
                <w:rFonts w:hint="eastAsia" w:hAnsi="宋体" w:cs="宋体"/>
                <w:color w:val="auto"/>
                <w:sz w:val="21"/>
                <w:highlight w:val="none"/>
                <w:lang w:val="en-US" w:eastAsia="zh-CN"/>
              </w:rPr>
              <w:t xml:space="preserve">  </w:t>
            </w:r>
            <w:r>
              <w:rPr>
                <w:rFonts w:hint="eastAsia" w:hAnsi="宋体" w:cs="宋体"/>
                <w:b/>
                <w:bCs/>
                <w:color w:val="auto"/>
                <w:sz w:val="21"/>
                <w:highlight w:val="none"/>
                <w:lang w:val="en-US" w:eastAsia="zh-CN"/>
              </w:rPr>
              <w:t xml:space="preserve"> </w:t>
            </w:r>
          </w:p>
        </w:tc>
        <w:tc>
          <w:tcPr>
            <w:tcW w:w="1250" w:type="dxa"/>
            <w:vAlign w:val="center"/>
          </w:tcPr>
          <w:p w14:paraId="1EC8B3FF">
            <w:pPr>
              <w:autoSpaceDE w:val="0"/>
              <w:autoSpaceDN w:val="0"/>
              <w:adjustRightInd w:val="0"/>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15</w:t>
            </w:r>
          </w:p>
        </w:tc>
      </w:tr>
      <w:tr w14:paraId="238F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649" w:type="dxa"/>
            <w:vAlign w:val="center"/>
          </w:tcPr>
          <w:p w14:paraId="65DE370A">
            <w:pPr>
              <w:widowControl/>
              <w:spacing w:line="360" w:lineRule="auto"/>
              <w:jc w:val="center"/>
              <w:rPr>
                <w:rFonts w:ascii="宋体" w:hAnsi="宋体" w:cs="仿宋"/>
                <w:color w:val="auto"/>
                <w:szCs w:val="21"/>
                <w:highlight w:val="none"/>
              </w:rPr>
            </w:pPr>
            <w:r>
              <w:rPr>
                <w:rFonts w:hint="eastAsia" w:ascii="宋体" w:hAnsi="宋体" w:cs="仿宋"/>
                <w:color w:val="auto"/>
                <w:szCs w:val="21"/>
                <w:highlight w:val="none"/>
              </w:rPr>
              <w:t>2</w:t>
            </w:r>
          </w:p>
        </w:tc>
        <w:tc>
          <w:tcPr>
            <w:tcW w:w="1583" w:type="dxa"/>
            <w:vAlign w:val="center"/>
          </w:tcPr>
          <w:p w14:paraId="1E64F320">
            <w:pPr>
              <w:spacing w:line="360" w:lineRule="auto"/>
              <w:jc w:val="center"/>
              <w:rPr>
                <w:rFonts w:ascii="宋体" w:hAnsi="宋体" w:cs="仿宋"/>
                <w:color w:val="auto"/>
                <w:szCs w:val="21"/>
                <w:highlight w:val="none"/>
              </w:rPr>
            </w:pPr>
            <w:r>
              <w:rPr>
                <w:rFonts w:hint="eastAsia" w:ascii="宋体" w:hAnsi="宋体" w:cs="宋体"/>
                <w:color w:val="auto"/>
                <w:szCs w:val="21"/>
                <w:highlight w:val="none"/>
              </w:rPr>
              <w:t>人员培训方案</w:t>
            </w:r>
          </w:p>
        </w:tc>
        <w:tc>
          <w:tcPr>
            <w:tcW w:w="5767" w:type="dxa"/>
            <w:vAlign w:val="center"/>
          </w:tcPr>
          <w:p w14:paraId="5F92730F">
            <w:pPr>
              <w:pStyle w:val="41"/>
              <w:spacing w:line="360" w:lineRule="auto"/>
              <w:rPr>
                <w:rFonts w:hAnsi="宋体" w:cs="仿宋"/>
                <w:color w:val="auto"/>
                <w:szCs w:val="21"/>
                <w:highlight w:val="none"/>
              </w:rPr>
            </w:pPr>
            <w:r>
              <w:rPr>
                <w:rFonts w:hint="eastAsia" w:hAnsi="宋体" w:cs="仿宋"/>
                <w:color w:val="auto"/>
                <w:szCs w:val="21"/>
                <w:highlight w:val="none"/>
                <w:lang w:val="en-US" w:eastAsia="zh-CN"/>
              </w:rPr>
              <w:t>1.</w:t>
            </w:r>
            <w:r>
              <w:rPr>
                <w:rFonts w:hAnsi="宋体" w:cs="仿宋"/>
                <w:color w:val="auto"/>
                <w:szCs w:val="21"/>
                <w:highlight w:val="none"/>
              </w:rPr>
              <w:t xml:space="preserve">人员管理方案中包含包括人员招聘、人员培训、人才储备、人员管理规范等4个方面内容，整体框架清晰，阐述内容主次分明，可操作性、可行性强，满足且优于本项目需求，得15分；    </w:t>
            </w:r>
          </w:p>
          <w:p w14:paraId="4E5F01F9">
            <w:pPr>
              <w:pStyle w:val="41"/>
              <w:spacing w:line="360" w:lineRule="auto"/>
              <w:rPr>
                <w:rFonts w:hAnsi="宋体" w:cs="仿宋"/>
                <w:color w:val="auto"/>
                <w:szCs w:val="21"/>
                <w:highlight w:val="none"/>
              </w:rPr>
            </w:pPr>
            <w:r>
              <w:rPr>
                <w:rFonts w:hint="eastAsia" w:hAnsi="宋体" w:cs="仿宋"/>
                <w:color w:val="auto"/>
                <w:szCs w:val="21"/>
                <w:highlight w:val="none"/>
                <w:lang w:val="en-US" w:eastAsia="zh-CN"/>
              </w:rPr>
              <w:t>2.</w:t>
            </w:r>
            <w:r>
              <w:rPr>
                <w:rFonts w:hAnsi="宋体" w:cs="仿宋"/>
                <w:color w:val="auto"/>
                <w:szCs w:val="21"/>
                <w:highlight w:val="none"/>
              </w:rPr>
              <w:t xml:space="preserve">人员管理方案中包含包括人员招聘、人员培训、人才储备、人员管理规范以上3个方面内容，方案对项目理解较为深入，整体框架较清晰，阐述内容主次较为分明，完全满足本项目需求具有一定的可操作性、可行性较强，得9分；    </w:t>
            </w:r>
          </w:p>
          <w:p w14:paraId="7E7577DE">
            <w:pPr>
              <w:pStyle w:val="41"/>
              <w:spacing w:line="360" w:lineRule="auto"/>
              <w:rPr>
                <w:rFonts w:hAnsi="宋体" w:cs="仿宋"/>
                <w:color w:val="auto"/>
                <w:szCs w:val="21"/>
                <w:highlight w:val="none"/>
              </w:rPr>
            </w:pPr>
            <w:r>
              <w:rPr>
                <w:rFonts w:hint="eastAsia" w:hAnsi="宋体" w:cs="仿宋"/>
                <w:color w:val="auto"/>
                <w:szCs w:val="21"/>
                <w:highlight w:val="none"/>
                <w:lang w:val="en-US" w:eastAsia="zh-CN"/>
              </w:rPr>
              <w:t>3.</w:t>
            </w:r>
            <w:r>
              <w:rPr>
                <w:rFonts w:hAnsi="宋体" w:cs="仿宋"/>
                <w:color w:val="auto"/>
                <w:szCs w:val="21"/>
                <w:highlight w:val="none"/>
              </w:rPr>
              <w:t xml:space="preserve">人员管理方案中包含包括人员招聘、人员培训、人才储备、人员管理规范以上2个方面内容，方案对项目基本理解，整体框架基本清晰，阐述内容主次基本分明，方案具有基本的可操作性、可行性，得6分；    </w:t>
            </w:r>
          </w:p>
          <w:p w14:paraId="3CDA07DE">
            <w:pPr>
              <w:pStyle w:val="41"/>
              <w:spacing w:line="360" w:lineRule="auto"/>
              <w:rPr>
                <w:rFonts w:hAnsi="宋体" w:cs="仿宋"/>
                <w:color w:val="auto"/>
                <w:szCs w:val="21"/>
                <w:highlight w:val="none"/>
              </w:rPr>
            </w:pPr>
            <w:r>
              <w:rPr>
                <w:rFonts w:hint="eastAsia" w:hAnsi="宋体" w:cs="仿宋"/>
                <w:color w:val="auto"/>
                <w:szCs w:val="21"/>
                <w:highlight w:val="none"/>
                <w:lang w:val="en-US" w:eastAsia="zh-CN"/>
              </w:rPr>
              <w:t>4.</w:t>
            </w:r>
            <w:r>
              <w:rPr>
                <w:rFonts w:hAnsi="宋体" w:cs="仿宋"/>
                <w:color w:val="auto"/>
                <w:szCs w:val="21"/>
                <w:highlight w:val="none"/>
              </w:rPr>
              <w:t>人员管理方案中包含包括人员招聘、人员培训、人才储备、人员管理规范以上1个方面内容，方案对项目理解不够准确，整体框架不够清晰，阐述内容主次不分，方案可操作性、可行性差，得3分；</w:t>
            </w:r>
          </w:p>
          <w:p w14:paraId="38711BAD">
            <w:pPr>
              <w:pStyle w:val="41"/>
              <w:spacing w:line="360" w:lineRule="auto"/>
              <w:rPr>
                <w:rFonts w:hAnsi="宋体" w:cs="仿宋"/>
                <w:color w:val="auto"/>
                <w:szCs w:val="21"/>
                <w:highlight w:val="none"/>
              </w:rPr>
            </w:pPr>
            <w:r>
              <w:rPr>
                <w:rFonts w:hAnsi="宋体" w:cs="仿宋"/>
                <w:color w:val="auto"/>
                <w:szCs w:val="21"/>
                <w:highlight w:val="none"/>
              </w:rPr>
              <w:t>其他或无响应，得0分。</w:t>
            </w:r>
          </w:p>
        </w:tc>
        <w:tc>
          <w:tcPr>
            <w:tcW w:w="1250" w:type="dxa"/>
            <w:vAlign w:val="center"/>
          </w:tcPr>
          <w:p w14:paraId="1798ACE6">
            <w:pPr>
              <w:autoSpaceDE w:val="0"/>
              <w:autoSpaceDN w:val="0"/>
              <w:adjustRightInd w:val="0"/>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15</w:t>
            </w:r>
          </w:p>
        </w:tc>
      </w:tr>
      <w:tr w14:paraId="5D28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49" w:type="dxa"/>
            <w:vAlign w:val="center"/>
          </w:tcPr>
          <w:p w14:paraId="3A7E9481">
            <w:pPr>
              <w:widowControl/>
              <w:spacing w:line="360" w:lineRule="auto"/>
              <w:jc w:val="center"/>
              <w:rPr>
                <w:rFonts w:ascii="宋体" w:hAnsi="宋体" w:cs="仿宋"/>
                <w:color w:val="auto"/>
                <w:szCs w:val="21"/>
                <w:highlight w:val="none"/>
              </w:rPr>
            </w:pPr>
            <w:r>
              <w:rPr>
                <w:rFonts w:hint="eastAsia" w:ascii="宋体" w:hAnsi="宋体" w:cs="仿宋"/>
                <w:color w:val="auto"/>
                <w:szCs w:val="21"/>
                <w:highlight w:val="none"/>
              </w:rPr>
              <w:t>3</w:t>
            </w:r>
          </w:p>
        </w:tc>
        <w:tc>
          <w:tcPr>
            <w:tcW w:w="1583" w:type="dxa"/>
            <w:vAlign w:val="center"/>
          </w:tcPr>
          <w:p w14:paraId="4B4674E9">
            <w:pPr>
              <w:spacing w:line="360" w:lineRule="auto"/>
              <w:jc w:val="center"/>
              <w:rPr>
                <w:rFonts w:ascii="Calibri" w:hAnsi="Calibri"/>
                <w:color w:val="auto"/>
                <w:szCs w:val="21"/>
                <w:highlight w:val="none"/>
              </w:rPr>
            </w:pPr>
            <w:r>
              <w:rPr>
                <w:color w:val="auto"/>
                <w:highlight w:val="none"/>
              </w:rPr>
              <w:t xml:space="preserve">服务人员调配能力 </w:t>
            </w:r>
          </w:p>
        </w:tc>
        <w:tc>
          <w:tcPr>
            <w:tcW w:w="5767" w:type="dxa"/>
            <w:vAlign w:val="center"/>
          </w:tcPr>
          <w:p w14:paraId="4C1A01FD">
            <w:pPr>
              <w:spacing w:line="360" w:lineRule="auto"/>
              <w:jc w:val="left"/>
              <w:rPr>
                <w:color w:val="auto"/>
                <w:highlight w:val="none"/>
              </w:rPr>
            </w:pPr>
            <w:r>
              <w:rPr>
                <w:color w:val="auto"/>
                <w:highlight w:val="none"/>
              </w:rPr>
              <w:t xml:space="preserve">根据供应商针对本项目服务人员调配能力进行评审： </w:t>
            </w:r>
          </w:p>
          <w:p w14:paraId="0A84ABA7">
            <w:pPr>
              <w:numPr>
                <w:ilvl w:val="0"/>
                <w:numId w:val="21"/>
              </w:numPr>
              <w:spacing w:line="360" w:lineRule="auto"/>
              <w:jc w:val="left"/>
              <w:rPr>
                <w:color w:val="auto"/>
                <w:highlight w:val="none"/>
              </w:rPr>
            </w:pPr>
            <w:r>
              <w:rPr>
                <w:color w:val="auto"/>
                <w:highlight w:val="none"/>
              </w:rPr>
              <w:t>服务投入人员调配能力强，人员安排及时妥当，得</w:t>
            </w:r>
            <w:r>
              <w:rPr>
                <w:rFonts w:hint="eastAsia"/>
                <w:color w:val="auto"/>
                <w:highlight w:val="none"/>
              </w:rPr>
              <w:t>15</w:t>
            </w:r>
            <w:r>
              <w:rPr>
                <w:color w:val="auto"/>
                <w:highlight w:val="none"/>
              </w:rPr>
              <w:t xml:space="preserve">分； </w:t>
            </w:r>
          </w:p>
          <w:p w14:paraId="1081014F">
            <w:pPr>
              <w:numPr>
                <w:ilvl w:val="0"/>
                <w:numId w:val="21"/>
              </w:numPr>
              <w:spacing w:line="360" w:lineRule="auto"/>
              <w:jc w:val="left"/>
              <w:rPr>
                <w:color w:val="auto"/>
                <w:highlight w:val="none"/>
              </w:rPr>
            </w:pPr>
            <w:r>
              <w:rPr>
                <w:color w:val="auto"/>
                <w:highlight w:val="none"/>
              </w:rPr>
              <w:t>服务投入人员调配能力较强，人员安排较为及时且具有一定的妥当性，得</w:t>
            </w:r>
            <w:r>
              <w:rPr>
                <w:rFonts w:hint="eastAsia"/>
                <w:color w:val="auto"/>
                <w:highlight w:val="none"/>
                <w:lang w:val="en-US" w:eastAsia="zh-CN"/>
              </w:rPr>
              <w:t>9</w:t>
            </w:r>
            <w:r>
              <w:rPr>
                <w:color w:val="auto"/>
                <w:highlight w:val="none"/>
              </w:rPr>
              <w:t xml:space="preserve">分； </w:t>
            </w:r>
          </w:p>
          <w:p w14:paraId="73626C5F">
            <w:pPr>
              <w:numPr>
                <w:ilvl w:val="0"/>
                <w:numId w:val="21"/>
              </w:numPr>
              <w:spacing w:line="360" w:lineRule="auto"/>
              <w:jc w:val="left"/>
              <w:rPr>
                <w:color w:val="auto"/>
                <w:highlight w:val="none"/>
              </w:rPr>
            </w:pPr>
            <w:r>
              <w:rPr>
                <w:color w:val="auto"/>
                <w:highlight w:val="none"/>
              </w:rPr>
              <w:t>服务投入人员调配能力一般，人员安排不够及时，欠缺妥当性，得</w:t>
            </w:r>
            <w:r>
              <w:rPr>
                <w:rFonts w:hint="eastAsia"/>
                <w:color w:val="auto"/>
                <w:highlight w:val="none"/>
                <w:lang w:val="en-US" w:eastAsia="zh-CN"/>
              </w:rPr>
              <w:t>6</w:t>
            </w:r>
            <w:r>
              <w:rPr>
                <w:color w:val="auto"/>
                <w:highlight w:val="none"/>
              </w:rPr>
              <w:t xml:space="preserve">分； </w:t>
            </w:r>
          </w:p>
          <w:p w14:paraId="57C15ED0">
            <w:pPr>
              <w:numPr>
                <w:ilvl w:val="0"/>
                <w:numId w:val="21"/>
              </w:numPr>
              <w:spacing w:line="360" w:lineRule="auto"/>
              <w:jc w:val="left"/>
              <w:rPr>
                <w:color w:val="auto"/>
                <w:highlight w:val="none"/>
              </w:rPr>
            </w:pPr>
            <w:r>
              <w:rPr>
                <w:color w:val="auto"/>
                <w:highlight w:val="none"/>
              </w:rPr>
              <w:t>服务投入人员调配能力差，人员安排不及时，不够妥当，得</w:t>
            </w:r>
            <w:r>
              <w:rPr>
                <w:rFonts w:hint="eastAsia"/>
                <w:color w:val="auto"/>
                <w:highlight w:val="none"/>
                <w:lang w:val="en-US" w:eastAsia="zh-CN"/>
              </w:rPr>
              <w:t>3</w:t>
            </w:r>
            <w:r>
              <w:rPr>
                <w:color w:val="auto"/>
                <w:highlight w:val="none"/>
              </w:rPr>
              <w:t xml:space="preserve">分； </w:t>
            </w:r>
          </w:p>
          <w:p w14:paraId="45AFA418">
            <w:pPr>
              <w:widowControl/>
              <w:spacing w:line="360" w:lineRule="auto"/>
              <w:rPr>
                <w:rFonts w:hint="default" w:hAnsi="宋体" w:eastAsia="宋体" w:cs="仿宋"/>
                <w:color w:val="auto"/>
                <w:szCs w:val="21"/>
                <w:highlight w:val="none"/>
                <w:lang w:val="en-US" w:eastAsia="zh-CN"/>
              </w:rPr>
            </w:pPr>
            <w:r>
              <w:rPr>
                <w:color w:val="auto"/>
                <w:highlight w:val="none"/>
              </w:rPr>
              <w:t>5.无提供不得分。</w:t>
            </w:r>
          </w:p>
        </w:tc>
        <w:tc>
          <w:tcPr>
            <w:tcW w:w="1250" w:type="dxa"/>
            <w:vAlign w:val="center"/>
          </w:tcPr>
          <w:p w14:paraId="11C09566">
            <w:pPr>
              <w:widowControl/>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15</w:t>
            </w:r>
          </w:p>
        </w:tc>
      </w:tr>
      <w:tr w14:paraId="208E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649" w:type="dxa"/>
            <w:vAlign w:val="center"/>
          </w:tcPr>
          <w:p w14:paraId="158A484A">
            <w:pPr>
              <w:widowControl/>
              <w:spacing w:line="360" w:lineRule="auto"/>
              <w:jc w:val="center"/>
              <w:rPr>
                <w:rFonts w:ascii="宋体" w:hAnsi="宋体" w:cs="仿宋"/>
                <w:color w:val="auto"/>
                <w:szCs w:val="21"/>
                <w:highlight w:val="none"/>
              </w:rPr>
            </w:pPr>
            <w:r>
              <w:rPr>
                <w:rFonts w:hint="eastAsia" w:ascii="宋体" w:hAnsi="宋体" w:cs="仿宋"/>
                <w:color w:val="auto"/>
                <w:szCs w:val="21"/>
                <w:highlight w:val="none"/>
              </w:rPr>
              <w:t>4</w:t>
            </w:r>
          </w:p>
        </w:tc>
        <w:tc>
          <w:tcPr>
            <w:tcW w:w="1583" w:type="dxa"/>
            <w:vAlign w:val="center"/>
          </w:tcPr>
          <w:p w14:paraId="3303ACE1">
            <w:pPr>
              <w:spacing w:line="360" w:lineRule="auto"/>
              <w:jc w:val="center"/>
              <w:rPr>
                <w:rFonts w:ascii="宋体" w:hAnsi="宋体" w:cs="仿宋"/>
                <w:color w:val="auto"/>
                <w:szCs w:val="21"/>
                <w:highlight w:val="none"/>
              </w:rPr>
            </w:pPr>
            <w:r>
              <w:rPr>
                <w:color w:val="auto"/>
                <w:highlight w:val="none"/>
              </w:rPr>
              <w:t>服务质量承诺及保障措施</w:t>
            </w:r>
          </w:p>
        </w:tc>
        <w:tc>
          <w:tcPr>
            <w:tcW w:w="5767" w:type="dxa"/>
            <w:vAlign w:val="center"/>
          </w:tcPr>
          <w:p w14:paraId="5BFA70BD">
            <w:pPr>
              <w:widowControl/>
              <w:spacing w:line="360" w:lineRule="auto"/>
              <w:rPr>
                <w:rFonts w:hAnsi="宋体" w:cs="仿宋"/>
                <w:color w:val="auto"/>
                <w:szCs w:val="21"/>
                <w:highlight w:val="none"/>
              </w:rPr>
            </w:pPr>
            <w:r>
              <w:rPr>
                <w:rFonts w:hAnsi="宋体" w:cs="仿宋"/>
                <w:color w:val="auto"/>
                <w:szCs w:val="21"/>
                <w:highlight w:val="none"/>
              </w:rPr>
              <w:t xml:space="preserve">根据投标人对本项目的服务质量承诺及保障措施进行评审： </w:t>
            </w:r>
          </w:p>
          <w:p w14:paraId="63F58B1C">
            <w:pPr>
              <w:widowControl/>
              <w:spacing w:line="360" w:lineRule="auto"/>
              <w:rPr>
                <w:rFonts w:hAnsi="宋体" w:cs="仿宋"/>
                <w:color w:val="auto"/>
                <w:szCs w:val="21"/>
                <w:highlight w:val="none"/>
              </w:rPr>
            </w:pPr>
            <w:r>
              <w:rPr>
                <w:rFonts w:hint="eastAsia" w:hAnsi="宋体" w:cs="仿宋"/>
                <w:color w:val="auto"/>
                <w:szCs w:val="21"/>
                <w:highlight w:val="none"/>
                <w:lang w:val="en-US" w:eastAsia="zh-CN"/>
              </w:rPr>
              <w:t>1.</w:t>
            </w:r>
            <w:r>
              <w:rPr>
                <w:rFonts w:hAnsi="宋体" w:cs="仿宋"/>
                <w:color w:val="auto"/>
                <w:szCs w:val="21"/>
                <w:highlight w:val="none"/>
              </w:rPr>
              <w:t>服务质量保障措施具体、合理、可行，后续技术服务承诺内容全面、可行，优于本项目需求，得</w:t>
            </w:r>
            <w:r>
              <w:rPr>
                <w:rFonts w:hint="eastAsia" w:hAnsi="宋体" w:cs="仿宋"/>
                <w:color w:val="auto"/>
                <w:szCs w:val="21"/>
                <w:highlight w:val="none"/>
                <w:lang w:val="en-US" w:eastAsia="zh-CN"/>
              </w:rPr>
              <w:t>15</w:t>
            </w:r>
            <w:r>
              <w:rPr>
                <w:rFonts w:hAnsi="宋体" w:cs="仿宋"/>
                <w:color w:val="auto"/>
                <w:szCs w:val="21"/>
                <w:highlight w:val="none"/>
              </w:rPr>
              <w:t xml:space="preserve">分； </w:t>
            </w:r>
          </w:p>
          <w:p w14:paraId="1DDFFDBB">
            <w:pPr>
              <w:widowControl/>
              <w:spacing w:line="360" w:lineRule="auto"/>
              <w:rPr>
                <w:rFonts w:hAnsi="宋体" w:cs="仿宋"/>
                <w:color w:val="auto"/>
                <w:szCs w:val="21"/>
                <w:highlight w:val="none"/>
              </w:rPr>
            </w:pPr>
            <w:r>
              <w:rPr>
                <w:rFonts w:hint="eastAsia" w:hAnsi="宋体" w:cs="仿宋"/>
                <w:color w:val="auto"/>
                <w:szCs w:val="21"/>
                <w:highlight w:val="none"/>
                <w:lang w:val="en-US" w:eastAsia="zh-CN"/>
              </w:rPr>
              <w:t>2.</w:t>
            </w:r>
            <w:r>
              <w:rPr>
                <w:rFonts w:hAnsi="宋体" w:cs="仿宋"/>
                <w:color w:val="auto"/>
                <w:szCs w:val="21"/>
                <w:highlight w:val="none"/>
              </w:rPr>
              <w:t>服务质量保障措施基本具体、合理、可行，后续技术服务承诺内容的全面性、可行性有所欠缺，完全满足本项目需求，得</w:t>
            </w:r>
            <w:r>
              <w:rPr>
                <w:rFonts w:hint="eastAsia" w:hAnsi="宋体" w:cs="仿宋"/>
                <w:color w:val="auto"/>
                <w:szCs w:val="21"/>
                <w:highlight w:val="none"/>
                <w:lang w:val="en-US" w:eastAsia="zh-CN"/>
              </w:rPr>
              <w:t>9</w:t>
            </w:r>
            <w:r>
              <w:rPr>
                <w:rFonts w:hAnsi="宋体" w:cs="仿宋"/>
                <w:color w:val="auto"/>
                <w:szCs w:val="21"/>
                <w:highlight w:val="none"/>
              </w:rPr>
              <w:t xml:space="preserve">分； </w:t>
            </w:r>
          </w:p>
          <w:p w14:paraId="1CBB8C9B">
            <w:pPr>
              <w:widowControl/>
              <w:spacing w:line="360" w:lineRule="auto"/>
              <w:rPr>
                <w:rFonts w:hAnsi="宋体" w:cs="仿宋"/>
                <w:color w:val="auto"/>
                <w:szCs w:val="21"/>
                <w:highlight w:val="none"/>
              </w:rPr>
            </w:pPr>
            <w:r>
              <w:rPr>
                <w:rFonts w:hint="eastAsia" w:hAnsi="宋体" w:cs="仿宋"/>
                <w:color w:val="auto"/>
                <w:szCs w:val="21"/>
                <w:highlight w:val="none"/>
                <w:lang w:val="en-US" w:eastAsia="zh-CN"/>
              </w:rPr>
              <w:t>3.</w:t>
            </w:r>
            <w:r>
              <w:rPr>
                <w:rFonts w:hAnsi="宋体" w:cs="仿宋"/>
                <w:color w:val="auto"/>
                <w:szCs w:val="21"/>
                <w:highlight w:val="none"/>
              </w:rPr>
              <w:t>服务质量保障措施不具体、不具有合理性和可行性，后续技术服务承诺内容</w:t>
            </w:r>
            <w:r>
              <w:rPr>
                <w:rFonts w:hint="eastAsia" w:hAnsi="宋体" w:cs="仿宋"/>
                <w:color w:val="auto"/>
                <w:szCs w:val="21"/>
                <w:highlight w:val="none"/>
              </w:rPr>
              <w:t>基本</w:t>
            </w:r>
            <w:r>
              <w:rPr>
                <w:rFonts w:hAnsi="宋体" w:cs="仿宋"/>
                <w:color w:val="auto"/>
                <w:szCs w:val="21"/>
                <w:highlight w:val="none"/>
              </w:rPr>
              <w:t>全面、</w:t>
            </w:r>
            <w:r>
              <w:rPr>
                <w:rFonts w:hint="eastAsia" w:hAnsi="宋体" w:cs="仿宋"/>
                <w:color w:val="auto"/>
                <w:szCs w:val="21"/>
                <w:highlight w:val="none"/>
              </w:rPr>
              <w:t>基本</w:t>
            </w:r>
            <w:r>
              <w:rPr>
                <w:rFonts w:hAnsi="宋体" w:cs="仿宋"/>
                <w:color w:val="auto"/>
                <w:szCs w:val="21"/>
                <w:highlight w:val="none"/>
              </w:rPr>
              <w:t>可行，基本满足本项目需求，得</w:t>
            </w:r>
            <w:r>
              <w:rPr>
                <w:rFonts w:hint="eastAsia" w:hAnsi="宋体" w:cs="仿宋"/>
                <w:color w:val="auto"/>
                <w:szCs w:val="21"/>
                <w:highlight w:val="none"/>
                <w:lang w:val="en-US" w:eastAsia="zh-CN"/>
              </w:rPr>
              <w:t>6</w:t>
            </w:r>
            <w:r>
              <w:rPr>
                <w:rFonts w:hAnsi="宋体" w:cs="仿宋"/>
                <w:color w:val="auto"/>
                <w:szCs w:val="21"/>
                <w:highlight w:val="none"/>
              </w:rPr>
              <w:t xml:space="preserve">分； </w:t>
            </w:r>
          </w:p>
          <w:p w14:paraId="495863CB">
            <w:pPr>
              <w:widowControl/>
              <w:spacing w:line="360" w:lineRule="auto"/>
              <w:rPr>
                <w:rFonts w:hAnsi="宋体" w:cs="仿宋"/>
                <w:color w:val="auto"/>
                <w:szCs w:val="21"/>
                <w:highlight w:val="none"/>
              </w:rPr>
            </w:pPr>
            <w:r>
              <w:rPr>
                <w:rFonts w:hint="eastAsia" w:hAnsi="宋体" w:cs="仿宋"/>
                <w:color w:val="auto"/>
                <w:szCs w:val="21"/>
                <w:highlight w:val="none"/>
                <w:lang w:val="en-US" w:eastAsia="zh-CN"/>
              </w:rPr>
              <w:t>4.</w:t>
            </w:r>
            <w:r>
              <w:rPr>
                <w:rFonts w:hAnsi="宋体" w:cs="仿宋"/>
                <w:color w:val="auto"/>
                <w:szCs w:val="21"/>
                <w:highlight w:val="none"/>
              </w:rPr>
              <w:t>服务质量保障措施不具体、不具有合理性和可行性，后续技术服务承诺内容</w:t>
            </w:r>
            <w:r>
              <w:rPr>
                <w:rFonts w:hint="eastAsia" w:hAnsi="宋体" w:cs="仿宋"/>
                <w:color w:val="auto"/>
                <w:szCs w:val="21"/>
                <w:highlight w:val="none"/>
              </w:rPr>
              <w:t>不</w:t>
            </w:r>
            <w:r>
              <w:rPr>
                <w:rFonts w:hAnsi="宋体" w:cs="仿宋"/>
                <w:color w:val="auto"/>
                <w:szCs w:val="21"/>
                <w:highlight w:val="none"/>
              </w:rPr>
              <w:t>全面、</w:t>
            </w:r>
            <w:r>
              <w:rPr>
                <w:rFonts w:hint="eastAsia" w:hAnsi="宋体" w:cs="仿宋"/>
                <w:color w:val="auto"/>
                <w:szCs w:val="21"/>
                <w:highlight w:val="none"/>
              </w:rPr>
              <w:t>不</w:t>
            </w:r>
            <w:r>
              <w:rPr>
                <w:rFonts w:hAnsi="宋体" w:cs="仿宋"/>
                <w:color w:val="auto"/>
                <w:szCs w:val="21"/>
                <w:highlight w:val="none"/>
              </w:rPr>
              <w:t>可行，不能完全满足本项目需求，得</w:t>
            </w:r>
            <w:r>
              <w:rPr>
                <w:rFonts w:hint="eastAsia" w:hAnsi="宋体" w:cs="仿宋"/>
                <w:color w:val="auto"/>
                <w:szCs w:val="21"/>
                <w:highlight w:val="none"/>
                <w:lang w:val="en-US" w:eastAsia="zh-CN"/>
              </w:rPr>
              <w:t>3</w:t>
            </w:r>
            <w:r>
              <w:rPr>
                <w:rFonts w:hAnsi="宋体" w:cs="仿宋"/>
                <w:color w:val="auto"/>
                <w:szCs w:val="21"/>
                <w:highlight w:val="none"/>
              </w:rPr>
              <w:t>分；</w:t>
            </w:r>
          </w:p>
          <w:p w14:paraId="791C3287">
            <w:pPr>
              <w:widowControl/>
              <w:spacing w:line="360" w:lineRule="auto"/>
              <w:rPr>
                <w:rFonts w:hAnsi="宋体" w:cs="仿宋"/>
                <w:color w:val="auto"/>
                <w:szCs w:val="21"/>
                <w:highlight w:val="none"/>
              </w:rPr>
            </w:pPr>
            <w:r>
              <w:rPr>
                <w:rFonts w:hAnsi="宋体" w:cs="仿宋"/>
                <w:color w:val="auto"/>
                <w:szCs w:val="21"/>
                <w:highlight w:val="none"/>
              </w:rPr>
              <w:t>无或其它情况不得分。</w:t>
            </w:r>
          </w:p>
        </w:tc>
        <w:tc>
          <w:tcPr>
            <w:tcW w:w="1250" w:type="dxa"/>
            <w:vAlign w:val="center"/>
          </w:tcPr>
          <w:p w14:paraId="1D0C26A7">
            <w:pPr>
              <w:tabs>
                <w:tab w:val="left" w:pos="851"/>
              </w:tabs>
              <w:spacing w:line="360" w:lineRule="auto"/>
              <w:jc w:val="center"/>
              <w:rPr>
                <w:rFonts w:ascii="宋体" w:hAnsi="宋体" w:cs="仿宋"/>
                <w:color w:val="auto"/>
                <w:szCs w:val="21"/>
                <w:highlight w:val="none"/>
              </w:rPr>
            </w:pPr>
            <w:r>
              <w:rPr>
                <w:rFonts w:hint="eastAsia" w:ascii="宋体" w:hAnsi="宋体" w:cs="仿宋"/>
                <w:color w:val="auto"/>
                <w:szCs w:val="21"/>
                <w:highlight w:val="none"/>
              </w:rPr>
              <w:t>15</w:t>
            </w:r>
          </w:p>
        </w:tc>
      </w:tr>
    </w:tbl>
    <w:p w14:paraId="602979BF">
      <w:pPr>
        <w:spacing w:line="360" w:lineRule="auto"/>
        <w:rPr>
          <w:rFonts w:ascii="宋体" w:hAnsi="宋体" w:cs="仿宋"/>
          <w:color w:val="auto"/>
          <w:szCs w:val="21"/>
          <w:highlight w:val="none"/>
        </w:rPr>
      </w:pPr>
      <w:r>
        <w:rPr>
          <w:rFonts w:hint="eastAsia" w:ascii="宋体" w:hAnsi="宋体" w:cs="仿宋"/>
          <w:color w:val="auto"/>
          <w:szCs w:val="21"/>
          <w:highlight w:val="none"/>
        </w:rPr>
        <w:t>备注：仅对已通过资格和符合的响应文件进行评分；评分小数点保留至0.01。</w:t>
      </w:r>
    </w:p>
    <w:p w14:paraId="082A6171">
      <w:pPr>
        <w:rPr>
          <w:rFonts w:ascii="宋体" w:hAnsi="宋体" w:cs="仿宋"/>
          <w:color w:val="auto"/>
          <w:szCs w:val="21"/>
          <w:highlight w:val="none"/>
        </w:rPr>
      </w:pPr>
      <w:r>
        <w:rPr>
          <w:rFonts w:hint="eastAsia" w:ascii="宋体" w:hAnsi="宋体" w:cs="仿宋"/>
          <w:color w:val="auto"/>
          <w:szCs w:val="21"/>
          <w:highlight w:val="none"/>
        </w:rPr>
        <w:br w:type="page"/>
      </w:r>
    </w:p>
    <w:p w14:paraId="3B4798B7">
      <w:pPr>
        <w:pStyle w:val="41"/>
        <w:rPr>
          <w:color w:val="auto"/>
          <w:szCs w:val="21"/>
          <w:highlight w:val="none"/>
        </w:rPr>
      </w:pPr>
    </w:p>
    <w:p w14:paraId="772EED6B">
      <w:pPr>
        <w:spacing w:line="360" w:lineRule="auto"/>
        <w:rPr>
          <w:rFonts w:ascii="宋体" w:hAnsi="宋体" w:cs="仿宋"/>
          <w:b/>
          <w:bCs/>
          <w:color w:val="auto"/>
          <w:szCs w:val="21"/>
          <w:highlight w:val="none"/>
          <w:lang w:val="zh-TW"/>
        </w:rPr>
      </w:pPr>
      <w:r>
        <w:rPr>
          <w:rFonts w:hint="eastAsia" w:ascii="宋体" w:hAnsi="宋体" w:cs="仿宋"/>
          <w:b/>
          <w:bCs/>
          <w:color w:val="auto"/>
          <w:szCs w:val="21"/>
          <w:highlight w:val="none"/>
        </w:rPr>
        <w:t>2.</w:t>
      </w:r>
      <w:r>
        <w:rPr>
          <w:rFonts w:hint="eastAsia" w:ascii="宋体" w:hAnsi="宋体" w:cs="仿宋"/>
          <w:b/>
          <w:bCs/>
          <w:color w:val="auto"/>
          <w:szCs w:val="21"/>
          <w:highlight w:val="none"/>
          <w:lang w:val="zh-TW" w:eastAsia="zh-TW"/>
        </w:rPr>
        <w:t>商务部分评分表</w:t>
      </w:r>
      <w:r>
        <w:rPr>
          <w:rFonts w:hint="eastAsia" w:ascii="宋体" w:hAnsi="宋体" w:cs="仿宋"/>
          <w:b/>
          <w:bCs/>
          <w:color w:val="auto"/>
          <w:szCs w:val="21"/>
          <w:highlight w:val="none"/>
          <w:lang w:val="zh-TW"/>
        </w:rPr>
        <w:t>（</w:t>
      </w:r>
      <w:r>
        <w:rPr>
          <w:rFonts w:hint="eastAsia" w:ascii="宋体" w:hAnsi="宋体" w:cs="仿宋"/>
          <w:b/>
          <w:bCs/>
          <w:color w:val="auto"/>
          <w:szCs w:val="21"/>
          <w:highlight w:val="none"/>
          <w:lang w:val="en-US" w:eastAsia="zh-CN"/>
        </w:rPr>
        <w:t>25</w:t>
      </w:r>
      <w:r>
        <w:rPr>
          <w:rFonts w:hint="eastAsia" w:ascii="宋体" w:hAnsi="宋体" w:cs="仿宋"/>
          <w:b/>
          <w:bCs/>
          <w:color w:val="auto"/>
          <w:szCs w:val="21"/>
          <w:highlight w:val="none"/>
        </w:rPr>
        <w:t>分</w:t>
      </w:r>
      <w:r>
        <w:rPr>
          <w:rFonts w:hint="eastAsia" w:ascii="宋体" w:hAnsi="宋体" w:cs="仿宋"/>
          <w:b/>
          <w:bCs/>
          <w:color w:val="auto"/>
          <w:szCs w:val="21"/>
          <w:highlight w:val="none"/>
          <w:lang w:val="zh-TW"/>
        </w:rPr>
        <w:t>）</w:t>
      </w:r>
    </w:p>
    <w:tbl>
      <w:tblPr>
        <w:tblStyle w:val="33"/>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772"/>
        <w:gridCol w:w="5996"/>
        <w:gridCol w:w="714"/>
      </w:tblGrid>
      <w:tr w14:paraId="43D7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98" w:type="dxa"/>
            <w:vAlign w:val="center"/>
          </w:tcPr>
          <w:p w14:paraId="6E6B3779">
            <w:pPr>
              <w:tabs>
                <w:tab w:val="left" w:pos="851"/>
              </w:tabs>
              <w:spacing w:line="360" w:lineRule="auto"/>
              <w:jc w:val="center"/>
              <w:rPr>
                <w:rFonts w:ascii="宋体" w:hAnsi="宋体" w:cs="仿宋"/>
                <w:b/>
                <w:color w:val="auto"/>
                <w:w w:val="80"/>
                <w:kern w:val="24"/>
                <w:szCs w:val="21"/>
                <w:highlight w:val="none"/>
              </w:rPr>
            </w:pPr>
            <w:r>
              <w:rPr>
                <w:rFonts w:hint="eastAsia" w:ascii="宋体" w:hAnsi="宋体" w:cs="仿宋"/>
                <w:b/>
                <w:color w:val="auto"/>
                <w:w w:val="80"/>
                <w:kern w:val="24"/>
                <w:szCs w:val="21"/>
                <w:highlight w:val="none"/>
              </w:rPr>
              <w:t>序号</w:t>
            </w:r>
          </w:p>
        </w:tc>
        <w:tc>
          <w:tcPr>
            <w:tcW w:w="1772" w:type="dxa"/>
            <w:vAlign w:val="center"/>
          </w:tcPr>
          <w:p w14:paraId="43F1E55E">
            <w:pPr>
              <w:autoSpaceDE w:val="0"/>
              <w:autoSpaceDN w:val="0"/>
              <w:adjustRightInd w:val="0"/>
              <w:snapToGrid w:val="0"/>
              <w:spacing w:line="360" w:lineRule="auto"/>
              <w:jc w:val="center"/>
              <w:rPr>
                <w:rFonts w:ascii="宋体" w:hAnsi="宋体" w:cs="仿宋"/>
                <w:b/>
                <w:color w:val="auto"/>
                <w:w w:val="80"/>
                <w:kern w:val="24"/>
                <w:szCs w:val="21"/>
                <w:highlight w:val="none"/>
              </w:rPr>
            </w:pPr>
            <w:r>
              <w:rPr>
                <w:rFonts w:hint="eastAsia" w:ascii="宋体" w:hAnsi="宋体" w:cs="仿宋"/>
                <w:b/>
                <w:color w:val="auto"/>
                <w:kern w:val="0"/>
                <w:szCs w:val="21"/>
                <w:highlight w:val="none"/>
              </w:rPr>
              <w:t>评审项目</w:t>
            </w:r>
          </w:p>
        </w:tc>
        <w:tc>
          <w:tcPr>
            <w:tcW w:w="5996" w:type="dxa"/>
            <w:vAlign w:val="center"/>
          </w:tcPr>
          <w:p w14:paraId="49B29469">
            <w:pPr>
              <w:autoSpaceDE w:val="0"/>
              <w:autoSpaceDN w:val="0"/>
              <w:adjustRightInd w:val="0"/>
              <w:snapToGrid w:val="0"/>
              <w:spacing w:line="360" w:lineRule="auto"/>
              <w:jc w:val="center"/>
              <w:rPr>
                <w:rFonts w:ascii="宋体" w:hAnsi="宋体" w:cs="仿宋"/>
                <w:b/>
                <w:color w:val="auto"/>
                <w:w w:val="80"/>
                <w:kern w:val="24"/>
                <w:szCs w:val="21"/>
                <w:highlight w:val="none"/>
              </w:rPr>
            </w:pPr>
            <w:r>
              <w:rPr>
                <w:rFonts w:hint="eastAsia" w:ascii="宋体" w:hAnsi="宋体" w:cs="仿宋"/>
                <w:b/>
                <w:color w:val="auto"/>
                <w:kern w:val="0"/>
                <w:szCs w:val="21"/>
                <w:highlight w:val="none"/>
              </w:rPr>
              <w:t>评分标准</w:t>
            </w:r>
          </w:p>
        </w:tc>
        <w:tc>
          <w:tcPr>
            <w:tcW w:w="714" w:type="dxa"/>
            <w:vAlign w:val="center"/>
          </w:tcPr>
          <w:p w14:paraId="06ED1EEC">
            <w:pPr>
              <w:widowControl/>
              <w:autoSpaceDE w:val="0"/>
              <w:autoSpaceDN w:val="0"/>
              <w:adjustRightInd w:val="0"/>
              <w:snapToGrid w:val="0"/>
              <w:spacing w:line="360" w:lineRule="auto"/>
              <w:jc w:val="center"/>
              <w:rPr>
                <w:rFonts w:ascii="宋体" w:hAnsi="宋体" w:cs="仿宋"/>
                <w:b/>
                <w:color w:val="auto"/>
                <w:w w:val="80"/>
                <w:kern w:val="24"/>
                <w:szCs w:val="21"/>
                <w:highlight w:val="none"/>
              </w:rPr>
            </w:pPr>
            <w:r>
              <w:rPr>
                <w:rFonts w:hint="eastAsia" w:ascii="宋体" w:hAnsi="宋体" w:cs="仿宋"/>
                <w:b/>
                <w:color w:val="auto"/>
                <w:kern w:val="0"/>
                <w:szCs w:val="21"/>
                <w:highlight w:val="none"/>
              </w:rPr>
              <w:t>分值</w:t>
            </w:r>
          </w:p>
        </w:tc>
      </w:tr>
      <w:tr w14:paraId="1BF1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598" w:type="dxa"/>
            <w:vAlign w:val="center"/>
          </w:tcPr>
          <w:p w14:paraId="4E8AF4C4">
            <w:pPr>
              <w:numPr>
                <w:ilvl w:val="0"/>
                <w:numId w:val="22"/>
              </w:numPr>
              <w:tabs>
                <w:tab w:val="left" w:pos="851"/>
              </w:tabs>
              <w:spacing w:line="360" w:lineRule="auto"/>
              <w:ind w:firstLine="0"/>
              <w:jc w:val="center"/>
              <w:rPr>
                <w:rFonts w:ascii="宋体" w:hAnsi="宋体" w:cs="仿宋"/>
                <w:color w:val="auto"/>
                <w:szCs w:val="21"/>
                <w:highlight w:val="none"/>
              </w:rPr>
            </w:pPr>
          </w:p>
        </w:tc>
        <w:tc>
          <w:tcPr>
            <w:tcW w:w="1772" w:type="dxa"/>
            <w:vAlign w:val="center"/>
          </w:tcPr>
          <w:p w14:paraId="35BC9BD9">
            <w:pPr>
              <w:spacing w:line="360" w:lineRule="auto"/>
              <w:ind w:firstLine="0" w:firstLineChars="0"/>
              <w:jc w:val="center"/>
              <w:rPr>
                <w:rFonts w:ascii="宋体" w:hAnsi="宋体" w:cs="宋体"/>
                <w:b/>
                <w:bCs/>
                <w:color w:val="auto"/>
                <w:szCs w:val="21"/>
                <w:highlight w:val="none"/>
              </w:rPr>
            </w:pPr>
            <w:r>
              <w:rPr>
                <w:color w:val="auto"/>
                <w:highlight w:val="none"/>
              </w:rPr>
              <w:t>招标需求的响应程度</w:t>
            </w:r>
          </w:p>
          <w:p w14:paraId="0D60A375">
            <w:pPr>
              <w:snapToGrid w:val="0"/>
              <w:spacing w:line="360" w:lineRule="auto"/>
              <w:jc w:val="center"/>
              <w:rPr>
                <w:rFonts w:ascii="宋体" w:hAnsi="宋体" w:cs="宋体"/>
                <w:color w:val="auto"/>
                <w:szCs w:val="21"/>
                <w:highlight w:val="none"/>
              </w:rPr>
            </w:pPr>
          </w:p>
        </w:tc>
        <w:tc>
          <w:tcPr>
            <w:tcW w:w="5996" w:type="dxa"/>
            <w:vAlign w:val="center"/>
          </w:tcPr>
          <w:p w14:paraId="310D6175">
            <w:pPr>
              <w:widowControl/>
              <w:spacing w:line="360" w:lineRule="auto"/>
              <w:rPr>
                <w:rFonts w:ascii="宋体" w:hAnsi="宋体" w:cs="仿宋"/>
                <w:color w:val="auto"/>
                <w:szCs w:val="21"/>
                <w:highlight w:val="none"/>
              </w:rPr>
            </w:pPr>
            <w:r>
              <w:rPr>
                <w:color w:val="auto"/>
                <w:highlight w:val="none"/>
              </w:rPr>
              <w:t>根据供应商对采购需求</w:t>
            </w:r>
            <w:r>
              <w:rPr>
                <w:rFonts w:hint="eastAsia"/>
                <w:color w:val="auto"/>
                <w:highlight w:val="none"/>
                <w:lang w:eastAsia="zh-CN"/>
              </w:rPr>
              <w:t>“</w:t>
            </w:r>
            <w:r>
              <w:rPr>
                <w:rFonts w:hint="eastAsia"/>
                <w:color w:val="auto"/>
                <w:highlight w:val="none"/>
                <w:lang w:val="en-US" w:eastAsia="zh-CN"/>
              </w:rPr>
              <w:t>五</w:t>
            </w:r>
            <w:r>
              <w:rPr>
                <w:rFonts w:hint="eastAsia"/>
                <w:color w:val="auto"/>
                <w:highlight w:val="none"/>
              </w:rPr>
              <w:t>、生活垃圾分类专项提升服务内容</w:t>
            </w:r>
            <w:r>
              <w:rPr>
                <w:rFonts w:hint="eastAsia"/>
                <w:color w:val="auto"/>
                <w:highlight w:val="none"/>
                <w:lang w:eastAsia="zh-CN"/>
              </w:rPr>
              <w:t>”（</w:t>
            </w:r>
            <w:r>
              <w:rPr>
                <w:rFonts w:hint="eastAsia"/>
                <w:color w:val="auto"/>
                <w:highlight w:val="none"/>
                <w:lang w:val="en-US" w:eastAsia="zh-CN"/>
              </w:rPr>
              <w:t>共6条</w:t>
            </w:r>
            <w:r>
              <w:rPr>
                <w:rFonts w:hint="eastAsia"/>
                <w:color w:val="auto"/>
                <w:highlight w:val="none"/>
                <w:lang w:eastAsia="zh-CN"/>
              </w:rPr>
              <w:t>）</w:t>
            </w:r>
            <w:r>
              <w:rPr>
                <w:color w:val="auto"/>
                <w:highlight w:val="none"/>
              </w:rPr>
              <w:t>的响应情况进行评审：完全满足采购需求，且全部无偏离的，得</w:t>
            </w:r>
            <w:r>
              <w:rPr>
                <w:rFonts w:hint="eastAsia"/>
                <w:color w:val="auto"/>
                <w:highlight w:val="none"/>
                <w:lang w:val="en-US" w:eastAsia="zh-CN"/>
              </w:rPr>
              <w:t>6</w:t>
            </w:r>
            <w:r>
              <w:rPr>
                <w:color w:val="auto"/>
                <w:highlight w:val="none"/>
              </w:rPr>
              <w:t>分；每偏离一项扣</w:t>
            </w:r>
            <w:r>
              <w:rPr>
                <w:rFonts w:hint="eastAsia"/>
                <w:color w:val="auto"/>
                <w:highlight w:val="none"/>
                <w:lang w:val="en-US" w:eastAsia="zh-CN"/>
              </w:rPr>
              <w:t>1</w:t>
            </w:r>
            <w:r>
              <w:rPr>
                <w:color w:val="auto"/>
                <w:highlight w:val="none"/>
              </w:rPr>
              <w:t>分，扣完为止。</w:t>
            </w:r>
          </w:p>
        </w:tc>
        <w:tc>
          <w:tcPr>
            <w:tcW w:w="714" w:type="dxa"/>
            <w:vAlign w:val="center"/>
          </w:tcPr>
          <w:p w14:paraId="7BC6C892">
            <w:pPr>
              <w:tabs>
                <w:tab w:val="left" w:pos="851"/>
              </w:tabs>
              <w:spacing w:line="360" w:lineRule="auto"/>
              <w:jc w:val="center"/>
              <w:rPr>
                <w:rFonts w:hint="eastAsia" w:ascii="宋体" w:hAnsi="宋体" w:eastAsia="宋体" w:cs="仿宋"/>
                <w:color w:val="auto"/>
                <w:szCs w:val="21"/>
                <w:highlight w:val="none"/>
                <w:lang w:eastAsia="zh-CN"/>
              </w:rPr>
            </w:pPr>
            <w:r>
              <w:rPr>
                <w:rFonts w:hint="eastAsia" w:ascii="宋体" w:hAnsi="宋体" w:cs="仿宋"/>
                <w:color w:val="auto"/>
                <w:szCs w:val="21"/>
                <w:highlight w:val="none"/>
                <w:lang w:val="en-US" w:eastAsia="zh-CN"/>
              </w:rPr>
              <w:t>6</w:t>
            </w:r>
          </w:p>
        </w:tc>
      </w:tr>
      <w:tr w14:paraId="4138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598" w:type="dxa"/>
            <w:vAlign w:val="center"/>
          </w:tcPr>
          <w:p w14:paraId="160F4701">
            <w:pPr>
              <w:numPr>
                <w:ilvl w:val="0"/>
                <w:numId w:val="22"/>
              </w:numPr>
              <w:tabs>
                <w:tab w:val="left" w:pos="851"/>
              </w:tabs>
              <w:spacing w:line="360" w:lineRule="auto"/>
              <w:ind w:firstLine="0"/>
              <w:jc w:val="center"/>
              <w:rPr>
                <w:rFonts w:ascii="宋体" w:hAnsi="宋体" w:cs="仿宋"/>
                <w:color w:val="auto"/>
                <w:szCs w:val="21"/>
                <w:highlight w:val="none"/>
              </w:rPr>
            </w:pPr>
          </w:p>
        </w:tc>
        <w:tc>
          <w:tcPr>
            <w:tcW w:w="1772" w:type="dxa"/>
            <w:vAlign w:val="center"/>
          </w:tcPr>
          <w:p w14:paraId="50994946">
            <w:pPr>
              <w:snapToGrid w:val="0"/>
              <w:spacing w:line="360" w:lineRule="auto"/>
              <w:jc w:val="center"/>
              <w:rPr>
                <w:rFonts w:ascii="宋体" w:hAnsi="宋体" w:cs="宋体"/>
                <w:color w:val="auto"/>
                <w:szCs w:val="21"/>
                <w:highlight w:val="none"/>
              </w:rPr>
            </w:pPr>
            <w:r>
              <w:rPr>
                <w:color w:val="auto"/>
                <w:highlight w:val="none"/>
              </w:rPr>
              <w:t>同类项目业绩</w:t>
            </w:r>
          </w:p>
        </w:tc>
        <w:tc>
          <w:tcPr>
            <w:tcW w:w="5996" w:type="dxa"/>
            <w:vAlign w:val="center"/>
          </w:tcPr>
          <w:p w14:paraId="665A986D">
            <w:pPr>
              <w:widowControl/>
              <w:spacing w:line="360" w:lineRule="auto"/>
              <w:rPr>
                <w:rFonts w:ascii="宋体" w:hAnsi="宋体" w:cs="仿宋"/>
                <w:color w:val="auto"/>
                <w:szCs w:val="21"/>
                <w:highlight w:val="none"/>
              </w:rPr>
            </w:pPr>
            <w:r>
              <w:rPr>
                <w:rFonts w:hint="eastAsia" w:ascii="宋体" w:hAnsi="宋体" w:cs="仿宋"/>
                <w:color w:val="auto"/>
                <w:szCs w:val="21"/>
                <w:highlight w:val="none"/>
              </w:rPr>
              <w:t>2019年至投标截止日投标人具有的同类型项目业绩，</w:t>
            </w:r>
            <w:r>
              <w:rPr>
                <w:rFonts w:ascii="宋体" w:hAnsi="宋体" w:cs="仿宋"/>
                <w:color w:val="auto"/>
                <w:szCs w:val="21"/>
                <w:highlight w:val="none"/>
              </w:rPr>
              <w:t>每提供一个得</w:t>
            </w:r>
            <w:r>
              <w:rPr>
                <w:rFonts w:hint="eastAsia" w:ascii="宋体" w:hAnsi="宋体" w:cs="仿宋"/>
                <w:color w:val="auto"/>
                <w:szCs w:val="21"/>
                <w:highlight w:val="none"/>
              </w:rPr>
              <w:t>2</w:t>
            </w:r>
            <w:r>
              <w:rPr>
                <w:rFonts w:hint="eastAsia" w:ascii="宋体" w:hAnsi="宋体" w:cs="仿宋"/>
                <w:color w:val="auto"/>
                <w:szCs w:val="21"/>
                <w:highlight w:val="none"/>
                <w:lang w:val="en-US" w:eastAsia="zh-CN"/>
              </w:rPr>
              <w:t>.5</w:t>
            </w:r>
            <w:r>
              <w:rPr>
                <w:rFonts w:ascii="宋体" w:hAnsi="宋体" w:cs="仿宋"/>
                <w:color w:val="auto"/>
                <w:szCs w:val="21"/>
                <w:highlight w:val="none"/>
              </w:rPr>
              <w:t>分，最高得</w:t>
            </w:r>
            <w:r>
              <w:rPr>
                <w:rFonts w:hint="eastAsia" w:ascii="宋体" w:hAnsi="宋体" w:cs="仿宋"/>
                <w:color w:val="auto"/>
                <w:szCs w:val="21"/>
                <w:highlight w:val="none"/>
                <w:lang w:val="en-US" w:eastAsia="zh-CN"/>
              </w:rPr>
              <w:t>5</w:t>
            </w:r>
            <w:r>
              <w:rPr>
                <w:rFonts w:ascii="宋体" w:hAnsi="宋体" w:cs="仿宋"/>
                <w:color w:val="auto"/>
                <w:szCs w:val="21"/>
                <w:highlight w:val="none"/>
              </w:rPr>
              <w:t xml:space="preserve">分。 </w:t>
            </w:r>
          </w:p>
          <w:p w14:paraId="50CE809B">
            <w:pPr>
              <w:widowControl/>
              <w:spacing w:line="360" w:lineRule="auto"/>
              <w:rPr>
                <w:rFonts w:ascii="宋体" w:hAnsi="宋体" w:cs="仿宋"/>
                <w:color w:val="auto"/>
                <w:szCs w:val="21"/>
                <w:highlight w:val="none"/>
              </w:rPr>
            </w:pPr>
            <w:r>
              <w:rPr>
                <w:rFonts w:hint="eastAsia" w:ascii="宋体" w:hAnsi="宋体" w:cs="仿宋"/>
                <w:color w:val="auto"/>
                <w:szCs w:val="21"/>
                <w:highlight w:val="none"/>
              </w:rPr>
              <w:t>注：需提供合同复印件加盖投标人公章，不符合或不提供不得分</w:t>
            </w:r>
          </w:p>
        </w:tc>
        <w:tc>
          <w:tcPr>
            <w:tcW w:w="714" w:type="dxa"/>
            <w:vAlign w:val="center"/>
          </w:tcPr>
          <w:p w14:paraId="33E1FF8D">
            <w:pPr>
              <w:tabs>
                <w:tab w:val="left" w:pos="851"/>
              </w:tabs>
              <w:spacing w:line="360" w:lineRule="auto"/>
              <w:jc w:val="center"/>
              <w:rPr>
                <w:rFonts w:hint="eastAsia" w:ascii="宋体" w:hAnsi="宋体" w:eastAsia="宋体" w:cs="仿宋"/>
                <w:color w:val="auto"/>
                <w:szCs w:val="21"/>
                <w:highlight w:val="none"/>
                <w:lang w:eastAsia="zh-CN"/>
              </w:rPr>
            </w:pPr>
            <w:r>
              <w:rPr>
                <w:rFonts w:hint="eastAsia" w:ascii="宋体" w:hAnsi="宋体" w:cs="仿宋"/>
                <w:color w:val="auto"/>
                <w:szCs w:val="21"/>
                <w:highlight w:val="none"/>
                <w:lang w:val="en-US" w:eastAsia="zh-CN"/>
              </w:rPr>
              <w:t>5</w:t>
            </w:r>
          </w:p>
        </w:tc>
      </w:tr>
      <w:tr w14:paraId="1A9D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598" w:type="dxa"/>
            <w:vAlign w:val="center"/>
          </w:tcPr>
          <w:p w14:paraId="2D520D7B">
            <w:pPr>
              <w:numPr>
                <w:ilvl w:val="0"/>
                <w:numId w:val="22"/>
              </w:numPr>
              <w:tabs>
                <w:tab w:val="left" w:pos="851"/>
              </w:tabs>
              <w:spacing w:line="360" w:lineRule="auto"/>
              <w:ind w:firstLine="0"/>
              <w:jc w:val="center"/>
              <w:rPr>
                <w:rFonts w:ascii="宋体" w:hAnsi="宋体" w:cs="Arial"/>
                <w:color w:val="auto"/>
                <w:szCs w:val="21"/>
                <w:highlight w:val="none"/>
              </w:rPr>
            </w:pPr>
          </w:p>
        </w:tc>
        <w:tc>
          <w:tcPr>
            <w:tcW w:w="1772" w:type="dxa"/>
            <w:vAlign w:val="center"/>
          </w:tcPr>
          <w:p w14:paraId="751D056F">
            <w:pPr>
              <w:snapToGrid w:val="0"/>
              <w:spacing w:line="360" w:lineRule="auto"/>
              <w:jc w:val="center"/>
              <w:rPr>
                <w:rFonts w:ascii="宋体" w:hAnsi="宋体" w:cs="宋体"/>
                <w:color w:val="auto"/>
                <w:szCs w:val="21"/>
                <w:highlight w:val="none"/>
              </w:rPr>
            </w:pPr>
            <w:r>
              <w:rPr>
                <w:rFonts w:hint="eastAsia" w:ascii="宋体" w:hAnsi="宋体"/>
                <w:color w:val="auto"/>
                <w:highlight w:val="none"/>
              </w:rPr>
              <w:t>用户满意度评价</w:t>
            </w:r>
          </w:p>
        </w:tc>
        <w:tc>
          <w:tcPr>
            <w:tcW w:w="5996" w:type="dxa"/>
            <w:vAlign w:val="center"/>
          </w:tcPr>
          <w:p w14:paraId="3D0F6944">
            <w:pPr>
              <w:snapToGrid w:val="0"/>
              <w:spacing w:line="360" w:lineRule="auto"/>
              <w:rPr>
                <w:rFonts w:ascii="宋体" w:hAnsi="宋体" w:cs="仿宋"/>
                <w:color w:val="auto"/>
                <w:szCs w:val="21"/>
                <w:highlight w:val="none"/>
              </w:rPr>
            </w:pPr>
            <w:r>
              <w:rPr>
                <w:rFonts w:hint="eastAsia" w:ascii="宋体" w:hAnsi="宋体"/>
                <w:color w:val="auto"/>
                <w:highlight w:val="none"/>
              </w:rPr>
              <w:t>投标人每提供一份同类项目业绩的客户评价证明材料，采购人评价结果为“满意”或“优”或得分90分以上的，或评委认可的类似好评的用户评价（须提供用户单位盖章的评价证明，格式自拟，并加盖投标人公章），</w:t>
            </w:r>
            <w:r>
              <w:rPr>
                <w:rFonts w:hint="eastAsia"/>
                <w:color w:val="auto"/>
                <w:highlight w:val="none"/>
              </w:rPr>
              <w:t>得</w:t>
            </w:r>
            <w:r>
              <w:rPr>
                <w:rFonts w:hint="eastAsia"/>
                <w:color w:val="auto"/>
                <w:highlight w:val="none"/>
                <w:lang w:val="en-US" w:eastAsia="zh-CN"/>
              </w:rPr>
              <w:t>1</w:t>
            </w:r>
            <w:r>
              <w:rPr>
                <w:rFonts w:hint="eastAsia"/>
                <w:color w:val="auto"/>
                <w:highlight w:val="none"/>
              </w:rPr>
              <w:t>分，最高得</w:t>
            </w:r>
            <w:r>
              <w:rPr>
                <w:rFonts w:hint="eastAsia"/>
                <w:color w:val="auto"/>
                <w:highlight w:val="none"/>
                <w:lang w:val="en-US" w:eastAsia="zh-CN"/>
              </w:rPr>
              <w:t>2</w:t>
            </w:r>
            <w:r>
              <w:rPr>
                <w:rFonts w:hint="eastAsia"/>
                <w:color w:val="auto"/>
                <w:highlight w:val="none"/>
              </w:rPr>
              <w:t>分；</w:t>
            </w:r>
          </w:p>
        </w:tc>
        <w:tc>
          <w:tcPr>
            <w:tcW w:w="714" w:type="dxa"/>
            <w:vAlign w:val="center"/>
          </w:tcPr>
          <w:p w14:paraId="665CC76E">
            <w:pPr>
              <w:widowControl/>
              <w:spacing w:line="360" w:lineRule="auto"/>
              <w:jc w:val="center"/>
              <w:rPr>
                <w:rFonts w:hint="eastAsia" w:ascii="宋体" w:hAnsi="宋体" w:eastAsia="宋体" w:cs="仿宋"/>
                <w:color w:val="auto"/>
                <w:szCs w:val="21"/>
                <w:highlight w:val="none"/>
                <w:lang w:eastAsia="zh-CN"/>
              </w:rPr>
            </w:pPr>
            <w:r>
              <w:rPr>
                <w:rFonts w:hint="eastAsia" w:ascii="宋体" w:hAnsi="宋体" w:cs="仿宋"/>
                <w:color w:val="auto"/>
                <w:szCs w:val="21"/>
                <w:highlight w:val="none"/>
                <w:lang w:val="en-US" w:eastAsia="zh-CN"/>
              </w:rPr>
              <w:t>2</w:t>
            </w:r>
          </w:p>
        </w:tc>
      </w:tr>
      <w:tr w14:paraId="7574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598" w:type="dxa"/>
            <w:vAlign w:val="center"/>
          </w:tcPr>
          <w:p w14:paraId="3953292B">
            <w:pPr>
              <w:numPr>
                <w:ilvl w:val="0"/>
                <w:numId w:val="22"/>
              </w:numPr>
              <w:tabs>
                <w:tab w:val="left" w:pos="851"/>
              </w:tabs>
              <w:spacing w:line="360" w:lineRule="auto"/>
              <w:ind w:firstLine="0"/>
              <w:jc w:val="center"/>
              <w:rPr>
                <w:rFonts w:ascii="宋体" w:hAnsi="宋体" w:cs="Arial"/>
                <w:color w:val="auto"/>
                <w:szCs w:val="21"/>
                <w:highlight w:val="none"/>
              </w:rPr>
            </w:pPr>
          </w:p>
        </w:tc>
        <w:tc>
          <w:tcPr>
            <w:tcW w:w="1772" w:type="dxa"/>
            <w:vAlign w:val="center"/>
          </w:tcPr>
          <w:p w14:paraId="49F9FA05">
            <w:pPr>
              <w:snapToGrid w:val="0"/>
              <w:spacing w:line="360" w:lineRule="auto"/>
              <w:jc w:val="center"/>
              <w:rPr>
                <w:rFonts w:ascii="宋体" w:hAnsi="宋体" w:cs="宋体"/>
                <w:color w:val="auto"/>
                <w:szCs w:val="21"/>
                <w:highlight w:val="none"/>
              </w:rPr>
            </w:pPr>
            <w:r>
              <w:rPr>
                <w:rFonts w:hint="eastAsia"/>
                <w:color w:val="auto"/>
                <w:highlight w:val="none"/>
              </w:rPr>
              <w:t>服务便利性</w:t>
            </w:r>
          </w:p>
        </w:tc>
        <w:tc>
          <w:tcPr>
            <w:tcW w:w="5996" w:type="dxa"/>
            <w:vAlign w:val="center"/>
          </w:tcPr>
          <w:p w14:paraId="25AA5996">
            <w:pPr>
              <w:spacing w:line="360" w:lineRule="auto"/>
              <w:jc w:val="left"/>
              <w:rPr>
                <w:color w:val="auto"/>
                <w:highlight w:val="none"/>
              </w:rPr>
            </w:pPr>
            <w:r>
              <w:rPr>
                <w:rFonts w:hint="eastAsia"/>
                <w:color w:val="auto"/>
                <w:highlight w:val="none"/>
              </w:rPr>
              <w:t>收到采购人通知（电话或书面）后，在30分钟内响应到达的，得</w:t>
            </w:r>
            <w:r>
              <w:rPr>
                <w:rFonts w:hint="eastAsia"/>
                <w:color w:val="auto"/>
                <w:highlight w:val="none"/>
                <w:lang w:val="en-US" w:eastAsia="zh-CN"/>
              </w:rPr>
              <w:t>12</w:t>
            </w:r>
            <w:r>
              <w:rPr>
                <w:rFonts w:hint="eastAsia"/>
                <w:color w:val="auto"/>
                <w:highlight w:val="none"/>
              </w:rPr>
              <w:t xml:space="preserve">分； </w:t>
            </w:r>
          </w:p>
          <w:p w14:paraId="039363A2">
            <w:pPr>
              <w:spacing w:line="360" w:lineRule="auto"/>
              <w:jc w:val="left"/>
              <w:rPr>
                <w:color w:val="auto"/>
                <w:highlight w:val="none"/>
              </w:rPr>
            </w:pPr>
            <w:r>
              <w:rPr>
                <w:rFonts w:hint="eastAsia"/>
                <w:color w:val="auto"/>
                <w:highlight w:val="none"/>
              </w:rPr>
              <w:t>收到采购人通知（电话或书面）后超过30分钟但1小时内响应到达，得</w:t>
            </w:r>
            <w:r>
              <w:rPr>
                <w:rFonts w:hint="eastAsia"/>
                <w:color w:val="auto"/>
                <w:highlight w:val="none"/>
                <w:lang w:val="en-US" w:eastAsia="zh-CN"/>
              </w:rPr>
              <w:t>6</w:t>
            </w:r>
            <w:r>
              <w:rPr>
                <w:rFonts w:hint="eastAsia"/>
                <w:color w:val="auto"/>
                <w:highlight w:val="none"/>
              </w:rPr>
              <w:t>分；</w:t>
            </w:r>
          </w:p>
          <w:p w14:paraId="63BFD0F3">
            <w:pPr>
              <w:spacing w:line="360" w:lineRule="auto"/>
              <w:jc w:val="left"/>
              <w:rPr>
                <w:color w:val="auto"/>
                <w:highlight w:val="none"/>
              </w:rPr>
            </w:pPr>
            <w:r>
              <w:rPr>
                <w:rFonts w:hint="eastAsia"/>
                <w:color w:val="auto"/>
                <w:highlight w:val="none"/>
              </w:rPr>
              <w:t>收到采购人通知（电话或书面）后超过1小时但1.5小时内响应到达，得</w:t>
            </w:r>
            <w:r>
              <w:rPr>
                <w:rFonts w:hint="eastAsia"/>
                <w:color w:val="auto"/>
                <w:highlight w:val="none"/>
                <w:lang w:val="en-US" w:eastAsia="zh-CN"/>
              </w:rPr>
              <w:t>3</w:t>
            </w:r>
            <w:r>
              <w:rPr>
                <w:rFonts w:hint="eastAsia"/>
                <w:color w:val="auto"/>
                <w:highlight w:val="none"/>
              </w:rPr>
              <w:t xml:space="preserve">分； </w:t>
            </w:r>
          </w:p>
          <w:p w14:paraId="69A6049B">
            <w:pPr>
              <w:spacing w:line="360" w:lineRule="auto"/>
              <w:jc w:val="left"/>
              <w:rPr>
                <w:color w:val="auto"/>
                <w:highlight w:val="none"/>
              </w:rPr>
            </w:pPr>
            <w:r>
              <w:rPr>
                <w:rFonts w:hint="eastAsia"/>
                <w:color w:val="auto"/>
                <w:highlight w:val="none"/>
              </w:rPr>
              <w:t xml:space="preserve">其余不得分。 </w:t>
            </w:r>
          </w:p>
          <w:p w14:paraId="31160730">
            <w:pPr>
              <w:snapToGrid w:val="0"/>
              <w:spacing w:line="360" w:lineRule="auto"/>
              <w:rPr>
                <w:rFonts w:ascii="宋体" w:hAnsi="宋体" w:cs="仿宋"/>
                <w:color w:val="auto"/>
                <w:szCs w:val="21"/>
                <w:highlight w:val="none"/>
              </w:rPr>
            </w:pPr>
            <w:r>
              <w:rPr>
                <w:rFonts w:hint="eastAsia"/>
                <w:b/>
                <w:bCs/>
                <w:color w:val="auto"/>
                <w:sz w:val="21"/>
                <w:szCs w:val="21"/>
                <w:highlight w:val="none"/>
              </w:rPr>
              <w:t>注：须提供承诺函原件。</w:t>
            </w:r>
          </w:p>
        </w:tc>
        <w:tc>
          <w:tcPr>
            <w:tcW w:w="714" w:type="dxa"/>
            <w:vAlign w:val="center"/>
          </w:tcPr>
          <w:p w14:paraId="62767064">
            <w:pPr>
              <w:widowControl/>
              <w:spacing w:line="360" w:lineRule="auto"/>
              <w:jc w:val="center"/>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12</w:t>
            </w:r>
          </w:p>
        </w:tc>
      </w:tr>
    </w:tbl>
    <w:p w14:paraId="3A2D9FBD">
      <w:pPr>
        <w:spacing w:line="360" w:lineRule="auto"/>
        <w:rPr>
          <w:rFonts w:ascii="宋体" w:hAnsi="宋体" w:cs="仿宋"/>
          <w:color w:val="auto"/>
          <w:szCs w:val="21"/>
          <w:highlight w:val="none"/>
        </w:rPr>
      </w:pPr>
      <w:r>
        <w:rPr>
          <w:rFonts w:hint="eastAsia" w:ascii="宋体" w:hAnsi="宋体" w:cs="仿宋"/>
          <w:color w:val="auto"/>
          <w:szCs w:val="21"/>
          <w:highlight w:val="none"/>
        </w:rPr>
        <w:t>备注：仅对已通过资格和符合的响应文件进行评分；评分小数点保留至0.01。</w:t>
      </w:r>
    </w:p>
    <w:p w14:paraId="3B30CD82">
      <w:pPr>
        <w:rPr>
          <w:rFonts w:ascii="宋体" w:hAnsi="宋体"/>
          <w:b/>
          <w:bCs/>
          <w:color w:val="auto"/>
          <w:sz w:val="28"/>
          <w:highlight w:val="none"/>
        </w:rPr>
      </w:pPr>
      <w:r>
        <w:rPr>
          <w:rFonts w:hint="eastAsia" w:ascii="宋体" w:hAnsi="宋体"/>
          <w:b/>
          <w:bCs/>
          <w:color w:val="auto"/>
          <w:sz w:val="28"/>
          <w:highlight w:val="none"/>
        </w:rPr>
        <w:br w:type="page"/>
      </w:r>
    </w:p>
    <w:p w14:paraId="14A05327">
      <w:pPr>
        <w:spacing w:line="400" w:lineRule="exact"/>
        <w:rPr>
          <w:rFonts w:hint="eastAsia" w:ascii="宋体" w:hAnsi="宋体"/>
          <w:b/>
          <w:bCs/>
          <w:color w:val="auto"/>
          <w:sz w:val="24"/>
          <w:szCs w:val="22"/>
          <w:highlight w:val="none"/>
          <w:lang w:val="en-US" w:eastAsia="zh-CN"/>
        </w:rPr>
      </w:pPr>
      <w:r>
        <w:rPr>
          <w:rFonts w:hint="eastAsia" w:ascii="宋体" w:hAnsi="宋体"/>
          <w:b/>
          <w:bCs/>
          <w:color w:val="auto"/>
          <w:sz w:val="24"/>
          <w:szCs w:val="22"/>
          <w:highlight w:val="none"/>
        </w:rPr>
        <w:t>附表四：</w:t>
      </w:r>
      <w:r>
        <w:rPr>
          <w:rFonts w:hint="eastAsia" w:ascii="宋体" w:hAnsi="宋体"/>
          <w:b/>
          <w:bCs/>
          <w:color w:val="auto"/>
          <w:sz w:val="24"/>
          <w:szCs w:val="22"/>
          <w:highlight w:val="none"/>
          <w:lang w:val="en-US" w:eastAsia="zh-CN"/>
        </w:rPr>
        <w:t xml:space="preserve">                 </w:t>
      </w:r>
    </w:p>
    <w:p w14:paraId="5DDA6316">
      <w:pPr>
        <w:spacing w:before="0" w:beforeLines="-2147483648" w:after="0" w:afterLines="-2147483648" w:line="400" w:lineRule="exact"/>
        <w:jc w:val="center"/>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综合信用评分表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567"/>
        <w:gridCol w:w="5869"/>
      </w:tblGrid>
      <w:tr w14:paraId="0759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14:paraId="720B0FA2">
            <w:pPr>
              <w:autoSpaceDE w:val="0"/>
              <w:autoSpaceDN w:val="0"/>
              <w:adjustRightInd w:val="0"/>
              <w:spacing w:line="276" w:lineRule="auto"/>
              <w:jc w:val="center"/>
              <w:rPr>
                <w:rFonts w:hint="default" w:ascii="宋体" w:hAnsi="宋体"/>
                <w:b/>
                <w:bCs/>
                <w:color w:val="auto"/>
                <w:szCs w:val="21"/>
                <w:highlight w:val="none"/>
                <w:vertAlign w:val="baseline"/>
                <w:lang w:val="en-US" w:eastAsia="zh-CN"/>
              </w:rPr>
            </w:pPr>
            <w:r>
              <w:rPr>
                <w:rFonts w:hint="eastAsia" w:ascii="宋体" w:hAnsi="宋体" w:cs="宋体"/>
                <w:b/>
                <w:color w:val="auto"/>
                <w:kern w:val="0"/>
                <w:szCs w:val="21"/>
                <w:highlight w:val="none"/>
              </w:rPr>
              <w:t>序号</w:t>
            </w:r>
          </w:p>
        </w:tc>
        <w:tc>
          <w:tcPr>
            <w:tcW w:w="1567" w:type="dxa"/>
            <w:vAlign w:val="center"/>
          </w:tcPr>
          <w:p w14:paraId="6570A497">
            <w:pPr>
              <w:autoSpaceDE w:val="0"/>
              <w:autoSpaceDN w:val="0"/>
              <w:adjustRightInd w:val="0"/>
              <w:spacing w:line="276" w:lineRule="auto"/>
              <w:jc w:val="center"/>
              <w:rPr>
                <w:rFonts w:hint="default" w:ascii="宋体" w:hAnsi="宋体"/>
                <w:b/>
                <w:bCs/>
                <w:color w:val="auto"/>
                <w:szCs w:val="21"/>
                <w:highlight w:val="none"/>
                <w:vertAlign w:val="baseline"/>
                <w:lang w:val="en-US" w:eastAsia="zh-CN"/>
              </w:rPr>
            </w:pPr>
            <w:r>
              <w:rPr>
                <w:rFonts w:hint="eastAsia" w:ascii="宋体" w:hAnsi="宋体" w:cs="宋体"/>
                <w:b/>
                <w:color w:val="auto"/>
                <w:kern w:val="0"/>
                <w:szCs w:val="21"/>
                <w:highlight w:val="none"/>
              </w:rPr>
              <w:t>评审项目</w:t>
            </w:r>
          </w:p>
        </w:tc>
        <w:tc>
          <w:tcPr>
            <w:tcW w:w="5869" w:type="dxa"/>
            <w:vAlign w:val="center"/>
          </w:tcPr>
          <w:p w14:paraId="33112ADC">
            <w:pPr>
              <w:autoSpaceDE w:val="0"/>
              <w:autoSpaceDN w:val="0"/>
              <w:adjustRightInd w:val="0"/>
              <w:spacing w:line="276" w:lineRule="auto"/>
              <w:jc w:val="center"/>
              <w:rPr>
                <w:rFonts w:hint="default" w:ascii="宋体" w:hAnsi="宋体"/>
                <w:b/>
                <w:bCs/>
                <w:color w:val="auto"/>
                <w:szCs w:val="21"/>
                <w:highlight w:val="none"/>
                <w:vertAlign w:val="baseline"/>
                <w:lang w:val="en-US" w:eastAsia="zh-CN"/>
              </w:rPr>
            </w:pPr>
            <w:r>
              <w:rPr>
                <w:rFonts w:hint="eastAsia" w:ascii="宋体" w:hAnsi="宋体" w:cs="宋体"/>
                <w:b/>
                <w:color w:val="auto"/>
                <w:kern w:val="0"/>
                <w:szCs w:val="21"/>
                <w:highlight w:val="none"/>
              </w:rPr>
              <w:t>评议内容</w:t>
            </w:r>
          </w:p>
        </w:tc>
      </w:tr>
      <w:tr w14:paraId="261E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14:paraId="7F20B8C2">
            <w:pPr>
              <w:spacing w:before="0" w:beforeLines="-2147483648" w:after="0" w:afterLines="-2147483648" w:line="400" w:lineRule="exact"/>
              <w:jc w:val="center"/>
              <w:rPr>
                <w:rFonts w:hint="default" w:ascii="宋体" w:hAnsi="宋体"/>
                <w:b/>
                <w:bCs/>
                <w:color w:val="auto"/>
                <w:szCs w:val="21"/>
                <w:highlight w:val="none"/>
                <w:vertAlign w:val="baseline"/>
                <w:lang w:val="en-US" w:eastAsia="zh-CN"/>
              </w:rPr>
            </w:pPr>
            <w:r>
              <w:rPr>
                <w:rFonts w:hint="eastAsia" w:ascii="宋体" w:hAnsi="宋体"/>
                <w:b/>
                <w:bCs/>
                <w:color w:val="auto"/>
                <w:szCs w:val="21"/>
                <w:highlight w:val="none"/>
                <w:vertAlign w:val="baseline"/>
                <w:lang w:val="en-US" w:eastAsia="zh-CN"/>
              </w:rPr>
              <w:t>1</w:t>
            </w:r>
          </w:p>
        </w:tc>
        <w:tc>
          <w:tcPr>
            <w:tcW w:w="1567" w:type="dxa"/>
            <w:vAlign w:val="center"/>
          </w:tcPr>
          <w:p w14:paraId="6B032971">
            <w:pPr>
              <w:spacing w:line="400" w:lineRule="exact"/>
              <w:jc w:val="center"/>
              <w:rPr>
                <w:color w:val="auto"/>
                <w:highlight w:val="none"/>
              </w:rPr>
            </w:pPr>
            <w:r>
              <w:rPr>
                <w:color w:val="auto"/>
                <w:highlight w:val="none"/>
              </w:rPr>
              <w:t>综合信用分</w:t>
            </w:r>
          </w:p>
          <w:p w14:paraId="54D6CC83">
            <w:pPr>
              <w:pStyle w:val="13"/>
              <w:ind w:firstLine="240" w:firstLineChars="100"/>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5分</w:t>
            </w:r>
            <w:r>
              <w:rPr>
                <w:rFonts w:hint="eastAsia"/>
                <w:color w:val="auto"/>
                <w:highlight w:val="none"/>
                <w:lang w:eastAsia="zh-CN"/>
              </w:rPr>
              <w:t>）</w:t>
            </w:r>
          </w:p>
        </w:tc>
        <w:tc>
          <w:tcPr>
            <w:tcW w:w="5869" w:type="dxa"/>
            <w:vAlign w:val="top"/>
          </w:tcPr>
          <w:p w14:paraId="2AB048AB">
            <w:pPr>
              <w:spacing w:before="0" w:beforeLines="-2147483648" w:after="0" w:afterLines="-2147483648" w:line="400" w:lineRule="exact"/>
              <w:jc w:val="both"/>
              <w:rPr>
                <w:rFonts w:hint="default" w:ascii="宋体" w:hAnsi="宋体"/>
                <w:b/>
                <w:bCs/>
                <w:color w:val="auto"/>
                <w:szCs w:val="21"/>
                <w:highlight w:val="none"/>
                <w:vertAlign w:val="baseline"/>
                <w:lang w:val="en-US" w:eastAsia="zh-CN"/>
              </w:rPr>
            </w:pPr>
            <w:r>
              <w:rPr>
                <w:rFonts w:hint="eastAsia" w:asciiTheme="minorEastAsia" w:hAnsiTheme="minorEastAsia" w:eastAsiaTheme="minorEastAsia" w:cstheme="minorEastAsia"/>
                <w:color w:val="auto"/>
                <w:highlight w:val="none"/>
              </w:rPr>
              <w:t>综合信用评价得分=综合信用评价得分(属于商务部分的一部分)=投标人的广州公共资源交易信用评价（政府采购供应商信用评价分）×5%。投标人的信用评价分以开标当天广州交易集团有限公司网站公布的分值为准（通过“广州交易集团有限公司网站-信用信息-广州公共资源交易信用平台3.0”进行核实，未能在网站查询到供应商信用评价分的，以当天信用评价基准分计算。供应商为联合体的，以牵头方信用评价分计算。</w:t>
            </w:r>
          </w:p>
        </w:tc>
      </w:tr>
    </w:tbl>
    <w:p w14:paraId="15D6117A">
      <w:pPr>
        <w:spacing w:before="0" w:beforeLines="-2147483648" w:after="0" w:afterLines="-2147483648" w:line="400" w:lineRule="exact"/>
        <w:jc w:val="center"/>
        <w:rPr>
          <w:rFonts w:hint="default" w:ascii="宋体" w:hAnsi="宋体"/>
          <w:b/>
          <w:bCs/>
          <w:color w:val="auto"/>
          <w:szCs w:val="21"/>
          <w:highlight w:val="none"/>
          <w:lang w:val="en-US" w:eastAsia="zh-CN"/>
        </w:rPr>
      </w:pPr>
    </w:p>
    <w:p w14:paraId="1859584B">
      <w:pPr>
        <w:spacing w:before="0" w:beforeLines="-2147483648" w:after="0" w:afterLines="-2147483648" w:line="240" w:lineRule="auto"/>
        <w:jc w:val="left"/>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br w:type="page"/>
      </w:r>
    </w:p>
    <w:p w14:paraId="2DA59019">
      <w:pPr>
        <w:spacing w:before="156" w:beforeLines="50" w:after="156" w:afterLines="50" w:line="400" w:lineRule="exact"/>
        <w:jc w:val="left"/>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附表五</w:t>
      </w:r>
    </w:p>
    <w:p w14:paraId="2185CFE1">
      <w:pPr>
        <w:spacing w:before="156" w:beforeLines="50" w:after="156" w:afterLines="50" w:line="400" w:lineRule="exact"/>
        <w:jc w:val="center"/>
        <w:rPr>
          <w:rFonts w:ascii="宋体" w:hAnsi="宋体"/>
          <w:b/>
          <w:bCs/>
          <w:color w:val="auto"/>
          <w:szCs w:val="21"/>
          <w:highlight w:val="none"/>
        </w:rPr>
      </w:pPr>
      <w:r>
        <w:rPr>
          <w:rFonts w:hint="eastAsia" w:ascii="宋体" w:hAnsi="宋体"/>
          <w:b/>
          <w:bCs/>
          <w:color w:val="auto"/>
          <w:szCs w:val="21"/>
          <w:highlight w:val="none"/>
        </w:rPr>
        <w:t>价格评审表（10分）</w:t>
      </w:r>
    </w:p>
    <w:tbl>
      <w:tblPr>
        <w:tblStyle w:val="3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99"/>
        <w:gridCol w:w="1850"/>
        <w:gridCol w:w="6623"/>
      </w:tblGrid>
      <w:tr w14:paraId="3196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0" w:hRule="atLeast"/>
          <w:jc w:val="center"/>
        </w:trPr>
        <w:tc>
          <w:tcPr>
            <w:tcW w:w="599" w:type="dxa"/>
            <w:vAlign w:val="center"/>
          </w:tcPr>
          <w:p w14:paraId="2307767A">
            <w:pPr>
              <w:autoSpaceDE w:val="0"/>
              <w:autoSpaceDN w:val="0"/>
              <w:adjustRightInd w:val="0"/>
              <w:spacing w:line="27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850" w:type="dxa"/>
            <w:vAlign w:val="center"/>
          </w:tcPr>
          <w:p w14:paraId="3CD235E3">
            <w:pPr>
              <w:autoSpaceDE w:val="0"/>
              <w:autoSpaceDN w:val="0"/>
              <w:adjustRightInd w:val="0"/>
              <w:spacing w:line="27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评审项目</w:t>
            </w:r>
          </w:p>
        </w:tc>
        <w:tc>
          <w:tcPr>
            <w:tcW w:w="6623" w:type="dxa"/>
            <w:vAlign w:val="center"/>
          </w:tcPr>
          <w:p w14:paraId="10DC0384">
            <w:pPr>
              <w:autoSpaceDE w:val="0"/>
              <w:autoSpaceDN w:val="0"/>
              <w:adjustRightInd w:val="0"/>
              <w:spacing w:line="27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评议内容</w:t>
            </w:r>
          </w:p>
        </w:tc>
      </w:tr>
      <w:tr w14:paraId="7309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80" w:hRule="atLeast"/>
          <w:jc w:val="center"/>
        </w:trPr>
        <w:tc>
          <w:tcPr>
            <w:tcW w:w="599" w:type="dxa"/>
            <w:vAlign w:val="center"/>
          </w:tcPr>
          <w:p w14:paraId="431AC1CF">
            <w:pPr>
              <w:autoSpaceDE w:val="0"/>
              <w:autoSpaceDN w:val="0"/>
              <w:adjustRightInd w:val="0"/>
              <w:spacing w:line="276"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850" w:type="dxa"/>
            <w:vAlign w:val="center"/>
          </w:tcPr>
          <w:p w14:paraId="6417005A">
            <w:pPr>
              <w:autoSpaceDE w:val="0"/>
              <w:autoSpaceDN w:val="0"/>
              <w:adjustRightInd w:val="0"/>
              <w:spacing w:line="276"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价格</w:t>
            </w:r>
          </w:p>
          <w:p w14:paraId="5E77A2EB">
            <w:pPr>
              <w:pStyle w:val="13"/>
              <w:rPr>
                <w:rFonts w:hint="default" w:eastAsia="宋体"/>
                <w:color w:val="auto"/>
                <w:highlight w:val="none"/>
                <w:lang w:val="en-US" w:eastAsia="zh-CN"/>
              </w:rPr>
            </w:pPr>
            <w:r>
              <w:rPr>
                <w:rFonts w:hint="eastAsia" w:ascii="宋体" w:hAnsi="宋体" w:cs="宋体"/>
                <w:color w:val="auto"/>
                <w:kern w:val="0"/>
                <w:szCs w:val="21"/>
                <w:highlight w:val="none"/>
                <w:lang w:val="en-US" w:eastAsia="zh-CN"/>
              </w:rPr>
              <w:t xml:space="preserve">   （10分）</w:t>
            </w:r>
          </w:p>
        </w:tc>
        <w:tc>
          <w:tcPr>
            <w:tcW w:w="6623" w:type="dxa"/>
            <w:vAlign w:val="center"/>
          </w:tcPr>
          <w:p w14:paraId="75B7EA25">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磋商小组对入围的供应商的最后价格进行修正得出评审价。综合评分法中的价格分统一采用低价优先法计算，即满足磋商文件要求（通过资格、符合性评审）且价格最低的有效最后报价（指修正后的价格，下同）为磋商基准价，其价格分为满分。其他供应商的价格分统一按照下列公式计算：</w:t>
            </w:r>
          </w:p>
          <w:p w14:paraId="25CBDF06">
            <w:pPr>
              <w:autoSpaceDE w:val="0"/>
              <w:autoSpaceDN w:val="0"/>
              <w:adjustRightInd w:val="0"/>
              <w:spacing w:line="276" w:lineRule="auto"/>
              <w:ind w:firstLine="441" w:firstLineChars="210"/>
              <w:jc w:val="left"/>
              <w:rPr>
                <w:rFonts w:ascii="宋体" w:hAnsi="宋体"/>
                <w:color w:val="auto"/>
                <w:szCs w:val="21"/>
                <w:highlight w:val="none"/>
              </w:rPr>
            </w:pPr>
            <w:r>
              <w:rPr>
                <w:rFonts w:hint="eastAsia" w:ascii="宋体" w:hAnsi="宋体"/>
                <w:color w:val="auto"/>
                <w:szCs w:val="21"/>
                <w:highlight w:val="none"/>
              </w:rPr>
              <w:t>磋商报价得分＝（磋商基准价／最后磋商报价）x 价格权值x 100（精确到0.01）。</w:t>
            </w:r>
          </w:p>
          <w:p w14:paraId="20089C43">
            <w:pPr>
              <w:autoSpaceDE w:val="0"/>
              <w:autoSpaceDN w:val="0"/>
              <w:adjustRightInd w:val="0"/>
              <w:spacing w:line="276" w:lineRule="auto"/>
              <w:ind w:firstLine="441" w:firstLineChars="210"/>
              <w:jc w:val="left"/>
              <w:rPr>
                <w:rFonts w:ascii="宋体" w:hAnsi="宋体"/>
                <w:color w:val="auto"/>
                <w:szCs w:val="21"/>
                <w:highlight w:val="none"/>
              </w:rPr>
            </w:pPr>
            <w:r>
              <w:rPr>
                <w:rFonts w:ascii="宋体" w:hAnsi="宋体"/>
                <w:color w:val="auto"/>
                <w:szCs w:val="21"/>
                <w:highlight w:val="none"/>
              </w:rPr>
              <w:t>因落实政府采购政策进行价格调整的，以调整后的价格计算</w:t>
            </w:r>
            <w:r>
              <w:rPr>
                <w:rFonts w:hint="eastAsia" w:ascii="宋体" w:hAnsi="宋体"/>
                <w:color w:val="auto"/>
                <w:szCs w:val="21"/>
                <w:highlight w:val="none"/>
              </w:rPr>
              <w:t>磋商基准价</w:t>
            </w:r>
            <w:r>
              <w:rPr>
                <w:rFonts w:ascii="宋体" w:hAnsi="宋体"/>
                <w:color w:val="auto"/>
                <w:szCs w:val="21"/>
                <w:highlight w:val="none"/>
              </w:rPr>
              <w:t>和</w:t>
            </w:r>
            <w:r>
              <w:rPr>
                <w:rFonts w:hint="eastAsia" w:ascii="宋体" w:hAnsi="宋体"/>
                <w:color w:val="auto"/>
                <w:szCs w:val="21"/>
                <w:highlight w:val="none"/>
              </w:rPr>
              <w:t>最后磋商报价</w:t>
            </w:r>
            <w:r>
              <w:rPr>
                <w:rFonts w:ascii="宋体" w:hAnsi="宋体"/>
                <w:color w:val="auto"/>
                <w:szCs w:val="21"/>
                <w:highlight w:val="none"/>
              </w:rPr>
              <w:t>。</w:t>
            </w:r>
          </w:p>
        </w:tc>
      </w:tr>
    </w:tbl>
    <w:p w14:paraId="4AC9A8CC">
      <w:pPr>
        <w:spacing w:line="360" w:lineRule="auto"/>
        <w:rPr>
          <w:rFonts w:ascii="宋体" w:hAnsi="宋体"/>
          <w:color w:val="auto"/>
          <w:highlight w:val="none"/>
        </w:rPr>
      </w:pPr>
    </w:p>
    <w:p w14:paraId="5464B912">
      <w:pPr>
        <w:pStyle w:val="2"/>
        <w:spacing w:before="0" w:after="0" w:line="360" w:lineRule="auto"/>
        <w:rPr>
          <w:rFonts w:ascii="宋体" w:hAnsi="宋体"/>
          <w:color w:val="auto"/>
          <w:highlight w:val="none"/>
        </w:rPr>
      </w:pPr>
      <w:bookmarkStart w:id="154" w:name="_Toc307826682"/>
      <w:bookmarkStart w:id="155" w:name="_Toc108597123"/>
      <w:bookmarkStart w:id="156" w:name="_Toc307826053"/>
      <w:r>
        <w:rPr>
          <w:rFonts w:ascii="宋体" w:hAnsi="宋体"/>
          <w:color w:val="auto"/>
          <w:highlight w:val="none"/>
        </w:rPr>
        <w:br w:type="page"/>
      </w:r>
      <w:bookmarkStart w:id="157" w:name="_Toc15686"/>
      <w:r>
        <w:rPr>
          <w:rFonts w:hint="eastAsia" w:ascii="宋体" w:hAnsi="宋体"/>
          <w:color w:val="auto"/>
          <w:highlight w:val="none"/>
        </w:rPr>
        <w:t>第五部</w:t>
      </w:r>
      <w:bookmarkStart w:id="158" w:name="geshi"/>
      <w:bookmarkEnd w:id="158"/>
      <w:r>
        <w:rPr>
          <w:rFonts w:hint="eastAsia" w:ascii="宋体" w:hAnsi="宋体"/>
          <w:color w:val="auto"/>
          <w:highlight w:val="none"/>
        </w:rPr>
        <w:t>分  响应文件格式</w:t>
      </w:r>
      <w:bookmarkEnd w:id="154"/>
      <w:bookmarkEnd w:id="155"/>
      <w:bookmarkEnd w:id="156"/>
      <w:bookmarkEnd w:id="157"/>
    </w:p>
    <w:p w14:paraId="675F742D">
      <w:pPr>
        <w:tabs>
          <w:tab w:val="left" w:pos="720"/>
        </w:tabs>
        <w:snapToGrid w:val="0"/>
        <w:spacing w:line="360" w:lineRule="auto"/>
        <w:ind w:left="425"/>
        <w:jc w:val="center"/>
        <w:rPr>
          <w:rFonts w:ascii="宋体" w:hAnsi="宋体"/>
          <w:b/>
          <w:color w:val="auto"/>
          <w:highlight w:val="none"/>
        </w:rPr>
      </w:pPr>
      <w:bookmarkStart w:id="159" w:name="_Hlt494257941"/>
      <w:bookmarkEnd w:id="159"/>
      <w:bookmarkStart w:id="160" w:name="_Toc426557865"/>
      <w:bookmarkStart w:id="161" w:name="_Toc12118375"/>
      <w:bookmarkStart w:id="162" w:name="_Toc52423752"/>
      <w:bookmarkStart w:id="163" w:name="_Toc517502637"/>
      <w:bookmarkStart w:id="164" w:name="_Toc484848557"/>
      <w:bookmarkStart w:id="165" w:name="_Toc506611814"/>
      <w:bookmarkStart w:id="166" w:name="_Toc490832205"/>
      <w:bookmarkStart w:id="167" w:name="_Toc506628557"/>
      <w:bookmarkStart w:id="168" w:name="_Toc484827212"/>
      <w:bookmarkStart w:id="169" w:name="_Toc494875415"/>
      <w:bookmarkStart w:id="170" w:name="_Toc506611606"/>
      <w:bookmarkStart w:id="171" w:name="_Toc307826054"/>
      <w:bookmarkStart w:id="172" w:name="_Toc307826683"/>
      <w:bookmarkStart w:id="173" w:name="_Toc108597124"/>
      <w:r>
        <w:rPr>
          <w:rFonts w:ascii="宋体" w:hAnsi="宋体"/>
          <w:b/>
          <w:color w:val="auto"/>
          <w:highlight w:val="none"/>
        </w:rPr>
        <w:t>响应</w:t>
      </w:r>
      <w:r>
        <w:rPr>
          <w:rFonts w:hint="eastAsia" w:ascii="宋体" w:hAnsi="宋体"/>
          <w:b/>
          <w:color w:val="auto"/>
          <w:highlight w:val="none"/>
        </w:rPr>
        <w:t>文件包装信封或外包装格式参考</w:t>
      </w:r>
    </w:p>
    <w:tbl>
      <w:tblPr>
        <w:tblStyle w:val="33"/>
        <w:tblpPr w:leftFromText="180" w:rightFromText="180" w:vertAnchor="text" w:horzAnchor="margin" w:tblpY="11"/>
        <w:tblOverlap w:val="never"/>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9"/>
      </w:tblGrid>
      <w:tr w14:paraId="766C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7" w:hRule="atLeast"/>
        </w:trPr>
        <w:tc>
          <w:tcPr>
            <w:tcW w:w="9249" w:type="dxa"/>
          </w:tcPr>
          <w:p w14:paraId="3AC56D5A">
            <w:pPr>
              <w:pStyle w:val="13"/>
              <w:spacing w:line="400" w:lineRule="exact"/>
              <w:rPr>
                <w:rFonts w:ascii="宋体" w:hAnsi="宋体"/>
                <w:b/>
                <w:color w:val="auto"/>
                <w:sz w:val="28"/>
                <w:szCs w:val="28"/>
                <w:highlight w:val="none"/>
              </w:rPr>
            </w:pPr>
          </w:p>
          <w:p w14:paraId="74884B29">
            <w:pPr>
              <w:rPr>
                <w:rFonts w:hint="eastAsia" w:ascii="宋体" w:hAnsi="宋体" w:eastAsia="宋体"/>
                <w:b/>
                <w:bCs/>
                <w:color w:val="auto"/>
                <w:sz w:val="28"/>
                <w:szCs w:val="28"/>
                <w:highlight w:val="none"/>
                <w:lang w:eastAsia="zh-CN"/>
              </w:rPr>
            </w:pPr>
            <w:r>
              <w:rPr>
                <w:rFonts w:hint="eastAsia" w:ascii="宋体" w:hAnsi="宋体"/>
                <w:b/>
                <w:color w:val="auto"/>
                <w:sz w:val="28"/>
                <w:szCs w:val="28"/>
                <w:highlight w:val="none"/>
              </w:rPr>
              <w:t>项目编号：</w:t>
            </w:r>
            <w:r>
              <w:rPr>
                <w:rFonts w:hint="eastAsia" w:ascii="宋体" w:hAnsi="宋体"/>
                <w:b/>
                <w:bCs/>
                <w:color w:val="auto"/>
                <w:sz w:val="28"/>
                <w:szCs w:val="28"/>
                <w:highlight w:val="none"/>
                <w:lang w:eastAsia="zh-CN"/>
              </w:rPr>
              <w:t> GZZT2024CSCG-024</w:t>
            </w:r>
          </w:p>
          <w:p w14:paraId="515A6F6D">
            <w:pPr>
              <w:rPr>
                <w:rFonts w:hint="eastAsia" w:ascii="宋体" w:hAnsi="宋体" w:eastAsia="宋体"/>
                <w:b/>
                <w:bCs/>
                <w:color w:val="auto"/>
                <w:sz w:val="28"/>
                <w:szCs w:val="28"/>
                <w:highlight w:val="none"/>
                <w:lang w:eastAsia="zh-CN"/>
              </w:rPr>
            </w:pPr>
            <w:r>
              <w:rPr>
                <w:rFonts w:hint="eastAsia" w:ascii="宋体" w:hAnsi="宋体"/>
                <w:b/>
                <w:color w:val="auto"/>
                <w:sz w:val="28"/>
                <w:szCs w:val="28"/>
                <w:highlight w:val="none"/>
              </w:rPr>
              <w:t>项目名称：</w:t>
            </w:r>
            <w:r>
              <w:rPr>
                <w:rFonts w:hint="eastAsia" w:ascii="宋体" w:hAnsi="宋体"/>
                <w:b/>
                <w:bCs/>
                <w:color w:val="auto"/>
                <w:sz w:val="28"/>
                <w:szCs w:val="28"/>
                <w:highlight w:val="none"/>
                <w:lang w:eastAsia="zh-CN"/>
              </w:rPr>
              <w:t>2025年万顷沙镇生活垃圾分类督导服务项目</w:t>
            </w:r>
          </w:p>
          <w:p w14:paraId="4E61923B">
            <w:pPr>
              <w:pStyle w:val="13"/>
              <w:spacing w:line="360" w:lineRule="auto"/>
              <w:ind w:firstLine="480" w:firstLineChars="150"/>
              <w:rPr>
                <w:rFonts w:ascii="宋体" w:hAnsi="宋体"/>
                <w:b/>
                <w:color w:val="auto"/>
                <w:sz w:val="32"/>
                <w:highlight w:val="none"/>
              </w:rPr>
            </w:pPr>
          </w:p>
          <w:p w14:paraId="5D740E3B">
            <w:pPr>
              <w:pStyle w:val="13"/>
              <w:spacing w:line="360" w:lineRule="auto"/>
              <w:rPr>
                <w:rFonts w:ascii="宋体" w:hAnsi="宋体"/>
                <w:b/>
                <w:color w:val="auto"/>
                <w:sz w:val="32"/>
                <w:highlight w:val="none"/>
              </w:rPr>
            </w:pPr>
          </w:p>
          <w:p w14:paraId="302850EE">
            <w:pPr>
              <w:pStyle w:val="13"/>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响 应 文 件</w:t>
            </w:r>
          </w:p>
          <w:p w14:paraId="07E75035">
            <w:pPr>
              <w:pStyle w:val="13"/>
              <w:spacing w:line="360" w:lineRule="auto"/>
              <w:ind w:firstLine="3385" w:firstLineChars="651"/>
              <w:rPr>
                <w:rFonts w:ascii="宋体" w:hAnsi="宋体"/>
                <w:b/>
                <w:color w:val="auto"/>
                <w:sz w:val="32"/>
                <w:highlight w:val="none"/>
              </w:rPr>
            </w:pPr>
            <w:r>
              <w:rPr>
                <w:rFonts w:hint="eastAsia" w:ascii="宋体" w:hAnsi="宋体"/>
                <w:b/>
                <w:color w:val="auto"/>
                <w:sz w:val="52"/>
                <w:szCs w:val="52"/>
                <w:highlight w:val="none"/>
              </w:rPr>
              <w:t xml:space="preserve">口 </w:t>
            </w:r>
            <w:r>
              <w:rPr>
                <w:rFonts w:hint="eastAsia" w:ascii="宋体" w:hAnsi="宋体"/>
                <w:b/>
                <w:color w:val="auto"/>
                <w:sz w:val="32"/>
                <w:highlight w:val="none"/>
              </w:rPr>
              <w:t>正本</w:t>
            </w:r>
          </w:p>
          <w:p w14:paraId="451E1AB6">
            <w:pPr>
              <w:pStyle w:val="13"/>
              <w:spacing w:line="360" w:lineRule="auto"/>
              <w:ind w:firstLine="3385" w:firstLineChars="651"/>
              <w:rPr>
                <w:rFonts w:ascii="宋体" w:hAnsi="宋体"/>
                <w:b/>
                <w:color w:val="auto"/>
                <w:sz w:val="32"/>
                <w:highlight w:val="none"/>
              </w:rPr>
            </w:pPr>
            <w:r>
              <w:rPr>
                <w:rFonts w:hint="eastAsia" w:ascii="宋体" w:hAnsi="宋体"/>
                <w:b/>
                <w:color w:val="auto"/>
                <w:sz w:val="52"/>
                <w:szCs w:val="52"/>
                <w:highlight w:val="none"/>
              </w:rPr>
              <w:t xml:space="preserve">口 </w:t>
            </w:r>
            <w:r>
              <w:rPr>
                <w:rFonts w:hint="eastAsia" w:ascii="宋体" w:hAnsi="宋体"/>
                <w:b/>
                <w:color w:val="auto"/>
                <w:sz w:val="32"/>
                <w:highlight w:val="none"/>
              </w:rPr>
              <w:t>副本</w:t>
            </w:r>
          </w:p>
          <w:p w14:paraId="0B5EB07D">
            <w:pPr>
              <w:pStyle w:val="13"/>
              <w:spacing w:line="400" w:lineRule="exact"/>
              <w:rPr>
                <w:rFonts w:ascii="宋体" w:hAnsi="宋体"/>
                <w:b/>
                <w:color w:val="auto"/>
                <w:sz w:val="52"/>
                <w:szCs w:val="52"/>
                <w:highlight w:val="none"/>
              </w:rPr>
            </w:pPr>
          </w:p>
          <w:p w14:paraId="5AA215AE">
            <w:pPr>
              <w:pStyle w:val="13"/>
              <w:spacing w:line="400" w:lineRule="exact"/>
              <w:rPr>
                <w:rFonts w:ascii="宋体" w:hAnsi="宋体"/>
                <w:b/>
                <w:color w:val="auto"/>
                <w:sz w:val="28"/>
                <w:szCs w:val="28"/>
                <w:highlight w:val="none"/>
              </w:rPr>
            </w:pPr>
          </w:p>
          <w:p w14:paraId="3004936B">
            <w:pPr>
              <w:pStyle w:val="13"/>
              <w:spacing w:line="400" w:lineRule="exact"/>
              <w:rPr>
                <w:rFonts w:ascii="宋体" w:hAnsi="宋体"/>
                <w:b/>
                <w:color w:val="auto"/>
                <w:sz w:val="28"/>
                <w:szCs w:val="28"/>
                <w:highlight w:val="none"/>
              </w:rPr>
            </w:pPr>
          </w:p>
          <w:p w14:paraId="30F0B7C3">
            <w:pPr>
              <w:pStyle w:val="13"/>
              <w:spacing w:line="400" w:lineRule="exact"/>
              <w:rPr>
                <w:rFonts w:ascii="宋体" w:hAnsi="宋体"/>
                <w:b/>
                <w:color w:val="auto"/>
                <w:sz w:val="28"/>
                <w:szCs w:val="28"/>
                <w:highlight w:val="none"/>
              </w:rPr>
            </w:pPr>
          </w:p>
          <w:p w14:paraId="7172B1DC">
            <w:pPr>
              <w:pStyle w:val="13"/>
              <w:rPr>
                <w:rFonts w:ascii="宋体" w:hAnsi="宋体"/>
                <w:b/>
                <w:color w:val="auto"/>
                <w:sz w:val="28"/>
                <w:szCs w:val="28"/>
                <w:highlight w:val="none"/>
              </w:rPr>
            </w:pPr>
            <w:r>
              <w:rPr>
                <w:rFonts w:hint="eastAsia" w:ascii="宋体" w:hAnsi="宋体"/>
                <w:b/>
                <w:color w:val="auto"/>
                <w:sz w:val="28"/>
                <w:szCs w:val="28"/>
                <w:highlight w:val="none"/>
              </w:rPr>
              <w:t>供应商名称：（盖单位章）</w:t>
            </w:r>
          </w:p>
          <w:p w14:paraId="1FE2A585">
            <w:pPr>
              <w:pStyle w:val="13"/>
              <w:rPr>
                <w:rFonts w:ascii="宋体" w:hAnsi="宋体"/>
                <w:b/>
                <w:color w:val="auto"/>
                <w:sz w:val="28"/>
                <w:szCs w:val="28"/>
                <w:highlight w:val="none"/>
              </w:rPr>
            </w:pPr>
            <w:r>
              <w:rPr>
                <w:rFonts w:hint="eastAsia" w:ascii="宋体" w:hAnsi="宋体"/>
                <w:b/>
                <w:color w:val="auto"/>
                <w:sz w:val="28"/>
                <w:szCs w:val="28"/>
                <w:highlight w:val="none"/>
              </w:rPr>
              <w:t>供应商地址：</w:t>
            </w:r>
          </w:p>
          <w:p w14:paraId="60B5450C">
            <w:pPr>
              <w:pStyle w:val="13"/>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收件人名称：</w:t>
            </w:r>
            <w:r>
              <w:rPr>
                <w:rFonts w:hint="eastAsia" w:ascii="宋体" w:hAnsi="宋体"/>
                <w:b/>
                <w:color w:val="auto"/>
                <w:sz w:val="28"/>
                <w:szCs w:val="28"/>
                <w:highlight w:val="none"/>
                <w:lang w:eastAsia="zh-CN"/>
              </w:rPr>
              <w:t>广州中天项目管理咨询有限公司</w:t>
            </w:r>
          </w:p>
          <w:p w14:paraId="0B07DA82">
            <w:pPr>
              <w:pStyle w:val="13"/>
              <w:rPr>
                <w:rFonts w:ascii="宋体" w:hAnsi="宋体"/>
                <w:b/>
                <w:color w:val="auto"/>
                <w:sz w:val="28"/>
                <w:szCs w:val="28"/>
                <w:highlight w:val="none"/>
                <w:lang w:val="en-US"/>
              </w:rPr>
            </w:pPr>
            <w:r>
              <w:rPr>
                <w:rFonts w:hint="eastAsia" w:ascii="宋体" w:hAnsi="宋体"/>
                <w:b/>
                <w:color w:val="auto"/>
                <w:sz w:val="28"/>
                <w:szCs w:val="28"/>
                <w:highlight w:val="none"/>
                <w:lang w:val="en-US"/>
              </w:rPr>
              <w:t>日期：  年  月  日</w:t>
            </w:r>
          </w:p>
          <w:p w14:paraId="5C68D1B4">
            <w:pPr>
              <w:pStyle w:val="13"/>
              <w:rPr>
                <w:rFonts w:ascii="宋体" w:hAnsi="宋体"/>
                <w:b/>
                <w:color w:val="auto"/>
                <w:kern w:val="0"/>
                <w:sz w:val="28"/>
                <w:szCs w:val="28"/>
                <w:highlight w:val="none"/>
              </w:rPr>
            </w:pPr>
            <w:r>
              <w:rPr>
                <w:rFonts w:hint="eastAsia" w:ascii="宋体" w:hAnsi="宋体"/>
                <w:b/>
                <w:color w:val="auto"/>
                <w:sz w:val="28"/>
                <w:szCs w:val="28"/>
                <w:highlight w:val="none"/>
              </w:rPr>
              <w:t>（在规定的截止时间之前不得启封）</w:t>
            </w:r>
          </w:p>
        </w:tc>
      </w:tr>
    </w:tbl>
    <w:p w14:paraId="2F63FB06">
      <w:pPr>
        <w:rPr>
          <w:rFonts w:ascii="宋体" w:hAnsi="宋体"/>
          <w:color w:val="auto"/>
          <w:highlight w:val="none"/>
        </w:rPr>
      </w:pPr>
      <w:r>
        <w:rPr>
          <w:rFonts w:ascii="宋体" w:hAnsi="宋体"/>
          <w:color w:val="auto"/>
          <w:highlight w:val="none"/>
        </w:rPr>
        <w:br w:type="page"/>
      </w:r>
    </w:p>
    <w:p w14:paraId="51A89606">
      <w:pPr>
        <w:tabs>
          <w:tab w:val="left" w:pos="720"/>
        </w:tabs>
        <w:snapToGrid w:val="0"/>
        <w:spacing w:line="360" w:lineRule="auto"/>
        <w:ind w:left="425"/>
        <w:jc w:val="center"/>
        <w:rPr>
          <w:rFonts w:ascii="宋体" w:hAnsi="宋体"/>
          <w:b/>
          <w:color w:val="auto"/>
          <w:highlight w:val="none"/>
        </w:rPr>
      </w:pPr>
      <w:r>
        <w:rPr>
          <w:rFonts w:hint="eastAsia" w:ascii="宋体" w:hAnsi="宋体"/>
          <w:b/>
          <w:color w:val="auto"/>
          <w:highlight w:val="none"/>
        </w:rPr>
        <w:t>响应文件封面格式参考</w:t>
      </w:r>
    </w:p>
    <w:p w14:paraId="722A8B1C">
      <w:pPr>
        <w:framePr w:hSpace="180" w:wrap="around" w:vAnchor="text" w:hAnchor="margin" w:y="11"/>
        <w:rPr>
          <w:rFonts w:ascii="宋体" w:hAnsi="宋体"/>
          <w:b/>
          <w:color w:val="auto"/>
          <w:sz w:val="28"/>
          <w:szCs w:val="28"/>
          <w:highlight w:val="none"/>
        </w:rPr>
      </w:pPr>
    </w:p>
    <w:p w14:paraId="14B17911">
      <w:pPr>
        <w:framePr w:hSpace="180" w:wrap="around" w:vAnchor="text" w:hAnchor="margin" w:y="11"/>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项目编号：</w:t>
      </w:r>
      <w:r>
        <w:rPr>
          <w:rFonts w:hint="eastAsia" w:ascii="宋体" w:hAnsi="宋体"/>
          <w:b/>
          <w:bCs/>
          <w:color w:val="auto"/>
          <w:sz w:val="28"/>
          <w:szCs w:val="28"/>
          <w:highlight w:val="none"/>
          <w:lang w:eastAsia="zh-CN"/>
        </w:rPr>
        <w:t> GZZT2024CSCG-024</w:t>
      </w:r>
    </w:p>
    <w:p w14:paraId="034FBA6D">
      <w:pPr>
        <w:pStyle w:val="13"/>
        <w:framePr w:hSpace="180" w:wrap="around" w:vAnchor="text" w:hAnchor="margin" w:y="11"/>
        <w:spacing w:line="40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项目名称：</w:t>
      </w:r>
      <w:r>
        <w:rPr>
          <w:rFonts w:hint="eastAsia" w:ascii="宋体" w:hAnsi="宋体"/>
          <w:b/>
          <w:bCs/>
          <w:color w:val="auto"/>
          <w:sz w:val="28"/>
          <w:szCs w:val="28"/>
          <w:highlight w:val="none"/>
          <w:lang w:val="en-US" w:eastAsia="zh-CN"/>
        </w:rPr>
        <w:t>2025年万顷沙镇生活垃圾分类督导服务项目</w:t>
      </w:r>
    </w:p>
    <w:p w14:paraId="410CE248">
      <w:pPr>
        <w:pStyle w:val="13"/>
        <w:framePr w:hSpace="180" w:wrap="around" w:vAnchor="text" w:hAnchor="margin" w:y="11"/>
        <w:spacing w:line="400" w:lineRule="exact"/>
        <w:ind w:firstLine="896" w:firstLineChars="320"/>
        <w:rPr>
          <w:rFonts w:ascii="宋体" w:hAnsi="宋体"/>
          <w:b/>
          <w:color w:val="auto"/>
          <w:sz w:val="28"/>
          <w:szCs w:val="28"/>
          <w:highlight w:val="none"/>
          <w:u w:val="single"/>
        </w:rPr>
      </w:pPr>
    </w:p>
    <w:p w14:paraId="27530598">
      <w:pPr>
        <w:pStyle w:val="13"/>
        <w:framePr w:hSpace="180" w:wrap="around" w:vAnchor="text" w:hAnchor="margin" w:y="11"/>
        <w:spacing w:line="360" w:lineRule="auto"/>
        <w:ind w:firstLine="480" w:firstLineChars="150"/>
        <w:rPr>
          <w:rFonts w:ascii="宋体" w:hAnsi="宋体"/>
          <w:b/>
          <w:color w:val="auto"/>
          <w:sz w:val="32"/>
          <w:highlight w:val="none"/>
        </w:rPr>
      </w:pPr>
    </w:p>
    <w:p w14:paraId="3BB60E36">
      <w:pPr>
        <w:pStyle w:val="13"/>
        <w:framePr w:hSpace="180" w:wrap="around" w:vAnchor="text" w:hAnchor="margin" w:y="11"/>
        <w:spacing w:line="360" w:lineRule="auto"/>
        <w:rPr>
          <w:rFonts w:ascii="宋体" w:hAnsi="宋体"/>
          <w:b/>
          <w:color w:val="auto"/>
          <w:sz w:val="32"/>
          <w:highlight w:val="none"/>
        </w:rPr>
      </w:pPr>
    </w:p>
    <w:p w14:paraId="7B1EF3B9">
      <w:pPr>
        <w:pStyle w:val="13"/>
        <w:framePr w:hSpace="180" w:wrap="around" w:vAnchor="text" w:hAnchor="margin" w:y="11"/>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响 应 文 件</w:t>
      </w:r>
    </w:p>
    <w:p w14:paraId="49221EC1">
      <w:pPr>
        <w:pStyle w:val="13"/>
        <w:framePr w:hSpace="180" w:wrap="around" w:vAnchor="text" w:hAnchor="margin" w:y="11"/>
        <w:spacing w:line="360" w:lineRule="auto"/>
        <w:ind w:firstLine="3385" w:firstLineChars="651"/>
        <w:rPr>
          <w:rFonts w:ascii="宋体" w:hAnsi="宋体"/>
          <w:b/>
          <w:color w:val="auto"/>
          <w:sz w:val="32"/>
          <w:highlight w:val="none"/>
        </w:rPr>
      </w:pPr>
      <w:r>
        <w:rPr>
          <w:rFonts w:hint="eastAsia" w:ascii="宋体" w:hAnsi="宋体"/>
          <w:b/>
          <w:color w:val="auto"/>
          <w:sz w:val="52"/>
          <w:szCs w:val="52"/>
          <w:highlight w:val="none"/>
        </w:rPr>
        <w:t xml:space="preserve">口 </w:t>
      </w:r>
      <w:r>
        <w:rPr>
          <w:rFonts w:hint="eastAsia" w:ascii="宋体" w:hAnsi="宋体"/>
          <w:b/>
          <w:color w:val="auto"/>
          <w:sz w:val="32"/>
          <w:highlight w:val="none"/>
        </w:rPr>
        <w:t>正本</w:t>
      </w:r>
    </w:p>
    <w:p w14:paraId="756909CD">
      <w:pPr>
        <w:pStyle w:val="13"/>
        <w:framePr w:hSpace="180" w:wrap="around" w:vAnchor="text" w:hAnchor="margin" w:y="11"/>
        <w:spacing w:line="360" w:lineRule="auto"/>
        <w:ind w:firstLine="3385" w:firstLineChars="651"/>
        <w:rPr>
          <w:rFonts w:ascii="宋体" w:hAnsi="宋体"/>
          <w:b/>
          <w:color w:val="auto"/>
          <w:sz w:val="32"/>
          <w:highlight w:val="none"/>
        </w:rPr>
      </w:pPr>
      <w:r>
        <w:rPr>
          <w:rFonts w:hint="eastAsia" w:ascii="宋体" w:hAnsi="宋体"/>
          <w:b/>
          <w:color w:val="auto"/>
          <w:sz w:val="52"/>
          <w:szCs w:val="52"/>
          <w:highlight w:val="none"/>
        </w:rPr>
        <w:t xml:space="preserve">口 </w:t>
      </w:r>
      <w:r>
        <w:rPr>
          <w:rFonts w:hint="eastAsia" w:ascii="宋体" w:hAnsi="宋体"/>
          <w:b/>
          <w:color w:val="auto"/>
          <w:sz w:val="32"/>
          <w:highlight w:val="none"/>
        </w:rPr>
        <w:t>副本</w:t>
      </w:r>
    </w:p>
    <w:p w14:paraId="53539A4A">
      <w:pPr>
        <w:pStyle w:val="13"/>
        <w:framePr w:hSpace="180" w:wrap="around" w:vAnchor="text" w:hAnchor="margin" w:y="11"/>
        <w:spacing w:line="400" w:lineRule="exact"/>
        <w:ind w:firstLine="1120" w:firstLineChars="400"/>
        <w:rPr>
          <w:rFonts w:ascii="宋体" w:hAnsi="宋体"/>
          <w:b/>
          <w:color w:val="auto"/>
          <w:sz w:val="28"/>
          <w:szCs w:val="28"/>
          <w:highlight w:val="none"/>
        </w:rPr>
      </w:pPr>
    </w:p>
    <w:p w14:paraId="77257ABC">
      <w:pPr>
        <w:pStyle w:val="13"/>
        <w:framePr w:hSpace="180" w:wrap="around" w:vAnchor="text" w:hAnchor="margin" w:y="11"/>
        <w:spacing w:line="400" w:lineRule="exact"/>
        <w:ind w:firstLine="1120" w:firstLineChars="400"/>
        <w:rPr>
          <w:rFonts w:ascii="宋体" w:hAnsi="宋体"/>
          <w:b/>
          <w:color w:val="auto"/>
          <w:sz w:val="28"/>
          <w:szCs w:val="28"/>
          <w:highlight w:val="none"/>
        </w:rPr>
      </w:pPr>
    </w:p>
    <w:p w14:paraId="50D5CA4A">
      <w:pPr>
        <w:pStyle w:val="13"/>
        <w:framePr w:hSpace="180" w:wrap="around" w:vAnchor="text" w:hAnchor="margin" w:y="11"/>
        <w:spacing w:line="400" w:lineRule="exact"/>
        <w:ind w:firstLine="1120" w:firstLineChars="400"/>
        <w:rPr>
          <w:rFonts w:ascii="宋体" w:hAnsi="宋体"/>
          <w:b/>
          <w:color w:val="auto"/>
          <w:sz w:val="28"/>
          <w:szCs w:val="28"/>
          <w:highlight w:val="none"/>
        </w:rPr>
      </w:pPr>
    </w:p>
    <w:p w14:paraId="2AEE4FA1">
      <w:pPr>
        <w:pStyle w:val="13"/>
        <w:framePr w:hSpace="180" w:wrap="around" w:vAnchor="text" w:hAnchor="margin" w:y="11"/>
        <w:ind w:firstLine="1120" w:firstLineChars="400"/>
        <w:rPr>
          <w:rFonts w:ascii="宋体" w:hAnsi="宋体"/>
          <w:b/>
          <w:color w:val="auto"/>
          <w:sz w:val="28"/>
          <w:szCs w:val="28"/>
          <w:highlight w:val="none"/>
        </w:rPr>
      </w:pPr>
      <w:r>
        <w:rPr>
          <w:rFonts w:hint="eastAsia" w:ascii="宋体" w:hAnsi="宋体"/>
          <w:b/>
          <w:color w:val="auto"/>
          <w:sz w:val="28"/>
          <w:szCs w:val="28"/>
          <w:highlight w:val="none"/>
        </w:rPr>
        <w:t>供应商名称：（盖单位章）</w:t>
      </w:r>
    </w:p>
    <w:p w14:paraId="5A5FFB4C">
      <w:pPr>
        <w:pStyle w:val="13"/>
        <w:framePr w:hSpace="180" w:wrap="around" w:vAnchor="text" w:hAnchor="margin" w:y="11"/>
        <w:ind w:firstLine="1120" w:firstLineChars="400"/>
        <w:rPr>
          <w:rFonts w:ascii="宋体" w:hAnsi="宋体"/>
          <w:b/>
          <w:color w:val="auto"/>
          <w:sz w:val="28"/>
          <w:szCs w:val="28"/>
          <w:highlight w:val="none"/>
        </w:rPr>
      </w:pPr>
      <w:r>
        <w:rPr>
          <w:rFonts w:hint="eastAsia" w:ascii="宋体" w:hAnsi="宋体"/>
          <w:b/>
          <w:color w:val="auto"/>
          <w:sz w:val="28"/>
          <w:szCs w:val="28"/>
          <w:highlight w:val="none"/>
        </w:rPr>
        <w:t>供应商地址：</w:t>
      </w:r>
    </w:p>
    <w:p w14:paraId="26449338">
      <w:pPr>
        <w:pStyle w:val="13"/>
        <w:framePr w:hSpace="180" w:wrap="around" w:vAnchor="text" w:hAnchor="margin" w:y="11"/>
        <w:ind w:firstLine="1120" w:firstLineChars="400"/>
        <w:rPr>
          <w:rFonts w:ascii="宋体" w:hAnsi="宋体"/>
          <w:b/>
          <w:color w:val="auto"/>
          <w:sz w:val="28"/>
          <w:szCs w:val="28"/>
          <w:highlight w:val="none"/>
          <w:lang w:val="en-US"/>
        </w:rPr>
      </w:pPr>
      <w:r>
        <w:rPr>
          <w:rFonts w:hint="eastAsia" w:ascii="宋体" w:hAnsi="宋体"/>
          <w:b/>
          <w:color w:val="auto"/>
          <w:sz w:val="28"/>
          <w:szCs w:val="28"/>
          <w:highlight w:val="none"/>
          <w:lang w:val="en-US"/>
        </w:rPr>
        <w:t>日期：  年  月  日</w:t>
      </w:r>
    </w:p>
    <w:p w14:paraId="49A38A3A">
      <w:pPr>
        <w:pStyle w:val="13"/>
        <w:framePr w:hSpace="180" w:wrap="around" w:vAnchor="text" w:hAnchor="margin" w:y="11"/>
        <w:ind w:firstLine="1120" w:firstLineChars="400"/>
        <w:rPr>
          <w:rFonts w:ascii="宋体" w:hAnsi="宋体"/>
          <w:b/>
          <w:color w:val="auto"/>
          <w:sz w:val="28"/>
          <w:szCs w:val="28"/>
          <w:highlight w:val="none"/>
        </w:rPr>
      </w:pPr>
    </w:p>
    <w:p w14:paraId="63E1882C">
      <w:pPr>
        <w:rPr>
          <w:rFonts w:ascii="宋体" w:hAnsi="宋体"/>
          <w:color w:val="auto"/>
          <w:highlight w:val="none"/>
        </w:rPr>
      </w:pPr>
    </w:p>
    <w:p w14:paraId="3A29885B">
      <w:pPr>
        <w:rPr>
          <w:rFonts w:ascii="宋体" w:hAnsi="宋体"/>
          <w:color w:val="auto"/>
          <w:highlight w:val="none"/>
        </w:rPr>
      </w:pPr>
    </w:p>
    <w:p w14:paraId="39D8567F">
      <w:pPr>
        <w:pStyle w:val="3"/>
        <w:keepNext w:val="0"/>
        <w:keepLines w:val="0"/>
        <w:widowControl/>
        <w:spacing w:before="188" w:after="188" w:line="400" w:lineRule="exact"/>
        <w:jc w:val="center"/>
        <w:rPr>
          <w:rFonts w:hAnsi="宋体"/>
          <w:bCs/>
          <w:color w:val="auto"/>
          <w:highlight w:val="none"/>
        </w:rPr>
      </w:pPr>
      <w:r>
        <w:rPr>
          <w:rFonts w:hAnsi="宋体"/>
          <w:bCs/>
          <w:color w:val="auto"/>
          <w:highlight w:val="none"/>
        </w:rPr>
        <w:br w:type="page"/>
      </w:r>
      <w:bookmarkStart w:id="174" w:name="_Toc30023"/>
      <w:bookmarkStart w:id="175" w:name="_Toc67046889"/>
      <w:r>
        <w:rPr>
          <w:rFonts w:hint="eastAsia" w:hAnsi="宋体"/>
          <w:bCs/>
          <w:color w:val="auto"/>
          <w:highlight w:val="none"/>
        </w:rPr>
        <w:t>第一章</w:t>
      </w:r>
      <w:bookmarkStart w:id="176" w:name="_Toc368513820"/>
      <w:r>
        <w:rPr>
          <w:rFonts w:hint="eastAsia" w:hAnsi="宋体"/>
          <w:bCs/>
          <w:color w:val="auto"/>
          <w:highlight w:val="none"/>
        </w:rPr>
        <w:t xml:space="preserve"> 目录</w:t>
      </w:r>
      <w:bookmarkEnd w:id="160"/>
      <w:bookmarkEnd w:id="174"/>
      <w:bookmarkEnd w:id="175"/>
      <w:bookmarkEnd w:id="176"/>
    </w:p>
    <w:tbl>
      <w:tblPr>
        <w:tblStyle w:val="3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3"/>
        <w:gridCol w:w="670"/>
        <w:gridCol w:w="4790"/>
        <w:gridCol w:w="976"/>
        <w:gridCol w:w="1339"/>
      </w:tblGrid>
      <w:tr w14:paraId="47663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783" w:type="pct"/>
            <w:tcBorders>
              <w:right w:val="single" w:color="auto" w:sz="4" w:space="0"/>
            </w:tcBorders>
            <w:vAlign w:val="center"/>
          </w:tcPr>
          <w:p w14:paraId="22BC2ECA">
            <w:pPr>
              <w:widowControl/>
              <w:jc w:val="center"/>
              <w:rPr>
                <w:rFonts w:ascii="宋体" w:hAnsi="宋体"/>
                <w:b/>
                <w:bCs/>
                <w:color w:val="auto"/>
                <w:highlight w:val="none"/>
              </w:rPr>
            </w:pPr>
            <w:r>
              <w:rPr>
                <w:rFonts w:hint="eastAsia" w:ascii="宋体" w:hAnsi="宋体"/>
                <w:b/>
                <w:bCs/>
                <w:color w:val="auto"/>
                <w:highlight w:val="none"/>
              </w:rPr>
              <w:t>类型名称</w:t>
            </w:r>
          </w:p>
        </w:tc>
        <w:tc>
          <w:tcPr>
            <w:tcW w:w="363" w:type="pct"/>
            <w:tcBorders>
              <w:left w:val="single" w:color="auto" w:sz="4" w:space="0"/>
            </w:tcBorders>
            <w:vAlign w:val="center"/>
          </w:tcPr>
          <w:p w14:paraId="0D46CE0B">
            <w:pPr>
              <w:widowControl/>
              <w:jc w:val="center"/>
              <w:rPr>
                <w:rFonts w:ascii="宋体" w:hAnsi="宋体"/>
                <w:b/>
                <w:bCs/>
                <w:color w:val="auto"/>
                <w:highlight w:val="none"/>
              </w:rPr>
            </w:pPr>
            <w:r>
              <w:rPr>
                <w:rFonts w:hint="eastAsia" w:ascii="宋体" w:hAnsi="宋体"/>
                <w:b/>
                <w:bCs/>
                <w:color w:val="auto"/>
                <w:highlight w:val="none"/>
              </w:rPr>
              <w:t>序号</w:t>
            </w:r>
          </w:p>
        </w:tc>
        <w:tc>
          <w:tcPr>
            <w:tcW w:w="2597" w:type="pct"/>
            <w:vAlign w:val="center"/>
          </w:tcPr>
          <w:p w14:paraId="4B14C28F">
            <w:pPr>
              <w:widowControl/>
              <w:jc w:val="center"/>
              <w:rPr>
                <w:rFonts w:ascii="宋体" w:hAnsi="宋体"/>
                <w:b/>
                <w:bCs/>
                <w:color w:val="auto"/>
                <w:highlight w:val="none"/>
              </w:rPr>
            </w:pPr>
            <w:r>
              <w:rPr>
                <w:rFonts w:hint="eastAsia" w:ascii="宋体" w:hAnsi="宋体"/>
                <w:b/>
                <w:bCs/>
                <w:color w:val="auto"/>
                <w:highlight w:val="none"/>
              </w:rPr>
              <w:t>文件名称</w:t>
            </w:r>
          </w:p>
        </w:tc>
        <w:tc>
          <w:tcPr>
            <w:tcW w:w="529" w:type="pct"/>
            <w:tcBorders>
              <w:right w:val="single" w:color="auto" w:sz="4" w:space="0"/>
            </w:tcBorders>
            <w:vAlign w:val="center"/>
          </w:tcPr>
          <w:p w14:paraId="5643A317">
            <w:pPr>
              <w:widowControl/>
              <w:jc w:val="center"/>
              <w:rPr>
                <w:rFonts w:ascii="宋体" w:hAnsi="宋体"/>
                <w:b/>
                <w:bCs/>
                <w:color w:val="auto"/>
                <w:highlight w:val="none"/>
              </w:rPr>
            </w:pPr>
            <w:r>
              <w:rPr>
                <w:rFonts w:hint="eastAsia" w:ascii="宋体" w:hAnsi="宋体"/>
                <w:b/>
                <w:bCs/>
                <w:color w:val="auto"/>
                <w:highlight w:val="none"/>
              </w:rPr>
              <w:t>页码</w:t>
            </w:r>
          </w:p>
        </w:tc>
        <w:tc>
          <w:tcPr>
            <w:tcW w:w="726" w:type="pct"/>
            <w:tcBorders>
              <w:left w:val="single" w:color="auto" w:sz="4" w:space="0"/>
            </w:tcBorders>
            <w:vAlign w:val="center"/>
          </w:tcPr>
          <w:p w14:paraId="42FAD383">
            <w:pPr>
              <w:widowControl/>
              <w:jc w:val="center"/>
              <w:rPr>
                <w:rFonts w:ascii="宋体" w:hAnsi="宋体"/>
                <w:b/>
                <w:bCs/>
                <w:color w:val="auto"/>
                <w:highlight w:val="none"/>
              </w:rPr>
            </w:pPr>
            <w:r>
              <w:rPr>
                <w:rFonts w:hint="eastAsia" w:ascii="宋体" w:hAnsi="宋体"/>
                <w:b/>
                <w:bCs/>
                <w:color w:val="auto"/>
                <w:highlight w:val="none"/>
              </w:rPr>
              <w:t>备注</w:t>
            </w:r>
          </w:p>
        </w:tc>
      </w:tr>
      <w:tr w14:paraId="1A77C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783" w:type="pct"/>
            <w:vMerge w:val="restart"/>
            <w:tcBorders>
              <w:right w:val="single" w:color="auto" w:sz="4" w:space="0"/>
            </w:tcBorders>
            <w:vAlign w:val="center"/>
          </w:tcPr>
          <w:p w14:paraId="33146BB2">
            <w:pPr>
              <w:widowControl/>
              <w:jc w:val="center"/>
              <w:rPr>
                <w:rFonts w:ascii="宋体" w:hAnsi="宋体"/>
                <w:b/>
                <w:bCs/>
                <w:color w:val="auto"/>
                <w:highlight w:val="none"/>
              </w:rPr>
            </w:pPr>
            <w:r>
              <w:rPr>
                <w:rFonts w:hint="eastAsia" w:ascii="宋体" w:hAnsi="宋体"/>
                <w:b/>
                <w:bCs/>
                <w:color w:val="auto"/>
                <w:highlight w:val="none"/>
              </w:rPr>
              <w:t>索引</w:t>
            </w:r>
          </w:p>
        </w:tc>
        <w:tc>
          <w:tcPr>
            <w:tcW w:w="363" w:type="pct"/>
            <w:tcBorders>
              <w:left w:val="single" w:color="auto" w:sz="4" w:space="0"/>
            </w:tcBorders>
            <w:vAlign w:val="center"/>
          </w:tcPr>
          <w:p w14:paraId="376E3218">
            <w:pPr>
              <w:widowControl/>
              <w:numPr>
                <w:ilvl w:val="0"/>
                <w:numId w:val="23"/>
              </w:numPr>
              <w:jc w:val="center"/>
              <w:rPr>
                <w:rFonts w:ascii="宋体" w:hAnsi="宋体"/>
                <w:b/>
                <w:bCs/>
                <w:color w:val="auto"/>
                <w:highlight w:val="none"/>
              </w:rPr>
            </w:pPr>
          </w:p>
        </w:tc>
        <w:tc>
          <w:tcPr>
            <w:tcW w:w="2597" w:type="pct"/>
            <w:vAlign w:val="center"/>
          </w:tcPr>
          <w:p w14:paraId="02EDBB7A">
            <w:pPr>
              <w:widowControl/>
              <w:rPr>
                <w:rFonts w:ascii="宋体" w:hAnsi="宋体"/>
                <w:b/>
                <w:bCs/>
                <w:color w:val="auto"/>
                <w:szCs w:val="21"/>
                <w:highlight w:val="none"/>
              </w:rPr>
            </w:pPr>
            <w:r>
              <w:rPr>
                <w:rFonts w:ascii="宋体" w:hAnsi="宋体"/>
                <w:b/>
                <w:bCs/>
                <w:color w:val="auto"/>
                <w:szCs w:val="21"/>
                <w:highlight w:val="none"/>
              </w:rPr>
              <w:t>资格性</w:t>
            </w:r>
            <w:r>
              <w:rPr>
                <w:rFonts w:hint="eastAsia" w:ascii="宋体" w:hAnsi="宋体"/>
                <w:b/>
                <w:bCs/>
                <w:color w:val="auto"/>
                <w:szCs w:val="21"/>
                <w:highlight w:val="none"/>
              </w:rPr>
              <w:t>、</w:t>
            </w:r>
            <w:r>
              <w:rPr>
                <w:rFonts w:ascii="宋体" w:hAnsi="宋体"/>
                <w:b/>
                <w:bCs/>
                <w:color w:val="auto"/>
                <w:szCs w:val="21"/>
                <w:highlight w:val="none"/>
              </w:rPr>
              <w:t>符合性</w:t>
            </w:r>
            <w:r>
              <w:rPr>
                <w:rFonts w:hint="eastAsia" w:ascii="宋体" w:hAnsi="宋体"/>
                <w:b/>
                <w:bCs/>
                <w:color w:val="auto"/>
                <w:szCs w:val="21"/>
                <w:highlight w:val="none"/>
              </w:rPr>
              <w:t>审查</w:t>
            </w:r>
            <w:r>
              <w:rPr>
                <w:rFonts w:ascii="宋体" w:hAnsi="宋体"/>
                <w:b/>
                <w:bCs/>
                <w:color w:val="auto"/>
                <w:szCs w:val="21"/>
                <w:highlight w:val="none"/>
              </w:rPr>
              <w:t>自查表</w:t>
            </w:r>
          </w:p>
        </w:tc>
        <w:tc>
          <w:tcPr>
            <w:tcW w:w="529" w:type="pct"/>
            <w:tcBorders>
              <w:right w:val="single" w:color="auto" w:sz="4" w:space="0"/>
            </w:tcBorders>
            <w:vAlign w:val="center"/>
          </w:tcPr>
          <w:p w14:paraId="447B0367">
            <w:pPr>
              <w:widowControl/>
              <w:jc w:val="center"/>
              <w:rPr>
                <w:rFonts w:ascii="宋体" w:hAnsi="宋体"/>
                <w:b/>
                <w:bCs/>
                <w:color w:val="auto"/>
                <w:highlight w:val="none"/>
              </w:rPr>
            </w:pPr>
          </w:p>
        </w:tc>
        <w:tc>
          <w:tcPr>
            <w:tcW w:w="726" w:type="pct"/>
            <w:tcBorders>
              <w:left w:val="single" w:color="auto" w:sz="4" w:space="0"/>
            </w:tcBorders>
            <w:vAlign w:val="center"/>
          </w:tcPr>
          <w:p w14:paraId="1BB8287A">
            <w:pPr>
              <w:widowControl/>
              <w:jc w:val="center"/>
              <w:rPr>
                <w:rFonts w:ascii="宋体" w:hAnsi="宋体"/>
                <w:b/>
                <w:bCs/>
                <w:color w:val="auto"/>
                <w:highlight w:val="none"/>
              </w:rPr>
            </w:pPr>
          </w:p>
        </w:tc>
      </w:tr>
      <w:tr w14:paraId="0C490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783" w:type="pct"/>
            <w:vMerge w:val="continue"/>
            <w:tcBorders>
              <w:right w:val="single" w:color="auto" w:sz="4" w:space="0"/>
            </w:tcBorders>
            <w:vAlign w:val="center"/>
          </w:tcPr>
          <w:p w14:paraId="5C3FA18C">
            <w:pPr>
              <w:widowControl/>
              <w:jc w:val="center"/>
              <w:rPr>
                <w:rFonts w:ascii="宋体" w:hAnsi="宋体"/>
                <w:b/>
                <w:bCs/>
                <w:color w:val="auto"/>
                <w:highlight w:val="none"/>
              </w:rPr>
            </w:pPr>
          </w:p>
        </w:tc>
        <w:tc>
          <w:tcPr>
            <w:tcW w:w="363" w:type="pct"/>
            <w:tcBorders>
              <w:left w:val="single" w:color="auto" w:sz="4" w:space="0"/>
            </w:tcBorders>
            <w:vAlign w:val="center"/>
          </w:tcPr>
          <w:p w14:paraId="4FDEFB21">
            <w:pPr>
              <w:widowControl/>
              <w:numPr>
                <w:ilvl w:val="0"/>
                <w:numId w:val="23"/>
              </w:numPr>
              <w:jc w:val="center"/>
              <w:rPr>
                <w:rFonts w:ascii="宋体" w:hAnsi="宋体"/>
                <w:b/>
                <w:bCs/>
                <w:color w:val="auto"/>
                <w:highlight w:val="none"/>
              </w:rPr>
            </w:pPr>
          </w:p>
        </w:tc>
        <w:tc>
          <w:tcPr>
            <w:tcW w:w="2597" w:type="pct"/>
            <w:vAlign w:val="center"/>
          </w:tcPr>
          <w:p w14:paraId="2CF21FDF">
            <w:pPr>
              <w:widowControl/>
              <w:rPr>
                <w:rFonts w:ascii="宋体" w:hAnsi="宋体"/>
                <w:b/>
                <w:bCs/>
                <w:color w:val="auto"/>
                <w:highlight w:val="none"/>
              </w:rPr>
            </w:pPr>
            <w:r>
              <w:rPr>
                <w:rFonts w:ascii="宋体" w:hAnsi="宋体"/>
                <w:b/>
                <w:bCs/>
                <w:color w:val="auto"/>
                <w:szCs w:val="21"/>
                <w:highlight w:val="none"/>
              </w:rPr>
              <w:t>评审</w:t>
            </w:r>
            <w:r>
              <w:rPr>
                <w:rFonts w:hint="eastAsia" w:ascii="宋体" w:hAnsi="宋体"/>
                <w:b/>
                <w:bCs/>
                <w:color w:val="auto"/>
                <w:szCs w:val="21"/>
                <w:highlight w:val="none"/>
              </w:rPr>
              <w:t>要素响应</w:t>
            </w:r>
            <w:r>
              <w:rPr>
                <w:rFonts w:ascii="宋体" w:hAnsi="宋体"/>
                <w:b/>
                <w:bCs/>
                <w:color w:val="auto"/>
                <w:szCs w:val="21"/>
                <w:highlight w:val="none"/>
              </w:rPr>
              <w:t>资料</w:t>
            </w:r>
            <w:r>
              <w:rPr>
                <w:rFonts w:hint="eastAsia" w:ascii="宋体" w:hAnsi="宋体"/>
                <w:b/>
                <w:bCs/>
                <w:color w:val="auto"/>
                <w:szCs w:val="21"/>
                <w:highlight w:val="none"/>
              </w:rPr>
              <w:t>表</w:t>
            </w:r>
          </w:p>
        </w:tc>
        <w:tc>
          <w:tcPr>
            <w:tcW w:w="529" w:type="pct"/>
            <w:tcBorders>
              <w:right w:val="single" w:color="auto" w:sz="4" w:space="0"/>
            </w:tcBorders>
            <w:vAlign w:val="center"/>
          </w:tcPr>
          <w:p w14:paraId="79D4C17C">
            <w:pPr>
              <w:widowControl/>
              <w:jc w:val="center"/>
              <w:rPr>
                <w:rFonts w:ascii="宋体" w:hAnsi="宋体"/>
                <w:b/>
                <w:bCs/>
                <w:color w:val="auto"/>
                <w:highlight w:val="none"/>
              </w:rPr>
            </w:pPr>
          </w:p>
        </w:tc>
        <w:tc>
          <w:tcPr>
            <w:tcW w:w="726" w:type="pct"/>
            <w:tcBorders>
              <w:left w:val="single" w:color="auto" w:sz="4" w:space="0"/>
            </w:tcBorders>
            <w:vAlign w:val="center"/>
          </w:tcPr>
          <w:p w14:paraId="541AAD4B">
            <w:pPr>
              <w:widowControl/>
              <w:jc w:val="center"/>
              <w:rPr>
                <w:rFonts w:ascii="宋体" w:hAnsi="宋体"/>
                <w:b/>
                <w:bCs/>
                <w:color w:val="auto"/>
                <w:highlight w:val="none"/>
              </w:rPr>
            </w:pPr>
          </w:p>
        </w:tc>
      </w:tr>
      <w:tr w14:paraId="3F92C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restart"/>
            <w:tcBorders>
              <w:right w:val="single" w:color="auto" w:sz="4" w:space="0"/>
            </w:tcBorders>
            <w:vAlign w:val="center"/>
          </w:tcPr>
          <w:p w14:paraId="64DCF398">
            <w:pPr>
              <w:widowControl/>
              <w:jc w:val="center"/>
              <w:rPr>
                <w:rFonts w:ascii="宋体" w:hAnsi="宋体"/>
                <w:b/>
                <w:bCs/>
                <w:color w:val="auto"/>
                <w:highlight w:val="none"/>
              </w:rPr>
            </w:pPr>
            <w:r>
              <w:rPr>
                <w:rFonts w:hint="eastAsia" w:ascii="宋体" w:hAnsi="宋体"/>
                <w:b/>
                <w:bCs/>
                <w:color w:val="auto"/>
                <w:highlight w:val="none"/>
              </w:rPr>
              <w:t>资格审查文件</w:t>
            </w:r>
          </w:p>
        </w:tc>
        <w:tc>
          <w:tcPr>
            <w:tcW w:w="363" w:type="pct"/>
            <w:tcBorders>
              <w:left w:val="single" w:color="auto" w:sz="4" w:space="0"/>
            </w:tcBorders>
            <w:vAlign w:val="center"/>
          </w:tcPr>
          <w:p w14:paraId="6146299A">
            <w:pPr>
              <w:widowControl/>
              <w:numPr>
                <w:ilvl w:val="0"/>
                <w:numId w:val="24"/>
              </w:numPr>
              <w:jc w:val="center"/>
              <w:rPr>
                <w:rFonts w:ascii="宋体" w:hAnsi="宋体"/>
                <w:b/>
                <w:bCs/>
                <w:color w:val="auto"/>
                <w:highlight w:val="none"/>
              </w:rPr>
            </w:pPr>
          </w:p>
        </w:tc>
        <w:tc>
          <w:tcPr>
            <w:tcW w:w="2597" w:type="pct"/>
            <w:vAlign w:val="center"/>
          </w:tcPr>
          <w:p w14:paraId="239D235F">
            <w:pPr>
              <w:widowControl/>
              <w:spacing w:line="300" w:lineRule="exact"/>
              <w:rPr>
                <w:rFonts w:ascii="宋体" w:hAnsi="宋体"/>
                <w:b/>
                <w:bCs/>
                <w:color w:val="auto"/>
                <w:szCs w:val="21"/>
                <w:highlight w:val="none"/>
              </w:rPr>
            </w:pPr>
          </w:p>
        </w:tc>
        <w:tc>
          <w:tcPr>
            <w:tcW w:w="529" w:type="pct"/>
            <w:tcBorders>
              <w:right w:val="single" w:color="auto" w:sz="4" w:space="0"/>
            </w:tcBorders>
            <w:vAlign w:val="center"/>
          </w:tcPr>
          <w:p w14:paraId="480996CE">
            <w:pPr>
              <w:widowControl/>
              <w:jc w:val="center"/>
              <w:rPr>
                <w:rFonts w:ascii="宋体" w:hAnsi="宋体"/>
                <w:b/>
                <w:bCs/>
                <w:color w:val="auto"/>
                <w:highlight w:val="none"/>
              </w:rPr>
            </w:pPr>
          </w:p>
        </w:tc>
        <w:tc>
          <w:tcPr>
            <w:tcW w:w="726" w:type="pct"/>
            <w:tcBorders>
              <w:left w:val="single" w:color="auto" w:sz="4" w:space="0"/>
            </w:tcBorders>
            <w:vAlign w:val="center"/>
          </w:tcPr>
          <w:p w14:paraId="209CCF3F">
            <w:pPr>
              <w:widowControl/>
              <w:jc w:val="center"/>
              <w:rPr>
                <w:rFonts w:ascii="宋体" w:hAnsi="宋体"/>
                <w:b/>
                <w:bCs/>
                <w:color w:val="auto"/>
                <w:highlight w:val="none"/>
              </w:rPr>
            </w:pPr>
          </w:p>
        </w:tc>
      </w:tr>
      <w:tr w14:paraId="48ABD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06901BA0">
            <w:pPr>
              <w:widowControl/>
              <w:jc w:val="center"/>
              <w:rPr>
                <w:rFonts w:ascii="宋体" w:hAnsi="宋体"/>
                <w:b/>
                <w:bCs/>
                <w:color w:val="auto"/>
                <w:highlight w:val="none"/>
              </w:rPr>
            </w:pPr>
          </w:p>
        </w:tc>
        <w:tc>
          <w:tcPr>
            <w:tcW w:w="363" w:type="pct"/>
            <w:tcBorders>
              <w:left w:val="single" w:color="auto" w:sz="4" w:space="0"/>
            </w:tcBorders>
            <w:vAlign w:val="center"/>
          </w:tcPr>
          <w:p w14:paraId="1683B841">
            <w:pPr>
              <w:widowControl/>
              <w:numPr>
                <w:ilvl w:val="0"/>
                <w:numId w:val="24"/>
              </w:numPr>
              <w:jc w:val="center"/>
              <w:rPr>
                <w:rFonts w:ascii="宋体" w:hAnsi="宋体"/>
                <w:b/>
                <w:bCs/>
                <w:color w:val="auto"/>
                <w:highlight w:val="none"/>
              </w:rPr>
            </w:pPr>
          </w:p>
        </w:tc>
        <w:tc>
          <w:tcPr>
            <w:tcW w:w="2597" w:type="pct"/>
          </w:tcPr>
          <w:p w14:paraId="20C5DA10">
            <w:pPr>
              <w:tabs>
                <w:tab w:val="left" w:pos="709"/>
              </w:tabs>
              <w:spacing w:line="440" w:lineRule="exact"/>
              <w:rPr>
                <w:rFonts w:ascii="宋体" w:hAnsi="宋体" w:cs="宋体"/>
                <w:color w:val="auto"/>
                <w:szCs w:val="21"/>
                <w:highlight w:val="none"/>
              </w:rPr>
            </w:pPr>
          </w:p>
        </w:tc>
        <w:tc>
          <w:tcPr>
            <w:tcW w:w="529" w:type="pct"/>
            <w:tcBorders>
              <w:right w:val="single" w:color="auto" w:sz="4" w:space="0"/>
            </w:tcBorders>
            <w:vAlign w:val="center"/>
          </w:tcPr>
          <w:p w14:paraId="4CD29723">
            <w:pPr>
              <w:widowControl/>
              <w:jc w:val="center"/>
              <w:rPr>
                <w:rFonts w:ascii="宋体" w:hAnsi="宋体"/>
                <w:b/>
                <w:bCs/>
                <w:color w:val="auto"/>
                <w:highlight w:val="none"/>
              </w:rPr>
            </w:pPr>
          </w:p>
        </w:tc>
        <w:tc>
          <w:tcPr>
            <w:tcW w:w="726" w:type="pct"/>
            <w:tcBorders>
              <w:left w:val="single" w:color="auto" w:sz="4" w:space="0"/>
            </w:tcBorders>
            <w:vAlign w:val="center"/>
          </w:tcPr>
          <w:p w14:paraId="2197F826">
            <w:pPr>
              <w:widowControl/>
              <w:jc w:val="center"/>
              <w:rPr>
                <w:rFonts w:ascii="宋体" w:hAnsi="宋体"/>
                <w:b/>
                <w:bCs/>
                <w:color w:val="auto"/>
                <w:highlight w:val="none"/>
              </w:rPr>
            </w:pPr>
          </w:p>
        </w:tc>
      </w:tr>
      <w:tr w14:paraId="60316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1582690A">
            <w:pPr>
              <w:widowControl/>
              <w:jc w:val="center"/>
              <w:rPr>
                <w:rFonts w:ascii="宋体" w:hAnsi="宋体"/>
                <w:b/>
                <w:bCs/>
                <w:color w:val="auto"/>
                <w:highlight w:val="none"/>
              </w:rPr>
            </w:pPr>
          </w:p>
        </w:tc>
        <w:tc>
          <w:tcPr>
            <w:tcW w:w="363" w:type="pct"/>
            <w:tcBorders>
              <w:left w:val="single" w:color="auto" w:sz="4" w:space="0"/>
            </w:tcBorders>
            <w:vAlign w:val="center"/>
          </w:tcPr>
          <w:p w14:paraId="7EFDFA8B">
            <w:pPr>
              <w:widowControl/>
              <w:numPr>
                <w:ilvl w:val="0"/>
                <w:numId w:val="24"/>
              </w:numPr>
              <w:jc w:val="center"/>
              <w:rPr>
                <w:rFonts w:ascii="宋体" w:hAnsi="宋体"/>
                <w:b/>
                <w:bCs/>
                <w:color w:val="auto"/>
                <w:highlight w:val="none"/>
              </w:rPr>
            </w:pPr>
          </w:p>
        </w:tc>
        <w:tc>
          <w:tcPr>
            <w:tcW w:w="2597" w:type="pct"/>
          </w:tcPr>
          <w:p w14:paraId="4039C790">
            <w:pPr>
              <w:tabs>
                <w:tab w:val="left" w:pos="709"/>
              </w:tabs>
              <w:spacing w:line="440" w:lineRule="exact"/>
              <w:rPr>
                <w:rFonts w:ascii="宋体" w:hAnsi="宋体" w:cs="宋体"/>
                <w:color w:val="auto"/>
                <w:szCs w:val="21"/>
                <w:highlight w:val="none"/>
              </w:rPr>
            </w:pPr>
          </w:p>
        </w:tc>
        <w:tc>
          <w:tcPr>
            <w:tcW w:w="529" w:type="pct"/>
            <w:tcBorders>
              <w:right w:val="single" w:color="auto" w:sz="4" w:space="0"/>
            </w:tcBorders>
            <w:vAlign w:val="center"/>
          </w:tcPr>
          <w:p w14:paraId="7DD4603B">
            <w:pPr>
              <w:widowControl/>
              <w:jc w:val="center"/>
              <w:rPr>
                <w:rFonts w:ascii="宋体" w:hAnsi="宋体"/>
                <w:b/>
                <w:bCs/>
                <w:color w:val="auto"/>
                <w:highlight w:val="none"/>
              </w:rPr>
            </w:pPr>
          </w:p>
        </w:tc>
        <w:tc>
          <w:tcPr>
            <w:tcW w:w="726" w:type="pct"/>
            <w:tcBorders>
              <w:left w:val="single" w:color="auto" w:sz="4" w:space="0"/>
            </w:tcBorders>
            <w:vAlign w:val="center"/>
          </w:tcPr>
          <w:p w14:paraId="7C655D11">
            <w:pPr>
              <w:widowControl/>
              <w:jc w:val="center"/>
              <w:rPr>
                <w:rFonts w:ascii="宋体" w:hAnsi="宋体"/>
                <w:b/>
                <w:bCs/>
                <w:color w:val="auto"/>
                <w:highlight w:val="none"/>
              </w:rPr>
            </w:pPr>
          </w:p>
        </w:tc>
      </w:tr>
      <w:tr w14:paraId="3A677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16B0694B">
            <w:pPr>
              <w:widowControl/>
              <w:jc w:val="center"/>
              <w:rPr>
                <w:rFonts w:ascii="宋体" w:hAnsi="宋体"/>
                <w:b/>
                <w:bCs/>
                <w:color w:val="auto"/>
                <w:highlight w:val="none"/>
              </w:rPr>
            </w:pPr>
          </w:p>
        </w:tc>
        <w:tc>
          <w:tcPr>
            <w:tcW w:w="363" w:type="pct"/>
            <w:tcBorders>
              <w:left w:val="single" w:color="auto" w:sz="4" w:space="0"/>
            </w:tcBorders>
            <w:vAlign w:val="center"/>
          </w:tcPr>
          <w:p w14:paraId="6F8EFFBA">
            <w:pPr>
              <w:widowControl/>
              <w:numPr>
                <w:ilvl w:val="0"/>
                <w:numId w:val="24"/>
              </w:numPr>
              <w:jc w:val="center"/>
              <w:rPr>
                <w:rFonts w:ascii="宋体" w:hAnsi="宋体"/>
                <w:b/>
                <w:bCs/>
                <w:color w:val="auto"/>
                <w:highlight w:val="none"/>
              </w:rPr>
            </w:pPr>
          </w:p>
        </w:tc>
        <w:tc>
          <w:tcPr>
            <w:tcW w:w="2597" w:type="pct"/>
          </w:tcPr>
          <w:p w14:paraId="34F3A976">
            <w:pPr>
              <w:tabs>
                <w:tab w:val="left" w:pos="709"/>
              </w:tabs>
              <w:spacing w:line="440" w:lineRule="exact"/>
              <w:rPr>
                <w:rFonts w:ascii="宋体" w:hAnsi="宋体" w:cs="宋体"/>
                <w:color w:val="auto"/>
                <w:szCs w:val="21"/>
                <w:highlight w:val="none"/>
              </w:rPr>
            </w:pPr>
          </w:p>
        </w:tc>
        <w:tc>
          <w:tcPr>
            <w:tcW w:w="529" w:type="pct"/>
            <w:tcBorders>
              <w:right w:val="single" w:color="auto" w:sz="4" w:space="0"/>
            </w:tcBorders>
            <w:vAlign w:val="center"/>
          </w:tcPr>
          <w:p w14:paraId="2BF5FA1A">
            <w:pPr>
              <w:widowControl/>
              <w:jc w:val="center"/>
              <w:rPr>
                <w:rFonts w:ascii="宋体" w:hAnsi="宋体"/>
                <w:b/>
                <w:bCs/>
                <w:color w:val="auto"/>
                <w:highlight w:val="none"/>
              </w:rPr>
            </w:pPr>
          </w:p>
        </w:tc>
        <w:tc>
          <w:tcPr>
            <w:tcW w:w="726" w:type="pct"/>
            <w:tcBorders>
              <w:left w:val="single" w:color="auto" w:sz="4" w:space="0"/>
            </w:tcBorders>
            <w:vAlign w:val="center"/>
          </w:tcPr>
          <w:p w14:paraId="12C3036F">
            <w:pPr>
              <w:widowControl/>
              <w:jc w:val="center"/>
              <w:rPr>
                <w:rFonts w:ascii="宋体" w:hAnsi="宋体"/>
                <w:b/>
                <w:bCs/>
                <w:color w:val="auto"/>
                <w:highlight w:val="none"/>
              </w:rPr>
            </w:pPr>
          </w:p>
        </w:tc>
      </w:tr>
      <w:tr w14:paraId="104CB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00ED2625">
            <w:pPr>
              <w:widowControl/>
              <w:jc w:val="center"/>
              <w:rPr>
                <w:rFonts w:ascii="宋体" w:hAnsi="宋体"/>
                <w:b/>
                <w:bCs/>
                <w:color w:val="auto"/>
                <w:highlight w:val="none"/>
              </w:rPr>
            </w:pPr>
          </w:p>
        </w:tc>
        <w:tc>
          <w:tcPr>
            <w:tcW w:w="363" w:type="pct"/>
            <w:tcBorders>
              <w:left w:val="single" w:color="auto" w:sz="4" w:space="0"/>
            </w:tcBorders>
            <w:vAlign w:val="center"/>
          </w:tcPr>
          <w:p w14:paraId="167665A9">
            <w:pPr>
              <w:widowControl/>
              <w:numPr>
                <w:ilvl w:val="0"/>
                <w:numId w:val="24"/>
              </w:numPr>
              <w:jc w:val="center"/>
              <w:rPr>
                <w:rFonts w:ascii="宋体" w:hAnsi="宋体"/>
                <w:b/>
                <w:bCs/>
                <w:color w:val="auto"/>
                <w:highlight w:val="none"/>
              </w:rPr>
            </w:pPr>
          </w:p>
        </w:tc>
        <w:tc>
          <w:tcPr>
            <w:tcW w:w="2597" w:type="pct"/>
          </w:tcPr>
          <w:p w14:paraId="0D817C90">
            <w:pPr>
              <w:tabs>
                <w:tab w:val="left" w:pos="709"/>
              </w:tabs>
              <w:spacing w:line="440" w:lineRule="exact"/>
              <w:rPr>
                <w:rFonts w:ascii="宋体" w:hAnsi="宋体" w:cs="宋体"/>
                <w:color w:val="auto"/>
                <w:szCs w:val="21"/>
                <w:highlight w:val="none"/>
              </w:rPr>
            </w:pPr>
          </w:p>
        </w:tc>
        <w:tc>
          <w:tcPr>
            <w:tcW w:w="529" w:type="pct"/>
            <w:tcBorders>
              <w:right w:val="single" w:color="auto" w:sz="4" w:space="0"/>
            </w:tcBorders>
            <w:vAlign w:val="center"/>
          </w:tcPr>
          <w:p w14:paraId="370B1AA0">
            <w:pPr>
              <w:widowControl/>
              <w:jc w:val="center"/>
              <w:rPr>
                <w:rFonts w:ascii="宋体" w:hAnsi="宋体"/>
                <w:b/>
                <w:bCs/>
                <w:color w:val="auto"/>
                <w:highlight w:val="none"/>
              </w:rPr>
            </w:pPr>
          </w:p>
        </w:tc>
        <w:tc>
          <w:tcPr>
            <w:tcW w:w="726" w:type="pct"/>
            <w:tcBorders>
              <w:left w:val="single" w:color="auto" w:sz="4" w:space="0"/>
            </w:tcBorders>
            <w:vAlign w:val="center"/>
          </w:tcPr>
          <w:p w14:paraId="7A2072F1">
            <w:pPr>
              <w:widowControl/>
              <w:jc w:val="center"/>
              <w:rPr>
                <w:rFonts w:ascii="宋体" w:hAnsi="宋体"/>
                <w:b/>
                <w:bCs/>
                <w:color w:val="auto"/>
                <w:highlight w:val="none"/>
              </w:rPr>
            </w:pPr>
          </w:p>
        </w:tc>
      </w:tr>
      <w:tr w14:paraId="40FF7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0287CF1D">
            <w:pPr>
              <w:widowControl/>
              <w:jc w:val="center"/>
              <w:rPr>
                <w:rFonts w:ascii="宋体" w:hAnsi="宋体"/>
                <w:b/>
                <w:bCs/>
                <w:color w:val="auto"/>
                <w:highlight w:val="none"/>
              </w:rPr>
            </w:pPr>
          </w:p>
        </w:tc>
        <w:tc>
          <w:tcPr>
            <w:tcW w:w="363" w:type="pct"/>
            <w:tcBorders>
              <w:left w:val="single" w:color="auto" w:sz="4" w:space="0"/>
            </w:tcBorders>
            <w:vAlign w:val="center"/>
          </w:tcPr>
          <w:p w14:paraId="28E21F38">
            <w:pPr>
              <w:widowControl/>
              <w:numPr>
                <w:ilvl w:val="0"/>
                <w:numId w:val="24"/>
              </w:numPr>
              <w:jc w:val="center"/>
              <w:rPr>
                <w:rFonts w:ascii="宋体" w:hAnsi="宋体"/>
                <w:b/>
                <w:bCs/>
                <w:color w:val="auto"/>
                <w:highlight w:val="none"/>
              </w:rPr>
            </w:pPr>
          </w:p>
        </w:tc>
        <w:tc>
          <w:tcPr>
            <w:tcW w:w="2597" w:type="pct"/>
          </w:tcPr>
          <w:p w14:paraId="2EBCF36E">
            <w:pPr>
              <w:tabs>
                <w:tab w:val="left" w:pos="709"/>
              </w:tabs>
              <w:spacing w:line="440" w:lineRule="exact"/>
              <w:rPr>
                <w:rFonts w:ascii="宋体" w:hAnsi="宋体"/>
                <w:color w:val="auto"/>
                <w:sz w:val="24"/>
                <w:highlight w:val="none"/>
              </w:rPr>
            </w:pPr>
          </w:p>
        </w:tc>
        <w:tc>
          <w:tcPr>
            <w:tcW w:w="529" w:type="pct"/>
            <w:tcBorders>
              <w:right w:val="single" w:color="auto" w:sz="4" w:space="0"/>
            </w:tcBorders>
            <w:vAlign w:val="center"/>
          </w:tcPr>
          <w:p w14:paraId="73BAD703">
            <w:pPr>
              <w:widowControl/>
              <w:jc w:val="center"/>
              <w:rPr>
                <w:rFonts w:ascii="宋体" w:hAnsi="宋体"/>
                <w:b/>
                <w:bCs/>
                <w:color w:val="auto"/>
                <w:highlight w:val="none"/>
              </w:rPr>
            </w:pPr>
          </w:p>
        </w:tc>
        <w:tc>
          <w:tcPr>
            <w:tcW w:w="726" w:type="pct"/>
            <w:tcBorders>
              <w:left w:val="single" w:color="auto" w:sz="4" w:space="0"/>
            </w:tcBorders>
            <w:vAlign w:val="center"/>
          </w:tcPr>
          <w:p w14:paraId="44B7F401">
            <w:pPr>
              <w:widowControl/>
              <w:jc w:val="center"/>
              <w:rPr>
                <w:rFonts w:ascii="宋体" w:hAnsi="宋体"/>
                <w:b/>
                <w:bCs/>
                <w:color w:val="auto"/>
                <w:highlight w:val="none"/>
              </w:rPr>
            </w:pPr>
          </w:p>
        </w:tc>
      </w:tr>
      <w:tr w14:paraId="655A3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3423B8BD">
            <w:pPr>
              <w:widowControl/>
              <w:jc w:val="center"/>
              <w:rPr>
                <w:rFonts w:ascii="宋体" w:hAnsi="宋体"/>
                <w:b/>
                <w:bCs/>
                <w:color w:val="auto"/>
                <w:highlight w:val="none"/>
              </w:rPr>
            </w:pPr>
          </w:p>
        </w:tc>
        <w:tc>
          <w:tcPr>
            <w:tcW w:w="363" w:type="pct"/>
            <w:tcBorders>
              <w:left w:val="single" w:color="auto" w:sz="4" w:space="0"/>
            </w:tcBorders>
            <w:vAlign w:val="center"/>
          </w:tcPr>
          <w:p w14:paraId="0D77ABF7">
            <w:pPr>
              <w:widowControl/>
              <w:numPr>
                <w:ilvl w:val="0"/>
                <w:numId w:val="24"/>
              </w:numPr>
              <w:jc w:val="center"/>
              <w:rPr>
                <w:rFonts w:ascii="宋体" w:hAnsi="宋体"/>
                <w:b/>
                <w:bCs/>
                <w:color w:val="auto"/>
                <w:highlight w:val="none"/>
              </w:rPr>
            </w:pPr>
          </w:p>
        </w:tc>
        <w:tc>
          <w:tcPr>
            <w:tcW w:w="2597" w:type="pct"/>
            <w:vAlign w:val="center"/>
          </w:tcPr>
          <w:p w14:paraId="06B58CA8">
            <w:pPr>
              <w:autoSpaceDE w:val="0"/>
              <w:autoSpaceDN w:val="0"/>
              <w:adjustRightInd w:val="0"/>
              <w:jc w:val="left"/>
              <w:rPr>
                <w:rFonts w:ascii="宋体" w:hAnsi="宋体"/>
                <w:bCs/>
                <w:color w:val="auto"/>
                <w:highlight w:val="none"/>
              </w:rPr>
            </w:pPr>
          </w:p>
        </w:tc>
        <w:tc>
          <w:tcPr>
            <w:tcW w:w="529" w:type="pct"/>
            <w:tcBorders>
              <w:right w:val="single" w:color="auto" w:sz="4" w:space="0"/>
            </w:tcBorders>
            <w:vAlign w:val="center"/>
          </w:tcPr>
          <w:p w14:paraId="42BD55EE">
            <w:pPr>
              <w:widowControl/>
              <w:jc w:val="center"/>
              <w:rPr>
                <w:rFonts w:ascii="宋体" w:hAnsi="宋体"/>
                <w:b/>
                <w:bCs/>
                <w:color w:val="auto"/>
                <w:highlight w:val="none"/>
              </w:rPr>
            </w:pPr>
          </w:p>
        </w:tc>
        <w:tc>
          <w:tcPr>
            <w:tcW w:w="726" w:type="pct"/>
            <w:tcBorders>
              <w:left w:val="single" w:color="auto" w:sz="4" w:space="0"/>
            </w:tcBorders>
            <w:vAlign w:val="center"/>
          </w:tcPr>
          <w:p w14:paraId="7E2358BF">
            <w:pPr>
              <w:widowControl/>
              <w:jc w:val="center"/>
              <w:rPr>
                <w:rFonts w:ascii="宋体" w:hAnsi="宋体"/>
                <w:b/>
                <w:bCs/>
                <w:color w:val="auto"/>
                <w:highlight w:val="none"/>
              </w:rPr>
            </w:pPr>
          </w:p>
        </w:tc>
      </w:tr>
      <w:tr w14:paraId="1BAE4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719D01AF">
            <w:pPr>
              <w:widowControl/>
              <w:jc w:val="center"/>
              <w:rPr>
                <w:rFonts w:ascii="宋体" w:hAnsi="宋体"/>
                <w:b/>
                <w:bCs/>
                <w:color w:val="auto"/>
                <w:highlight w:val="none"/>
              </w:rPr>
            </w:pPr>
          </w:p>
        </w:tc>
        <w:tc>
          <w:tcPr>
            <w:tcW w:w="363" w:type="pct"/>
            <w:tcBorders>
              <w:left w:val="single" w:color="auto" w:sz="4" w:space="0"/>
            </w:tcBorders>
            <w:vAlign w:val="center"/>
          </w:tcPr>
          <w:p w14:paraId="4FAE6A32">
            <w:pPr>
              <w:widowControl/>
              <w:numPr>
                <w:ilvl w:val="255"/>
                <w:numId w:val="0"/>
              </w:numPr>
              <w:rPr>
                <w:rFonts w:ascii="宋体" w:hAnsi="宋体"/>
                <w:b/>
                <w:bCs/>
                <w:color w:val="auto"/>
                <w:highlight w:val="none"/>
              </w:rPr>
            </w:pPr>
          </w:p>
        </w:tc>
        <w:tc>
          <w:tcPr>
            <w:tcW w:w="2597" w:type="pct"/>
            <w:vAlign w:val="center"/>
          </w:tcPr>
          <w:p w14:paraId="72FCB569">
            <w:pPr>
              <w:widowControl/>
              <w:rPr>
                <w:rFonts w:ascii="宋体" w:hAnsi="宋体"/>
                <w:b/>
                <w:bCs/>
                <w:color w:val="auto"/>
                <w:highlight w:val="none"/>
              </w:rPr>
            </w:pPr>
            <w:r>
              <w:rPr>
                <w:rFonts w:hint="eastAsia" w:ascii="宋体" w:hAnsi="宋体"/>
                <w:b/>
                <w:color w:val="auto"/>
                <w:szCs w:val="21"/>
                <w:highlight w:val="none"/>
              </w:rPr>
              <w:t>...</w:t>
            </w:r>
          </w:p>
        </w:tc>
        <w:tc>
          <w:tcPr>
            <w:tcW w:w="529" w:type="pct"/>
            <w:tcBorders>
              <w:right w:val="single" w:color="auto" w:sz="4" w:space="0"/>
            </w:tcBorders>
            <w:vAlign w:val="center"/>
          </w:tcPr>
          <w:p w14:paraId="6F1BED7A">
            <w:pPr>
              <w:widowControl/>
              <w:jc w:val="center"/>
              <w:rPr>
                <w:rFonts w:ascii="宋体" w:hAnsi="宋体"/>
                <w:b/>
                <w:bCs/>
                <w:color w:val="auto"/>
                <w:highlight w:val="none"/>
              </w:rPr>
            </w:pPr>
          </w:p>
        </w:tc>
        <w:tc>
          <w:tcPr>
            <w:tcW w:w="726" w:type="pct"/>
            <w:tcBorders>
              <w:left w:val="single" w:color="auto" w:sz="4" w:space="0"/>
            </w:tcBorders>
            <w:vAlign w:val="center"/>
          </w:tcPr>
          <w:p w14:paraId="611439A4">
            <w:pPr>
              <w:widowControl/>
              <w:jc w:val="center"/>
              <w:rPr>
                <w:rFonts w:ascii="宋体" w:hAnsi="宋体"/>
                <w:b/>
                <w:bCs/>
                <w:color w:val="auto"/>
                <w:highlight w:val="none"/>
              </w:rPr>
            </w:pPr>
          </w:p>
        </w:tc>
      </w:tr>
      <w:tr w14:paraId="2366C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restart"/>
            <w:tcBorders>
              <w:right w:val="single" w:color="auto" w:sz="4" w:space="0"/>
            </w:tcBorders>
            <w:vAlign w:val="center"/>
          </w:tcPr>
          <w:p w14:paraId="75C230C2">
            <w:pPr>
              <w:widowControl/>
              <w:jc w:val="center"/>
              <w:rPr>
                <w:rFonts w:ascii="宋体" w:hAnsi="宋体"/>
                <w:b/>
                <w:bCs/>
                <w:color w:val="auto"/>
                <w:highlight w:val="none"/>
              </w:rPr>
            </w:pPr>
            <w:r>
              <w:rPr>
                <w:rFonts w:hint="eastAsia" w:ascii="宋体" w:hAnsi="宋体"/>
                <w:b/>
                <w:bCs/>
                <w:color w:val="auto"/>
                <w:highlight w:val="none"/>
              </w:rPr>
              <w:t>商务部分</w:t>
            </w:r>
          </w:p>
        </w:tc>
        <w:tc>
          <w:tcPr>
            <w:tcW w:w="363" w:type="pct"/>
            <w:tcBorders>
              <w:left w:val="single" w:color="auto" w:sz="4" w:space="0"/>
            </w:tcBorders>
            <w:vAlign w:val="center"/>
          </w:tcPr>
          <w:p w14:paraId="4AE975E5">
            <w:pPr>
              <w:widowControl/>
              <w:numPr>
                <w:ilvl w:val="0"/>
                <w:numId w:val="24"/>
              </w:numPr>
              <w:jc w:val="center"/>
              <w:rPr>
                <w:rFonts w:ascii="宋体" w:hAnsi="宋体"/>
                <w:b/>
                <w:bCs/>
                <w:color w:val="auto"/>
                <w:highlight w:val="none"/>
              </w:rPr>
            </w:pPr>
          </w:p>
        </w:tc>
        <w:tc>
          <w:tcPr>
            <w:tcW w:w="2597" w:type="pct"/>
            <w:vAlign w:val="center"/>
          </w:tcPr>
          <w:p w14:paraId="41774002">
            <w:pPr>
              <w:widowControl/>
              <w:rPr>
                <w:rFonts w:ascii="宋体" w:hAnsi="宋体"/>
                <w:b/>
                <w:bCs/>
                <w:color w:val="auto"/>
                <w:highlight w:val="none"/>
              </w:rPr>
            </w:pPr>
          </w:p>
        </w:tc>
        <w:tc>
          <w:tcPr>
            <w:tcW w:w="529" w:type="pct"/>
            <w:tcBorders>
              <w:right w:val="single" w:color="auto" w:sz="4" w:space="0"/>
            </w:tcBorders>
            <w:vAlign w:val="center"/>
          </w:tcPr>
          <w:p w14:paraId="4DA5912C">
            <w:pPr>
              <w:widowControl/>
              <w:jc w:val="center"/>
              <w:rPr>
                <w:rFonts w:ascii="宋体" w:hAnsi="宋体"/>
                <w:b/>
                <w:bCs/>
                <w:color w:val="auto"/>
                <w:highlight w:val="none"/>
              </w:rPr>
            </w:pPr>
          </w:p>
        </w:tc>
        <w:tc>
          <w:tcPr>
            <w:tcW w:w="726" w:type="pct"/>
            <w:tcBorders>
              <w:left w:val="single" w:color="auto" w:sz="4" w:space="0"/>
            </w:tcBorders>
            <w:vAlign w:val="center"/>
          </w:tcPr>
          <w:p w14:paraId="212506B8">
            <w:pPr>
              <w:widowControl/>
              <w:jc w:val="center"/>
              <w:rPr>
                <w:rFonts w:ascii="宋体" w:hAnsi="宋体"/>
                <w:b/>
                <w:bCs/>
                <w:color w:val="auto"/>
                <w:highlight w:val="none"/>
              </w:rPr>
            </w:pPr>
          </w:p>
        </w:tc>
      </w:tr>
      <w:tr w14:paraId="1A8AA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642AD44E">
            <w:pPr>
              <w:widowControl/>
              <w:jc w:val="center"/>
              <w:rPr>
                <w:rFonts w:ascii="宋体" w:hAnsi="宋体"/>
                <w:b/>
                <w:bCs/>
                <w:color w:val="auto"/>
                <w:highlight w:val="none"/>
              </w:rPr>
            </w:pPr>
          </w:p>
        </w:tc>
        <w:tc>
          <w:tcPr>
            <w:tcW w:w="363" w:type="pct"/>
            <w:tcBorders>
              <w:left w:val="single" w:color="auto" w:sz="4" w:space="0"/>
            </w:tcBorders>
            <w:vAlign w:val="center"/>
          </w:tcPr>
          <w:p w14:paraId="14DF9776">
            <w:pPr>
              <w:widowControl/>
              <w:numPr>
                <w:ilvl w:val="0"/>
                <w:numId w:val="24"/>
              </w:numPr>
              <w:jc w:val="center"/>
              <w:rPr>
                <w:rFonts w:ascii="宋体" w:hAnsi="宋体"/>
                <w:b/>
                <w:bCs/>
                <w:color w:val="auto"/>
                <w:highlight w:val="none"/>
              </w:rPr>
            </w:pPr>
          </w:p>
        </w:tc>
        <w:tc>
          <w:tcPr>
            <w:tcW w:w="2597" w:type="pct"/>
            <w:vAlign w:val="center"/>
          </w:tcPr>
          <w:p w14:paraId="01714B0E">
            <w:pPr>
              <w:widowControl/>
              <w:rPr>
                <w:rFonts w:ascii="宋体" w:hAnsi="宋体"/>
                <w:b/>
                <w:bCs/>
                <w:color w:val="auto"/>
                <w:highlight w:val="none"/>
              </w:rPr>
            </w:pPr>
          </w:p>
        </w:tc>
        <w:tc>
          <w:tcPr>
            <w:tcW w:w="529" w:type="pct"/>
            <w:tcBorders>
              <w:right w:val="single" w:color="auto" w:sz="4" w:space="0"/>
            </w:tcBorders>
            <w:vAlign w:val="center"/>
          </w:tcPr>
          <w:p w14:paraId="64F31CDE">
            <w:pPr>
              <w:widowControl/>
              <w:jc w:val="center"/>
              <w:rPr>
                <w:rFonts w:ascii="宋体" w:hAnsi="宋体"/>
                <w:b/>
                <w:bCs/>
                <w:color w:val="auto"/>
                <w:highlight w:val="none"/>
              </w:rPr>
            </w:pPr>
          </w:p>
        </w:tc>
        <w:tc>
          <w:tcPr>
            <w:tcW w:w="726" w:type="pct"/>
            <w:tcBorders>
              <w:left w:val="single" w:color="auto" w:sz="4" w:space="0"/>
            </w:tcBorders>
            <w:vAlign w:val="center"/>
          </w:tcPr>
          <w:p w14:paraId="2E949C5E">
            <w:pPr>
              <w:widowControl/>
              <w:jc w:val="center"/>
              <w:rPr>
                <w:rFonts w:ascii="宋体" w:hAnsi="宋体"/>
                <w:b/>
                <w:bCs/>
                <w:color w:val="auto"/>
                <w:highlight w:val="none"/>
              </w:rPr>
            </w:pPr>
          </w:p>
        </w:tc>
      </w:tr>
      <w:tr w14:paraId="236FB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5C9AA54D">
            <w:pPr>
              <w:widowControl/>
              <w:jc w:val="center"/>
              <w:rPr>
                <w:rFonts w:ascii="宋体" w:hAnsi="宋体"/>
                <w:b/>
                <w:bCs/>
                <w:color w:val="auto"/>
                <w:highlight w:val="none"/>
              </w:rPr>
            </w:pPr>
          </w:p>
        </w:tc>
        <w:tc>
          <w:tcPr>
            <w:tcW w:w="363" w:type="pct"/>
            <w:tcBorders>
              <w:left w:val="single" w:color="auto" w:sz="4" w:space="0"/>
            </w:tcBorders>
            <w:vAlign w:val="center"/>
          </w:tcPr>
          <w:p w14:paraId="3A633BB1">
            <w:pPr>
              <w:widowControl/>
              <w:numPr>
                <w:ilvl w:val="0"/>
                <w:numId w:val="24"/>
              </w:numPr>
              <w:jc w:val="center"/>
              <w:rPr>
                <w:rFonts w:ascii="宋体" w:hAnsi="宋体"/>
                <w:b/>
                <w:bCs/>
                <w:color w:val="auto"/>
                <w:highlight w:val="none"/>
              </w:rPr>
            </w:pPr>
          </w:p>
        </w:tc>
        <w:tc>
          <w:tcPr>
            <w:tcW w:w="2597" w:type="pct"/>
            <w:vAlign w:val="center"/>
          </w:tcPr>
          <w:p w14:paraId="6CEAA2E5">
            <w:pPr>
              <w:widowControl/>
              <w:rPr>
                <w:rFonts w:ascii="宋体" w:hAnsi="宋体"/>
                <w:b/>
                <w:bCs/>
                <w:color w:val="auto"/>
                <w:highlight w:val="none"/>
              </w:rPr>
            </w:pPr>
          </w:p>
        </w:tc>
        <w:tc>
          <w:tcPr>
            <w:tcW w:w="529" w:type="pct"/>
            <w:tcBorders>
              <w:right w:val="single" w:color="auto" w:sz="4" w:space="0"/>
            </w:tcBorders>
            <w:vAlign w:val="center"/>
          </w:tcPr>
          <w:p w14:paraId="5EA355A3">
            <w:pPr>
              <w:widowControl/>
              <w:jc w:val="center"/>
              <w:rPr>
                <w:rFonts w:ascii="宋体" w:hAnsi="宋体"/>
                <w:b/>
                <w:bCs/>
                <w:color w:val="auto"/>
                <w:highlight w:val="none"/>
              </w:rPr>
            </w:pPr>
          </w:p>
        </w:tc>
        <w:tc>
          <w:tcPr>
            <w:tcW w:w="726" w:type="pct"/>
            <w:tcBorders>
              <w:left w:val="single" w:color="auto" w:sz="4" w:space="0"/>
            </w:tcBorders>
            <w:vAlign w:val="center"/>
          </w:tcPr>
          <w:p w14:paraId="1C30868C">
            <w:pPr>
              <w:widowControl/>
              <w:jc w:val="center"/>
              <w:rPr>
                <w:rFonts w:ascii="宋体" w:hAnsi="宋体"/>
                <w:b/>
                <w:bCs/>
                <w:color w:val="auto"/>
                <w:highlight w:val="none"/>
              </w:rPr>
            </w:pPr>
          </w:p>
        </w:tc>
      </w:tr>
      <w:tr w14:paraId="66B66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182A2108">
            <w:pPr>
              <w:widowControl/>
              <w:jc w:val="center"/>
              <w:rPr>
                <w:rFonts w:ascii="宋体" w:hAnsi="宋体"/>
                <w:b/>
                <w:bCs/>
                <w:color w:val="auto"/>
                <w:highlight w:val="none"/>
              </w:rPr>
            </w:pPr>
          </w:p>
        </w:tc>
        <w:tc>
          <w:tcPr>
            <w:tcW w:w="363" w:type="pct"/>
            <w:tcBorders>
              <w:left w:val="single" w:color="auto" w:sz="4" w:space="0"/>
            </w:tcBorders>
            <w:vAlign w:val="center"/>
          </w:tcPr>
          <w:p w14:paraId="42159332">
            <w:pPr>
              <w:widowControl/>
              <w:numPr>
                <w:ilvl w:val="0"/>
                <w:numId w:val="24"/>
              </w:numPr>
              <w:jc w:val="center"/>
              <w:rPr>
                <w:rFonts w:ascii="宋体" w:hAnsi="宋体"/>
                <w:b/>
                <w:bCs/>
                <w:color w:val="auto"/>
                <w:highlight w:val="none"/>
              </w:rPr>
            </w:pPr>
          </w:p>
        </w:tc>
        <w:tc>
          <w:tcPr>
            <w:tcW w:w="2597" w:type="pct"/>
            <w:vAlign w:val="center"/>
          </w:tcPr>
          <w:p w14:paraId="44376F3C">
            <w:pPr>
              <w:widowControl/>
              <w:rPr>
                <w:rFonts w:ascii="宋体" w:hAnsi="宋体"/>
                <w:b/>
                <w:bCs/>
                <w:color w:val="auto"/>
                <w:highlight w:val="none"/>
              </w:rPr>
            </w:pPr>
          </w:p>
        </w:tc>
        <w:tc>
          <w:tcPr>
            <w:tcW w:w="529" w:type="pct"/>
            <w:tcBorders>
              <w:right w:val="single" w:color="auto" w:sz="4" w:space="0"/>
            </w:tcBorders>
            <w:vAlign w:val="center"/>
          </w:tcPr>
          <w:p w14:paraId="08CCB6CF">
            <w:pPr>
              <w:widowControl/>
              <w:jc w:val="center"/>
              <w:rPr>
                <w:rFonts w:ascii="宋体" w:hAnsi="宋体"/>
                <w:b/>
                <w:bCs/>
                <w:color w:val="auto"/>
                <w:highlight w:val="none"/>
              </w:rPr>
            </w:pPr>
          </w:p>
        </w:tc>
        <w:tc>
          <w:tcPr>
            <w:tcW w:w="726" w:type="pct"/>
            <w:tcBorders>
              <w:left w:val="single" w:color="auto" w:sz="4" w:space="0"/>
            </w:tcBorders>
            <w:vAlign w:val="center"/>
          </w:tcPr>
          <w:p w14:paraId="4E9B9D46">
            <w:pPr>
              <w:widowControl/>
              <w:jc w:val="center"/>
              <w:rPr>
                <w:rFonts w:ascii="宋体" w:hAnsi="宋体"/>
                <w:b/>
                <w:bCs/>
                <w:color w:val="auto"/>
                <w:highlight w:val="none"/>
              </w:rPr>
            </w:pPr>
          </w:p>
        </w:tc>
      </w:tr>
      <w:tr w14:paraId="65C9F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0F7A18FB">
            <w:pPr>
              <w:widowControl/>
              <w:jc w:val="center"/>
              <w:rPr>
                <w:rFonts w:ascii="宋体" w:hAnsi="宋体"/>
                <w:b/>
                <w:bCs/>
                <w:color w:val="auto"/>
                <w:highlight w:val="none"/>
              </w:rPr>
            </w:pPr>
          </w:p>
        </w:tc>
        <w:tc>
          <w:tcPr>
            <w:tcW w:w="363" w:type="pct"/>
            <w:tcBorders>
              <w:left w:val="single" w:color="auto" w:sz="4" w:space="0"/>
            </w:tcBorders>
            <w:vAlign w:val="center"/>
          </w:tcPr>
          <w:p w14:paraId="742EA7D8">
            <w:pPr>
              <w:widowControl/>
              <w:numPr>
                <w:ilvl w:val="0"/>
                <w:numId w:val="24"/>
              </w:numPr>
              <w:jc w:val="center"/>
              <w:rPr>
                <w:rFonts w:ascii="宋体" w:hAnsi="宋体"/>
                <w:b/>
                <w:bCs/>
                <w:color w:val="auto"/>
                <w:highlight w:val="none"/>
              </w:rPr>
            </w:pPr>
          </w:p>
        </w:tc>
        <w:tc>
          <w:tcPr>
            <w:tcW w:w="2597" w:type="pct"/>
            <w:vAlign w:val="center"/>
          </w:tcPr>
          <w:p w14:paraId="0D71097B">
            <w:pPr>
              <w:widowControl/>
              <w:rPr>
                <w:rFonts w:ascii="宋体" w:hAnsi="宋体"/>
                <w:b/>
                <w:bCs/>
                <w:color w:val="auto"/>
                <w:highlight w:val="none"/>
              </w:rPr>
            </w:pPr>
          </w:p>
        </w:tc>
        <w:tc>
          <w:tcPr>
            <w:tcW w:w="529" w:type="pct"/>
            <w:tcBorders>
              <w:right w:val="single" w:color="auto" w:sz="4" w:space="0"/>
            </w:tcBorders>
            <w:vAlign w:val="center"/>
          </w:tcPr>
          <w:p w14:paraId="1D542B89">
            <w:pPr>
              <w:widowControl/>
              <w:jc w:val="center"/>
              <w:rPr>
                <w:rFonts w:ascii="宋体" w:hAnsi="宋体"/>
                <w:b/>
                <w:bCs/>
                <w:color w:val="auto"/>
                <w:highlight w:val="none"/>
              </w:rPr>
            </w:pPr>
          </w:p>
        </w:tc>
        <w:tc>
          <w:tcPr>
            <w:tcW w:w="726" w:type="pct"/>
            <w:tcBorders>
              <w:left w:val="single" w:color="auto" w:sz="4" w:space="0"/>
            </w:tcBorders>
            <w:vAlign w:val="center"/>
          </w:tcPr>
          <w:p w14:paraId="4B744E7E">
            <w:pPr>
              <w:widowControl/>
              <w:jc w:val="center"/>
              <w:rPr>
                <w:rFonts w:ascii="宋体" w:hAnsi="宋体"/>
                <w:b/>
                <w:bCs/>
                <w:color w:val="auto"/>
                <w:highlight w:val="none"/>
              </w:rPr>
            </w:pPr>
          </w:p>
        </w:tc>
      </w:tr>
      <w:tr w14:paraId="00F78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3EE05E64">
            <w:pPr>
              <w:widowControl/>
              <w:jc w:val="center"/>
              <w:rPr>
                <w:rFonts w:ascii="宋体" w:hAnsi="宋体"/>
                <w:b/>
                <w:bCs/>
                <w:color w:val="auto"/>
                <w:highlight w:val="none"/>
              </w:rPr>
            </w:pPr>
          </w:p>
        </w:tc>
        <w:tc>
          <w:tcPr>
            <w:tcW w:w="363" w:type="pct"/>
            <w:tcBorders>
              <w:left w:val="single" w:color="auto" w:sz="4" w:space="0"/>
            </w:tcBorders>
            <w:vAlign w:val="center"/>
          </w:tcPr>
          <w:p w14:paraId="755BC346">
            <w:pPr>
              <w:widowControl/>
              <w:numPr>
                <w:ilvl w:val="0"/>
                <w:numId w:val="24"/>
              </w:numPr>
              <w:jc w:val="center"/>
              <w:rPr>
                <w:rFonts w:ascii="宋体" w:hAnsi="宋体"/>
                <w:b/>
                <w:bCs/>
                <w:color w:val="auto"/>
                <w:highlight w:val="none"/>
              </w:rPr>
            </w:pPr>
          </w:p>
        </w:tc>
        <w:tc>
          <w:tcPr>
            <w:tcW w:w="2597" w:type="pct"/>
            <w:vAlign w:val="center"/>
          </w:tcPr>
          <w:p w14:paraId="2404D576">
            <w:pPr>
              <w:widowControl/>
              <w:rPr>
                <w:rFonts w:ascii="宋体" w:hAnsi="宋体"/>
                <w:b/>
                <w:bCs/>
                <w:color w:val="auto"/>
                <w:highlight w:val="none"/>
              </w:rPr>
            </w:pPr>
          </w:p>
        </w:tc>
        <w:tc>
          <w:tcPr>
            <w:tcW w:w="529" w:type="pct"/>
            <w:tcBorders>
              <w:right w:val="single" w:color="auto" w:sz="4" w:space="0"/>
            </w:tcBorders>
            <w:vAlign w:val="center"/>
          </w:tcPr>
          <w:p w14:paraId="1C2BB9D4">
            <w:pPr>
              <w:widowControl/>
              <w:jc w:val="center"/>
              <w:rPr>
                <w:rFonts w:ascii="宋体" w:hAnsi="宋体"/>
                <w:b/>
                <w:bCs/>
                <w:color w:val="auto"/>
                <w:highlight w:val="none"/>
              </w:rPr>
            </w:pPr>
          </w:p>
        </w:tc>
        <w:tc>
          <w:tcPr>
            <w:tcW w:w="726" w:type="pct"/>
            <w:tcBorders>
              <w:left w:val="single" w:color="auto" w:sz="4" w:space="0"/>
            </w:tcBorders>
            <w:vAlign w:val="center"/>
          </w:tcPr>
          <w:p w14:paraId="2B38F712">
            <w:pPr>
              <w:widowControl/>
              <w:jc w:val="center"/>
              <w:rPr>
                <w:rFonts w:ascii="宋体" w:hAnsi="宋体"/>
                <w:b/>
                <w:bCs/>
                <w:color w:val="auto"/>
                <w:highlight w:val="none"/>
              </w:rPr>
            </w:pPr>
          </w:p>
        </w:tc>
      </w:tr>
      <w:tr w14:paraId="300DE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10E9156A">
            <w:pPr>
              <w:widowControl/>
              <w:jc w:val="center"/>
              <w:rPr>
                <w:rFonts w:ascii="宋体" w:hAnsi="宋体"/>
                <w:b/>
                <w:bCs/>
                <w:color w:val="auto"/>
                <w:highlight w:val="none"/>
              </w:rPr>
            </w:pPr>
          </w:p>
        </w:tc>
        <w:tc>
          <w:tcPr>
            <w:tcW w:w="363" w:type="pct"/>
            <w:tcBorders>
              <w:left w:val="single" w:color="auto" w:sz="4" w:space="0"/>
            </w:tcBorders>
            <w:vAlign w:val="center"/>
          </w:tcPr>
          <w:p w14:paraId="78E82A23">
            <w:pPr>
              <w:widowControl/>
              <w:numPr>
                <w:ilvl w:val="0"/>
                <w:numId w:val="24"/>
              </w:numPr>
              <w:jc w:val="center"/>
              <w:rPr>
                <w:rFonts w:ascii="宋体" w:hAnsi="宋体"/>
                <w:b/>
                <w:bCs/>
                <w:color w:val="auto"/>
                <w:highlight w:val="none"/>
              </w:rPr>
            </w:pPr>
          </w:p>
        </w:tc>
        <w:tc>
          <w:tcPr>
            <w:tcW w:w="2597" w:type="pct"/>
            <w:vAlign w:val="center"/>
          </w:tcPr>
          <w:p w14:paraId="0208F755">
            <w:pPr>
              <w:widowControl/>
              <w:rPr>
                <w:rFonts w:ascii="宋体" w:hAnsi="宋体"/>
                <w:b/>
                <w:color w:val="auto"/>
                <w:szCs w:val="21"/>
                <w:highlight w:val="none"/>
              </w:rPr>
            </w:pPr>
          </w:p>
        </w:tc>
        <w:tc>
          <w:tcPr>
            <w:tcW w:w="529" w:type="pct"/>
            <w:tcBorders>
              <w:right w:val="single" w:color="auto" w:sz="4" w:space="0"/>
            </w:tcBorders>
            <w:vAlign w:val="center"/>
          </w:tcPr>
          <w:p w14:paraId="720C74B0">
            <w:pPr>
              <w:widowControl/>
              <w:jc w:val="center"/>
              <w:rPr>
                <w:rFonts w:ascii="宋体" w:hAnsi="宋体"/>
                <w:b/>
                <w:bCs/>
                <w:color w:val="auto"/>
                <w:highlight w:val="none"/>
              </w:rPr>
            </w:pPr>
          </w:p>
        </w:tc>
        <w:tc>
          <w:tcPr>
            <w:tcW w:w="726" w:type="pct"/>
            <w:tcBorders>
              <w:left w:val="single" w:color="auto" w:sz="4" w:space="0"/>
            </w:tcBorders>
            <w:vAlign w:val="center"/>
          </w:tcPr>
          <w:p w14:paraId="21FB085F">
            <w:pPr>
              <w:widowControl/>
              <w:jc w:val="center"/>
              <w:rPr>
                <w:rFonts w:ascii="宋体" w:hAnsi="宋体"/>
                <w:b/>
                <w:bCs/>
                <w:color w:val="auto"/>
                <w:highlight w:val="none"/>
              </w:rPr>
            </w:pPr>
          </w:p>
        </w:tc>
      </w:tr>
      <w:tr w14:paraId="06414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3CF6E0FF">
            <w:pPr>
              <w:widowControl/>
              <w:jc w:val="center"/>
              <w:rPr>
                <w:rFonts w:ascii="宋体" w:hAnsi="宋体"/>
                <w:b/>
                <w:bCs/>
                <w:color w:val="auto"/>
                <w:highlight w:val="none"/>
              </w:rPr>
            </w:pPr>
          </w:p>
        </w:tc>
        <w:tc>
          <w:tcPr>
            <w:tcW w:w="363" w:type="pct"/>
            <w:tcBorders>
              <w:left w:val="single" w:color="auto" w:sz="4" w:space="0"/>
            </w:tcBorders>
            <w:vAlign w:val="center"/>
          </w:tcPr>
          <w:p w14:paraId="10CC1D28">
            <w:pPr>
              <w:widowControl/>
              <w:numPr>
                <w:ilvl w:val="0"/>
                <w:numId w:val="24"/>
              </w:numPr>
              <w:jc w:val="center"/>
              <w:rPr>
                <w:rFonts w:ascii="宋体" w:hAnsi="宋体"/>
                <w:b/>
                <w:bCs/>
                <w:color w:val="auto"/>
                <w:highlight w:val="none"/>
              </w:rPr>
            </w:pPr>
          </w:p>
        </w:tc>
        <w:tc>
          <w:tcPr>
            <w:tcW w:w="2597" w:type="pct"/>
            <w:vAlign w:val="center"/>
          </w:tcPr>
          <w:p w14:paraId="2900EDB2">
            <w:pPr>
              <w:widowControl/>
              <w:rPr>
                <w:rFonts w:ascii="宋体" w:hAnsi="宋体"/>
                <w:b/>
                <w:bCs/>
                <w:color w:val="auto"/>
                <w:highlight w:val="none"/>
              </w:rPr>
            </w:pPr>
          </w:p>
        </w:tc>
        <w:tc>
          <w:tcPr>
            <w:tcW w:w="529" w:type="pct"/>
            <w:tcBorders>
              <w:right w:val="single" w:color="auto" w:sz="4" w:space="0"/>
            </w:tcBorders>
            <w:vAlign w:val="center"/>
          </w:tcPr>
          <w:p w14:paraId="315213A2">
            <w:pPr>
              <w:widowControl/>
              <w:jc w:val="center"/>
              <w:rPr>
                <w:rFonts w:ascii="宋体" w:hAnsi="宋体"/>
                <w:b/>
                <w:bCs/>
                <w:color w:val="auto"/>
                <w:highlight w:val="none"/>
              </w:rPr>
            </w:pPr>
          </w:p>
        </w:tc>
        <w:tc>
          <w:tcPr>
            <w:tcW w:w="726" w:type="pct"/>
            <w:tcBorders>
              <w:left w:val="single" w:color="auto" w:sz="4" w:space="0"/>
            </w:tcBorders>
            <w:vAlign w:val="center"/>
          </w:tcPr>
          <w:p w14:paraId="1D533D98">
            <w:pPr>
              <w:widowControl/>
              <w:jc w:val="center"/>
              <w:rPr>
                <w:rFonts w:ascii="宋体" w:hAnsi="宋体"/>
                <w:b/>
                <w:bCs/>
                <w:color w:val="auto"/>
                <w:highlight w:val="none"/>
              </w:rPr>
            </w:pPr>
          </w:p>
        </w:tc>
      </w:tr>
      <w:tr w14:paraId="0BE78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14B1DA00">
            <w:pPr>
              <w:widowControl/>
              <w:jc w:val="center"/>
              <w:rPr>
                <w:rFonts w:ascii="宋体" w:hAnsi="宋体"/>
                <w:b/>
                <w:bCs/>
                <w:color w:val="auto"/>
                <w:highlight w:val="none"/>
              </w:rPr>
            </w:pPr>
          </w:p>
        </w:tc>
        <w:tc>
          <w:tcPr>
            <w:tcW w:w="363" w:type="pct"/>
            <w:tcBorders>
              <w:left w:val="single" w:color="auto" w:sz="4" w:space="0"/>
            </w:tcBorders>
            <w:vAlign w:val="center"/>
          </w:tcPr>
          <w:p w14:paraId="36B6C043">
            <w:pPr>
              <w:widowControl/>
              <w:numPr>
                <w:ilvl w:val="0"/>
                <w:numId w:val="24"/>
              </w:numPr>
              <w:jc w:val="center"/>
              <w:rPr>
                <w:rFonts w:ascii="宋体" w:hAnsi="宋体"/>
                <w:b/>
                <w:bCs/>
                <w:color w:val="auto"/>
                <w:highlight w:val="none"/>
              </w:rPr>
            </w:pPr>
          </w:p>
        </w:tc>
        <w:tc>
          <w:tcPr>
            <w:tcW w:w="2597" w:type="pct"/>
            <w:vAlign w:val="center"/>
          </w:tcPr>
          <w:p w14:paraId="6845A11B">
            <w:pPr>
              <w:widowControl/>
              <w:rPr>
                <w:rFonts w:ascii="宋体" w:hAnsi="宋体"/>
                <w:b/>
                <w:bCs/>
                <w:color w:val="auto"/>
                <w:highlight w:val="none"/>
              </w:rPr>
            </w:pPr>
          </w:p>
        </w:tc>
        <w:tc>
          <w:tcPr>
            <w:tcW w:w="529" w:type="pct"/>
            <w:tcBorders>
              <w:right w:val="single" w:color="auto" w:sz="4" w:space="0"/>
            </w:tcBorders>
            <w:vAlign w:val="center"/>
          </w:tcPr>
          <w:p w14:paraId="65D34226">
            <w:pPr>
              <w:widowControl/>
              <w:jc w:val="center"/>
              <w:rPr>
                <w:rFonts w:ascii="宋体" w:hAnsi="宋体"/>
                <w:b/>
                <w:bCs/>
                <w:color w:val="auto"/>
                <w:highlight w:val="none"/>
              </w:rPr>
            </w:pPr>
          </w:p>
        </w:tc>
        <w:tc>
          <w:tcPr>
            <w:tcW w:w="726" w:type="pct"/>
            <w:tcBorders>
              <w:left w:val="single" w:color="auto" w:sz="4" w:space="0"/>
            </w:tcBorders>
            <w:vAlign w:val="center"/>
          </w:tcPr>
          <w:p w14:paraId="261E2EE1">
            <w:pPr>
              <w:widowControl/>
              <w:jc w:val="center"/>
              <w:rPr>
                <w:rFonts w:ascii="宋体" w:hAnsi="宋体"/>
                <w:b/>
                <w:bCs/>
                <w:color w:val="auto"/>
                <w:highlight w:val="none"/>
              </w:rPr>
            </w:pPr>
          </w:p>
        </w:tc>
      </w:tr>
      <w:tr w14:paraId="0774A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261A26B3">
            <w:pPr>
              <w:widowControl/>
              <w:jc w:val="center"/>
              <w:rPr>
                <w:rFonts w:ascii="宋体" w:hAnsi="宋体"/>
                <w:b/>
                <w:bCs/>
                <w:color w:val="auto"/>
                <w:highlight w:val="none"/>
              </w:rPr>
            </w:pPr>
          </w:p>
        </w:tc>
        <w:tc>
          <w:tcPr>
            <w:tcW w:w="363" w:type="pct"/>
            <w:tcBorders>
              <w:left w:val="single" w:color="auto" w:sz="4" w:space="0"/>
            </w:tcBorders>
            <w:vAlign w:val="center"/>
          </w:tcPr>
          <w:p w14:paraId="72B6B93E">
            <w:pPr>
              <w:widowControl/>
              <w:numPr>
                <w:ilvl w:val="0"/>
                <w:numId w:val="24"/>
              </w:numPr>
              <w:jc w:val="center"/>
              <w:rPr>
                <w:rFonts w:ascii="宋体" w:hAnsi="宋体"/>
                <w:b/>
                <w:bCs/>
                <w:color w:val="auto"/>
                <w:highlight w:val="none"/>
              </w:rPr>
            </w:pPr>
          </w:p>
        </w:tc>
        <w:tc>
          <w:tcPr>
            <w:tcW w:w="2597" w:type="pct"/>
            <w:vAlign w:val="center"/>
          </w:tcPr>
          <w:p w14:paraId="774CF852">
            <w:pPr>
              <w:widowControl/>
              <w:rPr>
                <w:rFonts w:ascii="宋体" w:hAnsi="宋体"/>
                <w:b/>
                <w:bCs/>
                <w:color w:val="auto"/>
                <w:highlight w:val="none"/>
              </w:rPr>
            </w:pPr>
          </w:p>
        </w:tc>
        <w:tc>
          <w:tcPr>
            <w:tcW w:w="529" w:type="pct"/>
            <w:tcBorders>
              <w:right w:val="single" w:color="auto" w:sz="4" w:space="0"/>
            </w:tcBorders>
            <w:vAlign w:val="center"/>
          </w:tcPr>
          <w:p w14:paraId="1AE506D9">
            <w:pPr>
              <w:widowControl/>
              <w:jc w:val="center"/>
              <w:rPr>
                <w:rFonts w:ascii="宋体" w:hAnsi="宋体"/>
                <w:b/>
                <w:bCs/>
                <w:color w:val="auto"/>
                <w:highlight w:val="none"/>
              </w:rPr>
            </w:pPr>
          </w:p>
        </w:tc>
        <w:tc>
          <w:tcPr>
            <w:tcW w:w="726" w:type="pct"/>
            <w:tcBorders>
              <w:left w:val="single" w:color="auto" w:sz="4" w:space="0"/>
            </w:tcBorders>
            <w:vAlign w:val="center"/>
          </w:tcPr>
          <w:p w14:paraId="6E19C570">
            <w:pPr>
              <w:widowControl/>
              <w:jc w:val="center"/>
              <w:rPr>
                <w:rFonts w:ascii="宋体" w:hAnsi="宋体"/>
                <w:b/>
                <w:bCs/>
                <w:color w:val="auto"/>
                <w:highlight w:val="none"/>
              </w:rPr>
            </w:pPr>
          </w:p>
        </w:tc>
      </w:tr>
      <w:tr w14:paraId="223C7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1DDA43A7">
            <w:pPr>
              <w:widowControl/>
              <w:jc w:val="center"/>
              <w:rPr>
                <w:rFonts w:ascii="宋体" w:hAnsi="宋体"/>
                <w:b/>
                <w:bCs/>
                <w:color w:val="auto"/>
                <w:highlight w:val="none"/>
              </w:rPr>
            </w:pPr>
          </w:p>
        </w:tc>
        <w:tc>
          <w:tcPr>
            <w:tcW w:w="363" w:type="pct"/>
            <w:tcBorders>
              <w:left w:val="single" w:color="auto" w:sz="4" w:space="0"/>
            </w:tcBorders>
            <w:vAlign w:val="center"/>
          </w:tcPr>
          <w:p w14:paraId="1B89D438">
            <w:pPr>
              <w:widowControl/>
              <w:numPr>
                <w:ilvl w:val="0"/>
                <w:numId w:val="24"/>
              </w:numPr>
              <w:jc w:val="center"/>
              <w:rPr>
                <w:rFonts w:ascii="宋体" w:hAnsi="宋体"/>
                <w:b/>
                <w:bCs/>
                <w:color w:val="auto"/>
                <w:highlight w:val="none"/>
              </w:rPr>
            </w:pPr>
          </w:p>
        </w:tc>
        <w:tc>
          <w:tcPr>
            <w:tcW w:w="2597" w:type="pct"/>
            <w:vAlign w:val="center"/>
          </w:tcPr>
          <w:p w14:paraId="1C2B538B">
            <w:pPr>
              <w:widowControl/>
              <w:rPr>
                <w:rFonts w:ascii="宋体" w:hAnsi="宋体"/>
                <w:b/>
                <w:bCs/>
                <w:color w:val="auto"/>
                <w:highlight w:val="none"/>
              </w:rPr>
            </w:pPr>
          </w:p>
        </w:tc>
        <w:tc>
          <w:tcPr>
            <w:tcW w:w="529" w:type="pct"/>
            <w:tcBorders>
              <w:right w:val="single" w:color="auto" w:sz="4" w:space="0"/>
            </w:tcBorders>
            <w:vAlign w:val="center"/>
          </w:tcPr>
          <w:p w14:paraId="616D937E">
            <w:pPr>
              <w:widowControl/>
              <w:jc w:val="center"/>
              <w:rPr>
                <w:rFonts w:ascii="宋体" w:hAnsi="宋体"/>
                <w:b/>
                <w:bCs/>
                <w:color w:val="auto"/>
                <w:highlight w:val="none"/>
              </w:rPr>
            </w:pPr>
          </w:p>
        </w:tc>
        <w:tc>
          <w:tcPr>
            <w:tcW w:w="726" w:type="pct"/>
            <w:tcBorders>
              <w:left w:val="single" w:color="auto" w:sz="4" w:space="0"/>
            </w:tcBorders>
            <w:vAlign w:val="center"/>
          </w:tcPr>
          <w:p w14:paraId="3D354B74">
            <w:pPr>
              <w:widowControl/>
              <w:jc w:val="center"/>
              <w:rPr>
                <w:rFonts w:ascii="宋体" w:hAnsi="宋体"/>
                <w:b/>
                <w:bCs/>
                <w:color w:val="auto"/>
                <w:highlight w:val="none"/>
              </w:rPr>
            </w:pPr>
          </w:p>
        </w:tc>
      </w:tr>
      <w:tr w14:paraId="0BD84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319E7F1C">
            <w:pPr>
              <w:widowControl/>
              <w:jc w:val="center"/>
              <w:rPr>
                <w:rFonts w:ascii="宋体" w:hAnsi="宋体"/>
                <w:b/>
                <w:bCs/>
                <w:color w:val="auto"/>
                <w:highlight w:val="none"/>
              </w:rPr>
            </w:pPr>
          </w:p>
        </w:tc>
        <w:tc>
          <w:tcPr>
            <w:tcW w:w="363" w:type="pct"/>
            <w:tcBorders>
              <w:left w:val="single" w:color="auto" w:sz="4" w:space="0"/>
            </w:tcBorders>
            <w:vAlign w:val="center"/>
          </w:tcPr>
          <w:p w14:paraId="4C6023FA">
            <w:pPr>
              <w:widowControl/>
              <w:numPr>
                <w:ilvl w:val="0"/>
                <w:numId w:val="24"/>
              </w:numPr>
              <w:jc w:val="center"/>
              <w:rPr>
                <w:rFonts w:ascii="宋体" w:hAnsi="宋体"/>
                <w:b/>
                <w:bCs/>
                <w:color w:val="auto"/>
                <w:highlight w:val="none"/>
              </w:rPr>
            </w:pPr>
          </w:p>
        </w:tc>
        <w:tc>
          <w:tcPr>
            <w:tcW w:w="2597" w:type="pct"/>
            <w:vAlign w:val="center"/>
          </w:tcPr>
          <w:p w14:paraId="58F35BED">
            <w:pPr>
              <w:widowControl/>
              <w:rPr>
                <w:rFonts w:ascii="宋体" w:hAnsi="宋体"/>
                <w:b/>
                <w:bCs/>
                <w:color w:val="auto"/>
                <w:highlight w:val="none"/>
              </w:rPr>
            </w:pPr>
          </w:p>
        </w:tc>
        <w:tc>
          <w:tcPr>
            <w:tcW w:w="529" w:type="pct"/>
            <w:tcBorders>
              <w:right w:val="single" w:color="auto" w:sz="4" w:space="0"/>
            </w:tcBorders>
            <w:vAlign w:val="center"/>
          </w:tcPr>
          <w:p w14:paraId="5D09DC47">
            <w:pPr>
              <w:widowControl/>
              <w:jc w:val="center"/>
              <w:rPr>
                <w:rFonts w:ascii="宋体" w:hAnsi="宋体"/>
                <w:b/>
                <w:bCs/>
                <w:color w:val="auto"/>
                <w:highlight w:val="none"/>
              </w:rPr>
            </w:pPr>
          </w:p>
        </w:tc>
        <w:tc>
          <w:tcPr>
            <w:tcW w:w="726" w:type="pct"/>
            <w:tcBorders>
              <w:left w:val="single" w:color="auto" w:sz="4" w:space="0"/>
            </w:tcBorders>
            <w:vAlign w:val="center"/>
          </w:tcPr>
          <w:p w14:paraId="6C65D3B0">
            <w:pPr>
              <w:widowControl/>
              <w:jc w:val="center"/>
              <w:rPr>
                <w:rFonts w:ascii="宋体" w:hAnsi="宋体"/>
                <w:b/>
                <w:bCs/>
                <w:color w:val="auto"/>
                <w:highlight w:val="none"/>
              </w:rPr>
            </w:pPr>
          </w:p>
        </w:tc>
      </w:tr>
      <w:tr w14:paraId="4464C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4E1FFF9C">
            <w:pPr>
              <w:widowControl/>
              <w:jc w:val="center"/>
              <w:rPr>
                <w:rFonts w:ascii="宋体" w:hAnsi="宋体"/>
                <w:b/>
                <w:bCs/>
                <w:color w:val="auto"/>
                <w:highlight w:val="none"/>
              </w:rPr>
            </w:pPr>
          </w:p>
        </w:tc>
        <w:tc>
          <w:tcPr>
            <w:tcW w:w="363" w:type="pct"/>
            <w:tcBorders>
              <w:left w:val="single" w:color="auto" w:sz="4" w:space="0"/>
            </w:tcBorders>
            <w:vAlign w:val="center"/>
          </w:tcPr>
          <w:p w14:paraId="083D4FDA">
            <w:pPr>
              <w:widowControl/>
              <w:numPr>
                <w:ilvl w:val="0"/>
                <w:numId w:val="24"/>
              </w:numPr>
              <w:jc w:val="center"/>
              <w:rPr>
                <w:rFonts w:ascii="宋体" w:hAnsi="宋体"/>
                <w:b/>
                <w:bCs/>
                <w:color w:val="auto"/>
                <w:highlight w:val="none"/>
              </w:rPr>
            </w:pPr>
          </w:p>
        </w:tc>
        <w:tc>
          <w:tcPr>
            <w:tcW w:w="2597" w:type="pct"/>
            <w:vAlign w:val="center"/>
          </w:tcPr>
          <w:p w14:paraId="42CCA723">
            <w:pPr>
              <w:widowControl/>
              <w:rPr>
                <w:rFonts w:ascii="宋体" w:hAnsi="宋体"/>
                <w:b/>
                <w:bCs/>
                <w:color w:val="auto"/>
                <w:highlight w:val="none"/>
              </w:rPr>
            </w:pPr>
          </w:p>
        </w:tc>
        <w:tc>
          <w:tcPr>
            <w:tcW w:w="529" w:type="pct"/>
            <w:tcBorders>
              <w:right w:val="single" w:color="auto" w:sz="4" w:space="0"/>
            </w:tcBorders>
            <w:vAlign w:val="center"/>
          </w:tcPr>
          <w:p w14:paraId="3E9F5F28">
            <w:pPr>
              <w:widowControl/>
              <w:jc w:val="center"/>
              <w:rPr>
                <w:rFonts w:ascii="宋体" w:hAnsi="宋体"/>
                <w:b/>
                <w:bCs/>
                <w:color w:val="auto"/>
                <w:highlight w:val="none"/>
              </w:rPr>
            </w:pPr>
          </w:p>
        </w:tc>
        <w:tc>
          <w:tcPr>
            <w:tcW w:w="726" w:type="pct"/>
            <w:tcBorders>
              <w:left w:val="single" w:color="auto" w:sz="4" w:space="0"/>
            </w:tcBorders>
            <w:vAlign w:val="center"/>
          </w:tcPr>
          <w:p w14:paraId="7192E09C">
            <w:pPr>
              <w:widowControl/>
              <w:jc w:val="center"/>
              <w:rPr>
                <w:rFonts w:ascii="宋体" w:hAnsi="宋体"/>
                <w:b/>
                <w:bCs/>
                <w:color w:val="auto"/>
                <w:highlight w:val="none"/>
              </w:rPr>
            </w:pPr>
          </w:p>
        </w:tc>
      </w:tr>
      <w:tr w14:paraId="35A5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75F4AEA6">
            <w:pPr>
              <w:widowControl/>
              <w:jc w:val="center"/>
              <w:rPr>
                <w:rFonts w:ascii="宋体" w:hAnsi="宋体"/>
                <w:b/>
                <w:bCs/>
                <w:color w:val="auto"/>
                <w:highlight w:val="none"/>
              </w:rPr>
            </w:pPr>
          </w:p>
        </w:tc>
        <w:tc>
          <w:tcPr>
            <w:tcW w:w="363" w:type="pct"/>
            <w:tcBorders>
              <w:left w:val="single" w:color="auto" w:sz="4" w:space="0"/>
            </w:tcBorders>
            <w:vAlign w:val="center"/>
          </w:tcPr>
          <w:p w14:paraId="51CA94CB">
            <w:pPr>
              <w:widowControl/>
              <w:numPr>
                <w:ilvl w:val="255"/>
                <w:numId w:val="0"/>
              </w:numPr>
              <w:rPr>
                <w:rFonts w:ascii="宋体" w:hAnsi="宋体"/>
                <w:b/>
                <w:bCs/>
                <w:color w:val="auto"/>
                <w:highlight w:val="none"/>
              </w:rPr>
            </w:pPr>
          </w:p>
        </w:tc>
        <w:tc>
          <w:tcPr>
            <w:tcW w:w="2597" w:type="pct"/>
            <w:vAlign w:val="center"/>
          </w:tcPr>
          <w:p w14:paraId="2D9D4105">
            <w:pPr>
              <w:widowControl/>
              <w:rPr>
                <w:rFonts w:ascii="宋体" w:hAnsi="宋体"/>
                <w:b/>
                <w:bCs/>
                <w:color w:val="auto"/>
                <w:highlight w:val="none"/>
              </w:rPr>
            </w:pPr>
            <w:r>
              <w:rPr>
                <w:rFonts w:hint="eastAsia" w:ascii="宋体" w:hAnsi="宋体"/>
                <w:b/>
                <w:color w:val="auto"/>
                <w:szCs w:val="21"/>
                <w:highlight w:val="none"/>
              </w:rPr>
              <w:t>...</w:t>
            </w:r>
          </w:p>
        </w:tc>
        <w:tc>
          <w:tcPr>
            <w:tcW w:w="529" w:type="pct"/>
            <w:tcBorders>
              <w:right w:val="single" w:color="auto" w:sz="4" w:space="0"/>
            </w:tcBorders>
            <w:vAlign w:val="center"/>
          </w:tcPr>
          <w:p w14:paraId="3B46F5CB">
            <w:pPr>
              <w:widowControl/>
              <w:jc w:val="center"/>
              <w:rPr>
                <w:rFonts w:ascii="宋体" w:hAnsi="宋体"/>
                <w:b/>
                <w:bCs/>
                <w:color w:val="auto"/>
                <w:highlight w:val="none"/>
              </w:rPr>
            </w:pPr>
          </w:p>
        </w:tc>
        <w:tc>
          <w:tcPr>
            <w:tcW w:w="726" w:type="pct"/>
            <w:tcBorders>
              <w:left w:val="single" w:color="auto" w:sz="4" w:space="0"/>
            </w:tcBorders>
            <w:vAlign w:val="center"/>
          </w:tcPr>
          <w:p w14:paraId="74FA58CA">
            <w:pPr>
              <w:widowControl/>
              <w:jc w:val="center"/>
              <w:rPr>
                <w:rFonts w:ascii="宋体" w:hAnsi="宋体"/>
                <w:b/>
                <w:bCs/>
                <w:color w:val="auto"/>
                <w:highlight w:val="none"/>
              </w:rPr>
            </w:pPr>
          </w:p>
        </w:tc>
      </w:tr>
      <w:tr w14:paraId="77C99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restart"/>
            <w:tcBorders>
              <w:top w:val="single" w:color="auto" w:sz="4" w:space="0"/>
              <w:right w:val="single" w:color="auto" w:sz="4" w:space="0"/>
            </w:tcBorders>
            <w:vAlign w:val="center"/>
          </w:tcPr>
          <w:p w14:paraId="0DAFDE6F">
            <w:pPr>
              <w:jc w:val="center"/>
              <w:rPr>
                <w:rFonts w:ascii="宋体" w:hAnsi="宋体"/>
                <w:b/>
                <w:bCs/>
                <w:color w:val="auto"/>
                <w:highlight w:val="none"/>
              </w:rPr>
            </w:pPr>
            <w:r>
              <w:rPr>
                <w:rFonts w:hint="eastAsia" w:ascii="宋体" w:hAnsi="宋体"/>
                <w:b/>
                <w:bCs/>
                <w:color w:val="auto"/>
                <w:highlight w:val="none"/>
              </w:rPr>
              <w:t>技术部分</w:t>
            </w:r>
          </w:p>
        </w:tc>
        <w:tc>
          <w:tcPr>
            <w:tcW w:w="363" w:type="pct"/>
            <w:tcBorders>
              <w:top w:val="single" w:color="auto" w:sz="4" w:space="0"/>
              <w:left w:val="single" w:color="auto" w:sz="4" w:space="0"/>
            </w:tcBorders>
            <w:vAlign w:val="center"/>
          </w:tcPr>
          <w:p w14:paraId="511EBE17">
            <w:pPr>
              <w:widowControl/>
              <w:numPr>
                <w:ilvl w:val="0"/>
                <w:numId w:val="24"/>
              </w:numPr>
              <w:jc w:val="center"/>
              <w:rPr>
                <w:rFonts w:ascii="宋体" w:hAnsi="宋体"/>
                <w:b/>
                <w:bCs/>
                <w:color w:val="auto"/>
                <w:highlight w:val="none"/>
              </w:rPr>
            </w:pPr>
          </w:p>
        </w:tc>
        <w:tc>
          <w:tcPr>
            <w:tcW w:w="2597" w:type="pct"/>
            <w:tcBorders>
              <w:top w:val="single" w:color="auto" w:sz="4" w:space="0"/>
            </w:tcBorders>
          </w:tcPr>
          <w:p w14:paraId="12568FAC">
            <w:pPr>
              <w:rPr>
                <w:rFonts w:ascii="宋体" w:hAnsi="宋体"/>
                <w:b/>
                <w:color w:val="auto"/>
                <w:szCs w:val="21"/>
                <w:highlight w:val="none"/>
              </w:rPr>
            </w:pPr>
          </w:p>
        </w:tc>
        <w:tc>
          <w:tcPr>
            <w:tcW w:w="529" w:type="pct"/>
            <w:tcBorders>
              <w:right w:val="single" w:color="auto" w:sz="4" w:space="0"/>
            </w:tcBorders>
            <w:vAlign w:val="center"/>
          </w:tcPr>
          <w:p w14:paraId="680D1201">
            <w:pPr>
              <w:widowControl/>
              <w:jc w:val="center"/>
              <w:rPr>
                <w:rFonts w:ascii="宋体" w:hAnsi="宋体"/>
                <w:b/>
                <w:bCs/>
                <w:color w:val="auto"/>
                <w:highlight w:val="none"/>
              </w:rPr>
            </w:pPr>
          </w:p>
        </w:tc>
        <w:tc>
          <w:tcPr>
            <w:tcW w:w="726" w:type="pct"/>
            <w:tcBorders>
              <w:left w:val="single" w:color="auto" w:sz="4" w:space="0"/>
            </w:tcBorders>
            <w:vAlign w:val="center"/>
          </w:tcPr>
          <w:p w14:paraId="5E827694">
            <w:pPr>
              <w:widowControl/>
              <w:jc w:val="center"/>
              <w:rPr>
                <w:rFonts w:ascii="宋体" w:hAnsi="宋体"/>
                <w:b/>
                <w:bCs/>
                <w:color w:val="auto"/>
                <w:highlight w:val="none"/>
              </w:rPr>
            </w:pPr>
          </w:p>
        </w:tc>
      </w:tr>
      <w:tr w14:paraId="51B28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3A74F464">
            <w:pPr>
              <w:widowControl/>
              <w:jc w:val="center"/>
              <w:rPr>
                <w:rFonts w:ascii="宋体" w:hAnsi="宋体"/>
                <w:b/>
                <w:bCs/>
                <w:color w:val="auto"/>
                <w:highlight w:val="none"/>
              </w:rPr>
            </w:pPr>
          </w:p>
        </w:tc>
        <w:tc>
          <w:tcPr>
            <w:tcW w:w="363" w:type="pct"/>
            <w:tcBorders>
              <w:top w:val="single" w:color="auto" w:sz="4" w:space="0"/>
              <w:left w:val="single" w:color="auto" w:sz="4" w:space="0"/>
              <w:bottom w:val="single" w:color="auto" w:sz="4" w:space="0"/>
            </w:tcBorders>
            <w:vAlign w:val="center"/>
          </w:tcPr>
          <w:p w14:paraId="36E45BEB">
            <w:pPr>
              <w:widowControl/>
              <w:numPr>
                <w:ilvl w:val="0"/>
                <w:numId w:val="24"/>
              </w:numPr>
              <w:jc w:val="center"/>
              <w:rPr>
                <w:rFonts w:ascii="宋体" w:hAnsi="宋体"/>
                <w:b/>
                <w:bCs/>
                <w:color w:val="auto"/>
                <w:highlight w:val="none"/>
              </w:rPr>
            </w:pPr>
          </w:p>
        </w:tc>
        <w:tc>
          <w:tcPr>
            <w:tcW w:w="2597" w:type="pct"/>
            <w:tcBorders>
              <w:top w:val="single" w:color="auto" w:sz="4" w:space="0"/>
              <w:bottom w:val="single" w:color="auto" w:sz="4" w:space="0"/>
            </w:tcBorders>
          </w:tcPr>
          <w:p w14:paraId="387697B0">
            <w:pPr>
              <w:rPr>
                <w:rFonts w:ascii="宋体" w:hAnsi="宋体"/>
                <w:b/>
                <w:color w:val="auto"/>
                <w:szCs w:val="21"/>
                <w:highlight w:val="none"/>
              </w:rPr>
            </w:pPr>
          </w:p>
        </w:tc>
        <w:tc>
          <w:tcPr>
            <w:tcW w:w="529" w:type="pct"/>
            <w:tcBorders>
              <w:right w:val="single" w:color="auto" w:sz="4" w:space="0"/>
            </w:tcBorders>
            <w:vAlign w:val="center"/>
          </w:tcPr>
          <w:p w14:paraId="01AEB46F">
            <w:pPr>
              <w:widowControl/>
              <w:jc w:val="center"/>
              <w:rPr>
                <w:rFonts w:ascii="宋体" w:hAnsi="宋体"/>
                <w:b/>
                <w:bCs/>
                <w:color w:val="auto"/>
                <w:highlight w:val="none"/>
              </w:rPr>
            </w:pPr>
          </w:p>
        </w:tc>
        <w:tc>
          <w:tcPr>
            <w:tcW w:w="726" w:type="pct"/>
            <w:tcBorders>
              <w:left w:val="single" w:color="auto" w:sz="4" w:space="0"/>
            </w:tcBorders>
            <w:vAlign w:val="center"/>
          </w:tcPr>
          <w:p w14:paraId="122F4BB6">
            <w:pPr>
              <w:widowControl/>
              <w:jc w:val="center"/>
              <w:rPr>
                <w:rFonts w:ascii="宋体" w:hAnsi="宋体"/>
                <w:b/>
                <w:bCs/>
                <w:color w:val="auto"/>
                <w:highlight w:val="none"/>
              </w:rPr>
            </w:pPr>
          </w:p>
        </w:tc>
      </w:tr>
      <w:tr w14:paraId="3465C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2E8C673D">
            <w:pPr>
              <w:widowControl/>
              <w:jc w:val="center"/>
              <w:rPr>
                <w:rFonts w:ascii="宋体" w:hAnsi="宋体"/>
                <w:b/>
                <w:bCs/>
                <w:color w:val="auto"/>
                <w:highlight w:val="none"/>
              </w:rPr>
            </w:pPr>
          </w:p>
        </w:tc>
        <w:tc>
          <w:tcPr>
            <w:tcW w:w="363" w:type="pct"/>
            <w:tcBorders>
              <w:top w:val="single" w:color="auto" w:sz="4" w:space="0"/>
              <w:left w:val="single" w:color="auto" w:sz="4" w:space="0"/>
              <w:bottom w:val="single" w:color="auto" w:sz="4" w:space="0"/>
            </w:tcBorders>
            <w:vAlign w:val="center"/>
          </w:tcPr>
          <w:p w14:paraId="7029A529">
            <w:pPr>
              <w:widowControl/>
              <w:numPr>
                <w:ilvl w:val="0"/>
                <w:numId w:val="24"/>
              </w:numPr>
              <w:jc w:val="center"/>
              <w:rPr>
                <w:rFonts w:ascii="宋体" w:hAnsi="宋体"/>
                <w:b/>
                <w:bCs/>
                <w:color w:val="auto"/>
                <w:highlight w:val="none"/>
              </w:rPr>
            </w:pPr>
          </w:p>
        </w:tc>
        <w:tc>
          <w:tcPr>
            <w:tcW w:w="2597" w:type="pct"/>
            <w:tcBorders>
              <w:top w:val="single" w:color="auto" w:sz="4" w:space="0"/>
              <w:bottom w:val="single" w:color="auto" w:sz="4" w:space="0"/>
            </w:tcBorders>
          </w:tcPr>
          <w:p w14:paraId="27233845">
            <w:pPr>
              <w:rPr>
                <w:rFonts w:ascii="宋体" w:hAnsi="宋体"/>
                <w:b/>
                <w:color w:val="auto"/>
                <w:szCs w:val="21"/>
                <w:highlight w:val="none"/>
              </w:rPr>
            </w:pPr>
          </w:p>
        </w:tc>
        <w:tc>
          <w:tcPr>
            <w:tcW w:w="529" w:type="pct"/>
            <w:tcBorders>
              <w:right w:val="single" w:color="auto" w:sz="4" w:space="0"/>
            </w:tcBorders>
            <w:vAlign w:val="center"/>
          </w:tcPr>
          <w:p w14:paraId="7F55DD71">
            <w:pPr>
              <w:widowControl/>
              <w:jc w:val="center"/>
              <w:rPr>
                <w:rFonts w:ascii="宋体" w:hAnsi="宋体"/>
                <w:b/>
                <w:bCs/>
                <w:color w:val="auto"/>
                <w:highlight w:val="none"/>
              </w:rPr>
            </w:pPr>
          </w:p>
        </w:tc>
        <w:tc>
          <w:tcPr>
            <w:tcW w:w="726" w:type="pct"/>
            <w:tcBorders>
              <w:left w:val="single" w:color="auto" w:sz="4" w:space="0"/>
            </w:tcBorders>
            <w:vAlign w:val="center"/>
          </w:tcPr>
          <w:p w14:paraId="37E92052">
            <w:pPr>
              <w:widowControl/>
              <w:jc w:val="center"/>
              <w:rPr>
                <w:rFonts w:ascii="宋体" w:hAnsi="宋体"/>
                <w:b/>
                <w:bCs/>
                <w:color w:val="auto"/>
                <w:highlight w:val="none"/>
              </w:rPr>
            </w:pPr>
          </w:p>
        </w:tc>
      </w:tr>
      <w:tr w14:paraId="5D209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6D79A34E">
            <w:pPr>
              <w:widowControl/>
              <w:jc w:val="center"/>
              <w:rPr>
                <w:rFonts w:ascii="宋体" w:hAnsi="宋体"/>
                <w:b/>
                <w:bCs/>
                <w:color w:val="auto"/>
                <w:highlight w:val="none"/>
              </w:rPr>
            </w:pPr>
          </w:p>
        </w:tc>
        <w:tc>
          <w:tcPr>
            <w:tcW w:w="363" w:type="pct"/>
            <w:tcBorders>
              <w:top w:val="single" w:color="auto" w:sz="4" w:space="0"/>
              <w:left w:val="single" w:color="auto" w:sz="4" w:space="0"/>
              <w:bottom w:val="single" w:color="auto" w:sz="4" w:space="0"/>
            </w:tcBorders>
            <w:vAlign w:val="center"/>
          </w:tcPr>
          <w:p w14:paraId="2899641F">
            <w:pPr>
              <w:widowControl/>
              <w:numPr>
                <w:ilvl w:val="0"/>
                <w:numId w:val="24"/>
              </w:numPr>
              <w:jc w:val="center"/>
              <w:rPr>
                <w:rFonts w:ascii="宋体" w:hAnsi="宋体"/>
                <w:b/>
                <w:bCs/>
                <w:color w:val="auto"/>
                <w:highlight w:val="none"/>
              </w:rPr>
            </w:pPr>
          </w:p>
        </w:tc>
        <w:tc>
          <w:tcPr>
            <w:tcW w:w="2597" w:type="pct"/>
            <w:tcBorders>
              <w:top w:val="single" w:color="auto" w:sz="4" w:space="0"/>
              <w:bottom w:val="single" w:color="auto" w:sz="4" w:space="0"/>
            </w:tcBorders>
          </w:tcPr>
          <w:p w14:paraId="17969694">
            <w:pPr>
              <w:rPr>
                <w:rFonts w:ascii="宋体" w:hAnsi="宋体"/>
                <w:b/>
                <w:color w:val="auto"/>
                <w:szCs w:val="21"/>
                <w:highlight w:val="none"/>
              </w:rPr>
            </w:pPr>
          </w:p>
        </w:tc>
        <w:tc>
          <w:tcPr>
            <w:tcW w:w="529" w:type="pct"/>
            <w:tcBorders>
              <w:right w:val="single" w:color="auto" w:sz="4" w:space="0"/>
            </w:tcBorders>
            <w:vAlign w:val="center"/>
          </w:tcPr>
          <w:p w14:paraId="533C8219">
            <w:pPr>
              <w:widowControl/>
              <w:jc w:val="center"/>
              <w:rPr>
                <w:rFonts w:ascii="宋体" w:hAnsi="宋体"/>
                <w:b/>
                <w:bCs/>
                <w:color w:val="auto"/>
                <w:highlight w:val="none"/>
              </w:rPr>
            </w:pPr>
          </w:p>
        </w:tc>
        <w:tc>
          <w:tcPr>
            <w:tcW w:w="726" w:type="pct"/>
            <w:tcBorders>
              <w:left w:val="single" w:color="auto" w:sz="4" w:space="0"/>
            </w:tcBorders>
            <w:vAlign w:val="center"/>
          </w:tcPr>
          <w:p w14:paraId="17A80243">
            <w:pPr>
              <w:widowControl/>
              <w:jc w:val="center"/>
              <w:rPr>
                <w:rFonts w:ascii="宋体" w:hAnsi="宋体"/>
                <w:b/>
                <w:bCs/>
                <w:color w:val="auto"/>
                <w:highlight w:val="none"/>
              </w:rPr>
            </w:pPr>
          </w:p>
        </w:tc>
      </w:tr>
      <w:tr w14:paraId="1F77C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83" w:type="pct"/>
            <w:vMerge w:val="continue"/>
            <w:tcBorders>
              <w:right w:val="single" w:color="auto" w:sz="4" w:space="0"/>
            </w:tcBorders>
            <w:vAlign w:val="center"/>
          </w:tcPr>
          <w:p w14:paraId="77BC61CF">
            <w:pPr>
              <w:widowControl/>
              <w:jc w:val="center"/>
              <w:rPr>
                <w:rFonts w:ascii="宋体" w:hAnsi="宋体"/>
                <w:b/>
                <w:bCs/>
                <w:color w:val="auto"/>
                <w:highlight w:val="none"/>
              </w:rPr>
            </w:pPr>
          </w:p>
        </w:tc>
        <w:tc>
          <w:tcPr>
            <w:tcW w:w="363" w:type="pct"/>
            <w:tcBorders>
              <w:top w:val="single" w:color="auto" w:sz="4" w:space="0"/>
              <w:left w:val="single" w:color="auto" w:sz="4" w:space="0"/>
            </w:tcBorders>
            <w:vAlign w:val="center"/>
          </w:tcPr>
          <w:p w14:paraId="149537AF">
            <w:pPr>
              <w:widowControl/>
              <w:numPr>
                <w:ilvl w:val="255"/>
                <w:numId w:val="0"/>
              </w:numPr>
              <w:rPr>
                <w:rFonts w:ascii="宋体" w:hAnsi="宋体"/>
                <w:b/>
                <w:bCs/>
                <w:color w:val="auto"/>
                <w:highlight w:val="none"/>
              </w:rPr>
            </w:pPr>
          </w:p>
        </w:tc>
        <w:tc>
          <w:tcPr>
            <w:tcW w:w="2597" w:type="pct"/>
            <w:tcBorders>
              <w:top w:val="single" w:color="auto" w:sz="4" w:space="0"/>
            </w:tcBorders>
          </w:tcPr>
          <w:p w14:paraId="4B508F14">
            <w:pPr>
              <w:rPr>
                <w:rFonts w:ascii="宋体" w:hAnsi="宋体"/>
                <w:b/>
                <w:color w:val="auto"/>
                <w:szCs w:val="21"/>
                <w:highlight w:val="none"/>
              </w:rPr>
            </w:pPr>
            <w:r>
              <w:rPr>
                <w:rFonts w:hint="eastAsia" w:ascii="宋体" w:hAnsi="宋体"/>
                <w:b/>
                <w:color w:val="auto"/>
                <w:szCs w:val="21"/>
                <w:highlight w:val="none"/>
              </w:rPr>
              <w:t>...</w:t>
            </w:r>
          </w:p>
        </w:tc>
        <w:tc>
          <w:tcPr>
            <w:tcW w:w="529" w:type="pct"/>
            <w:tcBorders>
              <w:right w:val="single" w:color="auto" w:sz="4" w:space="0"/>
            </w:tcBorders>
            <w:vAlign w:val="center"/>
          </w:tcPr>
          <w:p w14:paraId="27909222">
            <w:pPr>
              <w:widowControl/>
              <w:jc w:val="center"/>
              <w:rPr>
                <w:rFonts w:ascii="宋体" w:hAnsi="宋体"/>
                <w:b/>
                <w:bCs/>
                <w:color w:val="auto"/>
                <w:highlight w:val="none"/>
              </w:rPr>
            </w:pPr>
          </w:p>
        </w:tc>
        <w:tc>
          <w:tcPr>
            <w:tcW w:w="726" w:type="pct"/>
            <w:tcBorders>
              <w:left w:val="single" w:color="auto" w:sz="4" w:space="0"/>
            </w:tcBorders>
            <w:vAlign w:val="center"/>
          </w:tcPr>
          <w:p w14:paraId="25DEE5F1">
            <w:pPr>
              <w:widowControl/>
              <w:jc w:val="center"/>
              <w:rPr>
                <w:rFonts w:ascii="宋体" w:hAnsi="宋体"/>
                <w:b/>
                <w:bCs/>
                <w:color w:val="auto"/>
                <w:highlight w:val="none"/>
              </w:rPr>
            </w:pPr>
          </w:p>
        </w:tc>
      </w:tr>
    </w:tbl>
    <w:p w14:paraId="34848315">
      <w:pPr>
        <w:widowControl/>
        <w:spacing w:line="360" w:lineRule="auto"/>
        <w:jc w:val="left"/>
        <w:rPr>
          <w:rFonts w:ascii="宋体" w:hAnsi="宋体"/>
          <w:b/>
          <w:bCs/>
          <w:color w:val="auto"/>
          <w:highlight w:val="none"/>
        </w:rPr>
      </w:pPr>
      <w:r>
        <w:rPr>
          <w:rFonts w:hint="eastAsia" w:ascii="宋体" w:hAnsi="宋体"/>
          <w:b/>
          <w:bCs/>
          <w:color w:val="auto"/>
          <w:highlight w:val="none"/>
        </w:rPr>
        <w:t>注：1、供应商应根据磋商文件要求的各项内容填写此表，表格可延长。</w:t>
      </w:r>
    </w:p>
    <w:p w14:paraId="239FDA53">
      <w:pPr>
        <w:pStyle w:val="3"/>
        <w:keepNext w:val="0"/>
        <w:keepLines w:val="0"/>
        <w:widowControl/>
        <w:spacing w:before="188" w:after="188" w:line="400" w:lineRule="exact"/>
        <w:ind w:firstLine="0"/>
        <w:jc w:val="center"/>
        <w:rPr>
          <w:rFonts w:hAnsi="宋体"/>
          <w:color w:val="auto"/>
          <w:highlight w:val="none"/>
        </w:rPr>
      </w:pPr>
      <w:bookmarkStart w:id="177" w:name="_Toc463775754"/>
      <w:bookmarkStart w:id="178" w:name="_Toc463774856"/>
      <w:bookmarkStart w:id="179" w:name="_Toc67046890"/>
      <w:bookmarkStart w:id="180" w:name="_Toc6726"/>
      <w:bookmarkStart w:id="181" w:name="_Toc463690923"/>
      <w:r>
        <w:rPr>
          <w:rFonts w:hint="eastAsia" w:hAnsi="宋体"/>
          <w:bCs/>
          <w:color w:val="auto"/>
          <w:highlight w:val="none"/>
        </w:rPr>
        <w:t>第二章 索引</w:t>
      </w:r>
      <w:bookmarkEnd w:id="177"/>
      <w:bookmarkEnd w:id="178"/>
      <w:bookmarkEnd w:id="179"/>
      <w:bookmarkEnd w:id="180"/>
      <w:bookmarkEnd w:id="181"/>
    </w:p>
    <w:p w14:paraId="5F6AE338">
      <w:pPr>
        <w:pStyle w:val="4"/>
        <w:spacing w:line="360" w:lineRule="auto"/>
        <w:jc w:val="center"/>
        <w:rPr>
          <w:rFonts w:hAnsi="宋体" w:cs="仿宋"/>
          <w:bCs/>
          <w:color w:val="auto"/>
          <w:highlight w:val="none"/>
          <w:lang w:val="zh-CN"/>
        </w:rPr>
      </w:pPr>
      <w:r>
        <w:rPr>
          <w:rFonts w:hint="eastAsia" w:hAnsi="宋体" w:cs="仿宋"/>
          <w:b/>
          <w:bCs/>
          <w:color w:val="auto"/>
          <w:sz w:val="28"/>
          <w:szCs w:val="28"/>
          <w:highlight w:val="none"/>
        </w:rPr>
        <w:t>资格性自查表</w:t>
      </w:r>
    </w:p>
    <w:tbl>
      <w:tblPr>
        <w:tblStyle w:val="33"/>
        <w:tblW w:w="92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5323"/>
        <w:gridCol w:w="1534"/>
        <w:gridCol w:w="1514"/>
      </w:tblGrid>
      <w:tr w14:paraId="0E73E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49" w:hRule="atLeast"/>
          <w:jc w:val="center"/>
        </w:trPr>
        <w:tc>
          <w:tcPr>
            <w:tcW w:w="859" w:type="dxa"/>
          </w:tcPr>
          <w:p w14:paraId="02B47AF8">
            <w:pPr>
              <w:adjustRightInd w:val="0"/>
              <w:snapToGrid w:val="0"/>
              <w:spacing w:line="360" w:lineRule="auto"/>
              <w:jc w:val="center"/>
              <w:rPr>
                <w:rStyle w:val="36"/>
                <w:rFonts w:ascii="宋体" w:hAnsi="宋体" w:cs="仿宋"/>
                <w:color w:val="auto"/>
                <w:highlight w:val="none"/>
              </w:rPr>
            </w:pPr>
            <w:r>
              <w:rPr>
                <w:rFonts w:hint="eastAsia" w:ascii="宋体" w:hAnsi="宋体" w:cs="仿宋"/>
                <w:b/>
                <w:color w:val="auto"/>
                <w:sz w:val="24"/>
                <w:highlight w:val="none"/>
              </w:rPr>
              <w:t>序号</w:t>
            </w:r>
          </w:p>
        </w:tc>
        <w:tc>
          <w:tcPr>
            <w:tcW w:w="5323" w:type="dxa"/>
            <w:vAlign w:val="center"/>
          </w:tcPr>
          <w:p w14:paraId="332788A3">
            <w:pPr>
              <w:adjustRightInd w:val="0"/>
              <w:snapToGrid w:val="0"/>
              <w:spacing w:line="360" w:lineRule="auto"/>
              <w:jc w:val="center"/>
              <w:rPr>
                <w:rFonts w:ascii="宋体" w:hAnsi="宋体" w:cs="仿宋"/>
                <w:color w:val="auto"/>
                <w:sz w:val="24"/>
                <w:highlight w:val="none"/>
              </w:rPr>
            </w:pPr>
            <w:r>
              <w:rPr>
                <w:rStyle w:val="36"/>
                <w:rFonts w:hint="eastAsia" w:ascii="宋体" w:hAnsi="宋体" w:cs="仿宋"/>
                <w:color w:val="auto"/>
                <w:highlight w:val="none"/>
              </w:rPr>
              <w:t>竞争性磋商文件要求</w:t>
            </w:r>
          </w:p>
        </w:tc>
        <w:tc>
          <w:tcPr>
            <w:tcW w:w="1534" w:type="dxa"/>
            <w:vAlign w:val="center"/>
          </w:tcPr>
          <w:p w14:paraId="70E86EF7">
            <w:pPr>
              <w:adjustRightInd w:val="0"/>
              <w:snapToGrid w:val="0"/>
              <w:spacing w:line="360" w:lineRule="auto"/>
              <w:jc w:val="center"/>
              <w:rPr>
                <w:rFonts w:ascii="宋体" w:hAnsi="宋体" w:cs="仿宋"/>
                <w:color w:val="auto"/>
                <w:sz w:val="24"/>
                <w:highlight w:val="none"/>
              </w:rPr>
            </w:pPr>
            <w:r>
              <w:rPr>
                <w:rStyle w:val="36"/>
                <w:rFonts w:hint="eastAsia" w:ascii="宋体" w:hAnsi="宋体" w:cs="仿宋"/>
                <w:color w:val="auto"/>
                <w:highlight w:val="none"/>
              </w:rPr>
              <w:t>自查结论</w:t>
            </w:r>
          </w:p>
        </w:tc>
        <w:tc>
          <w:tcPr>
            <w:tcW w:w="1514" w:type="dxa"/>
            <w:vAlign w:val="center"/>
          </w:tcPr>
          <w:p w14:paraId="7DA21120">
            <w:pPr>
              <w:adjustRightInd w:val="0"/>
              <w:snapToGrid w:val="0"/>
              <w:spacing w:line="360" w:lineRule="auto"/>
              <w:jc w:val="center"/>
              <w:rPr>
                <w:rFonts w:ascii="宋体" w:hAnsi="宋体" w:cs="仿宋"/>
                <w:color w:val="auto"/>
                <w:sz w:val="24"/>
                <w:highlight w:val="none"/>
              </w:rPr>
            </w:pPr>
            <w:r>
              <w:rPr>
                <w:rFonts w:hint="eastAsia" w:ascii="宋体" w:hAnsi="宋体" w:cs="仿宋"/>
                <w:b/>
                <w:color w:val="auto"/>
                <w:sz w:val="24"/>
                <w:highlight w:val="none"/>
              </w:rPr>
              <w:t>证明文件</w:t>
            </w:r>
          </w:p>
        </w:tc>
      </w:tr>
      <w:tr w14:paraId="538B4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04" w:hRule="atLeast"/>
          <w:jc w:val="center"/>
        </w:trPr>
        <w:tc>
          <w:tcPr>
            <w:tcW w:w="859" w:type="dxa"/>
            <w:vAlign w:val="center"/>
          </w:tcPr>
          <w:p w14:paraId="1CA79AF5">
            <w:pPr>
              <w:pStyle w:val="68"/>
              <w:numPr>
                <w:ilvl w:val="0"/>
                <w:numId w:val="25"/>
              </w:numPr>
              <w:adjustRightInd w:val="0"/>
              <w:snapToGrid w:val="0"/>
              <w:spacing w:line="360" w:lineRule="auto"/>
              <w:ind w:firstLineChars="0"/>
              <w:jc w:val="center"/>
              <w:rPr>
                <w:rFonts w:ascii="宋体" w:hAnsi="宋体" w:cs="仿宋"/>
                <w:bCs/>
                <w:color w:val="auto"/>
                <w:sz w:val="24"/>
                <w:highlight w:val="none"/>
              </w:rPr>
            </w:pPr>
          </w:p>
        </w:tc>
        <w:tc>
          <w:tcPr>
            <w:tcW w:w="5323" w:type="dxa"/>
            <w:vAlign w:val="center"/>
          </w:tcPr>
          <w:p w14:paraId="65D7A09E">
            <w:pPr>
              <w:adjustRightInd w:val="0"/>
              <w:snapToGrid w:val="0"/>
              <w:spacing w:line="360" w:lineRule="auto"/>
              <w:rPr>
                <w:rFonts w:ascii="宋体" w:hAnsi="宋体" w:cs="宋体"/>
                <w:color w:val="auto"/>
                <w:sz w:val="24"/>
                <w:highlight w:val="none"/>
              </w:rPr>
            </w:pPr>
            <w:r>
              <w:rPr>
                <w:color w:val="auto"/>
                <w:highlight w:val="none"/>
              </w:rPr>
              <w:t>具有独立承担民事责任的能力：是在中华人民共和国境内注册的法人或其他组织或自然人，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color w:val="auto"/>
                <w:highlight w:val="none"/>
              </w:rPr>
              <w:t>如投标人已对接“粤省事”“粤商通”“粤信签”等系统且能通过系统查询到相关内容，则无须提供该项证明文件。</w:t>
            </w:r>
          </w:p>
        </w:tc>
        <w:tc>
          <w:tcPr>
            <w:tcW w:w="1534" w:type="dxa"/>
            <w:vAlign w:val="center"/>
          </w:tcPr>
          <w:p w14:paraId="5F91B86D">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□通过</w:t>
            </w:r>
          </w:p>
          <w:p w14:paraId="6A8E1578">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□不通过</w:t>
            </w:r>
          </w:p>
        </w:tc>
        <w:tc>
          <w:tcPr>
            <w:tcW w:w="1514" w:type="dxa"/>
            <w:vAlign w:val="center"/>
          </w:tcPr>
          <w:p w14:paraId="7E317A9D">
            <w:pPr>
              <w:adjustRightInd w:val="0"/>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第（）页</w:t>
            </w:r>
          </w:p>
        </w:tc>
      </w:tr>
      <w:tr w14:paraId="1B463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51" w:hRule="atLeast"/>
          <w:jc w:val="center"/>
        </w:trPr>
        <w:tc>
          <w:tcPr>
            <w:tcW w:w="859" w:type="dxa"/>
            <w:vAlign w:val="center"/>
          </w:tcPr>
          <w:p w14:paraId="2B94B819">
            <w:pPr>
              <w:pStyle w:val="68"/>
              <w:numPr>
                <w:ilvl w:val="0"/>
                <w:numId w:val="25"/>
              </w:numPr>
              <w:adjustRightInd w:val="0"/>
              <w:snapToGrid w:val="0"/>
              <w:spacing w:line="360" w:lineRule="auto"/>
              <w:ind w:firstLineChars="0"/>
              <w:jc w:val="center"/>
              <w:rPr>
                <w:rFonts w:ascii="宋体" w:hAnsi="宋体" w:cs="仿宋"/>
                <w:bCs/>
                <w:color w:val="auto"/>
                <w:sz w:val="24"/>
                <w:highlight w:val="none"/>
              </w:rPr>
            </w:pPr>
          </w:p>
        </w:tc>
        <w:tc>
          <w:tcPr>
            <w:tcW w:w="5323" w:type="dxa"/>
            <w:vAlign w:val="center"/>
          </w:tcPr>
          <w:p w14:paraId="633AF819">
            <w:pPr>
              <w:adjustRightInd w:val="0"/>
              <w:snapToGrid w:val="0"/>
              <w:spacing w:line="360" w:lineRule="auto"/>
              <w:rPr>
                <w:color w:val="auto"/>
                <w:highlight w:val="none"/>
              </w:rPr>
            </w:pPr>
            <w:r>
              <w:rPr>
                <w:color w:val="auto"/>
                <w:highlight w:val="none"/>
              </w:rPr>
              <w:t>有依法缴纳税收和社会保障资金的良好记录：提供《</w:t>
            </w:r>
            <w:r>
              <w:rPr>
                <w:rFonts w:hint="eastAsia"/>
                <w:color w:val="auto"/>
                <w:highlight w:val="none"/>
              </w:rPr>
              <w:t>资格声明函</w:t>
            </w:r>
            <w:r>
              <w:rPr>
                <w:color w:val="auto"/>
                <w:highlight w:val="none"/>
              </w:rPr>
              <w:t>》</w:t>
            </w:r>
            <w:r>
              <w:rPr>
                <w:rFonts w:hint="eastAsia"/>
                <w:color w:val="auto"/>
                <w:highlight w:val="none"/>
              </w:rPr>
              <w:t>。</w:t>
            </w:r>
          </w:p>
        </w:tc>
        <w:tc>
          <w:tcPr>
            <w:tcW w:w="1534" w:type="dxa"/>
            <w:vAlign w:val="center"/>
          </w:tcPr>
          <w:p w14:paraId="2FE936FC">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□通过</w:t>
            </w:r>
          </w:p>
          <w:p w14:paraId="66FC15CE">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□不通过</w:t>
            </w:r>
          </w:p>
        </w:tc>
        <w:tc>
          <w:tcPr>
            <w:tcW w:w="1514" w:type="dxa"/>
            <w:vAlign w:val="center"/>
          </w:tcPr>
          <w:p w14:paraId="4194EC9E">
            <w:pPr>
              <w:adjustRightInd w:val="0"/>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第（）页</w:t>
            </w:r>
          </w:p>
        </w:tc>
      </w:tr>
      <w:tr w14:paraId="6714C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34" w:hRule="atLeast"/>
          <w:jc w:val="center"/>
        </w:trPr>
        <w:tc>
          <w:tcPr>
            <w:tcW w:w="859" w:type="dxa"/>
            <w:vAlign w:val="center"/>
          </w:tcPr>
          <w:p w14:paraId="08A809F1">
            <w:pPr>
              <w:pStyle w:val="68"/>
              <w:numPr>
                <w:ilvl w:val="0"/>
                <w:numId w:val="25"/>
              </w:numPr>
              <w:adjustRightInd w:val="0"/>
              <w:snapToGrid w:val="0"/>
              <w:spacing w:line="360" w:lineRule="auto"/>
              <w:ind w:firstLineChars="0"/>
              <w:jc w:val="center"/>
              <w:rPr>
                <w:rFonts w:ascii="宋体" w:hAnsi="宋体" w:cs="仿宋"/>
                <w:bCs/>
                <w:color w:val="auto"/>
                <w:sz w:val="24"/>
                <w:highlight w:val="none"/>
              </w:rPr>
            </w:pPr>
          </w:p>
        </w:tc>
        <w:tc>
          <w:tcPr>
            <w:tcW w:w="5323" w:type="dxa"/>
            <w:vAlign w:val="center"/>
          </w:tcPr>
          <w:p w14:paraId="2BE2E1F5">
            <w:pPr>
              <w:tabs>
                <w:tab w:val="left" w:pos="709"/>
              </w:tabs>
              <w:spacing w:line="440" w:lineRule="exact"/>
              <w:rPr>
                <w:rFonts w:ascii="宋体" w:hAnsi="宋体" w:cs="宋体"/>
                <w:color w:val="auto"/>
                <w:sz w:val="24"/>
                <w:highlight w:val="none"/>
              </w:rPr>
            </w:pPr>
            <w:r>
              <w:rPr>
                <w:color w:val="auto"/>
                <w:highlight w:val="none"/>
              </w:rPr>
              <w:t>具有良好的商业信誉和健全的财务会计制度：提供《</w:t>
            </w:r>
            <w:r>
              <w:rPr>
                <w:rFonts w:hint="eastAsia"/>
                <w:color w:val="auto"/>
                <w:highlight w:val="none"/>
              </w:rPr>
              <w:t>资格声明函</w:t>
            </w:r>
            <w:r>
              <w:rPr>
                <w:color w:val="auto"/>
                <w:highlight w:val="none"/>
              </w:rPr>
              <w:t>》</w:t>
            </w:r>
            <w:r>
              <w:rPr>
                <w:rFonts w:hint="eastAsia"/>
                <w:color w:val="auto"/>
                <w:highlight w:val="none"/>
              </w:rPr>
              <w:t>。</w:t>
            </w:r>
          </w:p>
        </w:tc>
        <w:tc>
          <w:tcPr>
            <w:tcW w:w="1534" w:type="dxa"/>
            <w:vAlign w:val="center"/>
          </w:tcPr>
          <w:p w14:paraId="0E58F529">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□通过</w:t>
            </w:r>
          </w:p>
          <w:p w14:paraId="6FA4A221">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□不通过</w:t>
            </w:r>
          </w:p>
        </w:tc>
        <w:tc>
          <w:tcPr>
            <w:tcW w:w="1514" w:type="dxa"/>
            <w:vAlign w:val="center"/>
          </w:tcPr>
          <w:p w14:paraId="4E42AA3D">
            <w:pPr>
              <w:adjustRightInd w:val="0"/>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第（）页</w:t>
            </w:r>
          </w:p>
        </w:tc>
      </w:tr>
      <w:tr w14:paraId="10C65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51" w:hRule="atLeast"/>
          <w:jc w:val="center"/>
        </w:trPr>
        <w:tc>
          <w:tcPr>
            <w:tcW w:w="859" w:type="dxa"/>
            <w:vAlign w:val="center"/>
          </w:tcPr>
          <w:p w14:paraId="58B68805">
            <w:pPr>
              <w:pStyle w:val="68"/>
              <w:numPr>
                <w:ilvl w:val="0"/>
                <w:numId w:val="25"/>
              </w:numPr>
              <w:adjustRightInd w:val="0"/>
              <w:snapToGrid w:val="0"/>
              <w:spacing w:line="360" w:lineRule="auto"/>
              <w:ind w:firstLineChars="0"/>
              <w:jc w:val="center"/>
              <w:rPr>
                <w:rFonts w:ascii="宋体" w:hAnsi="宋体" w:cs="仿宋"/>
                <w:bCs/>
                <w:color w:val="auto"/>
                <w:sz w:val="24"/>
                <w:highlight w:val="none"/>
              </w:rPr>
            </w:pPr>
          </w:p>
        </w:tc>
        <w:tc>
          <w:tcPr>
            <w:tcW w:w="5323" w:type="dxa"/>
            <w:vAlign w:val="center"/>
          </w:tcPr>
          <w:p w14:paraId="339371BA">
            <w:pPr>
              <w:spacing w:line="360" w:lineRule="auto"/>
              <w:rPr>
                <w:rFonts w:ascii="宋体" w:hAnsi="宋体" w:cs="宋体"/>
                <w:color w:val="auto"/>
                <w:sz w:val="24"/>
                <w:highlight w:val="none"/>
              </w:rPr>
            </w:pPr>
            <w:r>
              <w:rPr>
                <w:color w:val="auto"/>
                <w:highlight w:val="none"/>
              </w:rPr>
              <w:t>履行合同所必需的设备和专业技术能力：提供《</w:t>
            </w:r>
            <w:r>
              <w:rPr>
                <w:rFonts w:hint="eastAsia"/>
                <w:color w:val="auto"/>
                <w:highlight w:val="none"/>
              </w:rPr>
              <w:t>资格声明函</w:t>
            </w:r>
            <w:r>
              <w:rPr>
                <w:color w:val="auto"/>
                <w:highlight w:val="none"/>
              </w:rPr>
              <w:t>》。</w:t>
            </w:r>
          </w:p>
        </w:tc>
        <w:tc>
          <w:tcPr>
            <w:tcW w:w="1534" w:type="dxa"/>
            <w:vAlign w:val="center"/>
          </w:tcPr>
          <w:p w14:paraId="7362A08A">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□通过</w:t>
            </w:r>
          </w:p>
          <w:p w14:paraId="4B88A5F9">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□不通过</w:t>
            </w:r>
          </w:p>
        </w:tc>
        <w:tc>
          <w:tcPr>
            <w:tcW w:w="1514" w:type="dxa"/>
            <w:vAlign w:val="center"/>
          </w:tcPr>
          <w:p w14:paraId="7EBE5AB6">
            <w:pPr>
              <w:adjustRightInd w:val="0"/>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第（）页</w:t>
            </w:r>
          </w:p>
        </w:tc>
      </w:tr>
      <w:tr w14:paraId="2B111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jc w:val="center"/>
        </w:trPr>
        <w:tc>
          <w:tcPr>
            <w:tcW w:w="859" w:type="dxa"/>
            <w:vAlign w:val="center"/>
          </w:tcPr>
          <w:p w14:paraId="47676A45">
            <w:pPr>
              <w:pStyle w:val="68"/>
              <w:numPr>
                <w:ilvl w:val="0"/>
                <w:numId w:val="25"/>
              </w:numPr>
              <w:adjustRightInd w:val="0"/>
              <w:snapToGrid w:val="0"/>
              <w:spacing w:line="360" w:lineRule="auto"/>
              <w:ind w:firstLineChars="0"/>
              <w:jc w:val="center"/>
              <w:rPr>
                <w:rFonts w:ascii="宋体" w:hAnsi="宋体" w:cs="仿宋"/>
                <w:bCs/>
                <w:color w:val="auto"/>
                <w:sz w:val="24"/>
                <w:highlight w:val="none"/>
              </w:rPr>
            </w:pPr>
          </w:p>
        </w:tc>
        <w:tc>
          <w:tcPr>
            <w:tcW w:w="5323" w:type="dxa"/>
            <w:vAlign w:val="center"/>
          </w:tcPr>
          <w:p w14:paraId="4A1DE2C7">
            <w:pPr>
              <w:tabs>
                <w:tab w:val="left" w:pos="612"/>
              </w:tabs>
              <w:wordWrap w:val="0"/>
              <w:adjustRightInd w:val="0"/>
              <w:snapToGrid w:val="0"/>
              <w:spacing w:line="360" w:lineRule="auto"/>
              <w:rPr>
                <w:rFonts w:ascii="宋体" w:hAnsi="宋体" w:cs="宋体"/>
                <w:color w:val="auto"/>
                <w:sz w:val="24"/>
                <w:highlight w:val="none"/>
              </w:rPr>
            </w:pPr>
            <w:r>
              <w:rPr>
                <w:color w:val="auto"/>
                <w:highlight w:val="none"/>
              </w:rPr>
              <w:t>参加采购活动前3年内，在经营活动中没有重大违法记录：提供《</w:t>
            </w:r>
            <w:r>
              <w:rPr>
                <w:rFonts w:hint="eastAsia"/>
                <w:color w:val="auto"/>
                <w:highlight w:val="none"/>
              </w:rPr>
              <w:t>资格声明函</w:t>
            </w:r>
            <w:r>
              <w:rPr>
                <w:color w:val="auto"/>
                <w:highlight w:val="none"/>
              </w:rPr>
              <w:t>》。</w:t>
            </w:r>
          </w:p>
        </w:tc>
        <w:tc>
          <w:tcPr>
            <w:tcW w:w="1534" w:type="dxa"/>
            <w:vAlign w:val="center"/>
          </w:tcPr>
          <w:p w14:paraId="356A42AF">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□通过</w:t>
            </w:r>
          </w:p>
          <w:p w14:paraId="7A76B741">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□不通过</w:t>
            </w:r>
          </w:p>
        </w:tc>
        <w:tc>
          <w:tcPr>
            <w:tcW w:w="1514" w:type="dxa"/>
            <w:vAlign w:val="center"/>
          </w:tcPr>
          <w:p w14:paraId="353B4292">
            <w:pPr>
              <w:adjustRightInd w:val="0"/>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第（）页</w:t>
            </w:r>
          </w:p>
        </w:tc>
      </w:tr>
      <w:tr w14:paraId="686A1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80" w:hRule="atLeast"/>
          <w:jc w:val="center"/>
        </w:trPr>
        <w:tc>
          <w:tcPr>
            <w:tcW w:w="859" w:type="dxa"/>
            <w:vAlign w:val="center"/>
          </w:tcPr>
          <w:p w14:paraId="08BA0141">
            <w:pPr>
              <w:pStyle w:val="68"/>
              <w:numPr>
                <w:ilvl w:val="0"/>
                <w:numId w:val="25"/>
              </w:numPr>
              <w:adjustRightInd w:val="0"/>
              <w:snapToGrid w:val="0"/>
              <w:spacing w:line="360" w:lineRule="auto"/>
              <w:ind w:firstLineChars="0"/>
              <w:jc w:val="center"/>
              <w:rPr>
                <w:rFonts w:ascii="宋体" w:hAnsi="宋体" w:cs="仿宋"/>
                <w:bCs/>
                <w:color w:val="auto"/>
                <w:sz w:val="24"/>
                <w:highlight w:val="none"/>
              </w:rPr>
            </w:pPr>
          </w:p>
        </w:tc>
        <w:tc>
          <w:tcPr>
            <w:tcW w:w="5323" w:type="dxa"/>
            <w:vAlign w:val="center"/>
          </w:tcPr>
          <w:p w14:paraId="74338BEC">
            <w:pPr>
              <w:spacing w:line="450" w:lineRule="exact"/>
              <w:rPr>
                <w:rFonts w:ascii="宋体" w:hAnsi="宋体" w:cs="宋体"/>
                <w:color w:val="auto"/>
                <w:sz w:val="24"/>
                <w:highlight w:val="none"/>
              </w:rPr>
            </w:pPr>
            <w:r>
              <w:rPr>
                <w:color w:val="auto"/>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提交首次响应文件截止时间当天在“信用中国”网站（www.creditchina.gov.cn）及中国政府采购网（http://www.ccgp.gov.cn/）查询结果为准，如相关失信记录已失效，供应商需提供相关证明资料）</w:t>
            </w:r>
          </w:p>
        </w:tc>
        <w:tc>
          <w:tcPr>
            <w:tcW w:w="1534" w:type="dxa"/>
            <w:vAlign w:val="center"/>
          </w:tcPr>
          <w:p w14:paraId="38511DF8">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□通过</w:t>
            </w:r>
          </w:p>
          <w:p w14:paraId="3B2122F5">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□不通过</w:t>
            </w:r>
          </w:p>
        </w:tc>
        <w:tc>
          <w:tcPr>
            <w:tcW w:w="1514" w:type="dxa"/>
            <w:vAlign w:val="center"/>
          </w:tcPr>
          <w:p w14:paraId="64DC0551">
            <w:pPr>
              <w:tabs>
                <w:tab w:val="left" w:pos="612"/>
              </w:tabs>
              <w:wordWrap w:val="0"/>
              <w:adjustRightInd w:val="0"/>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第（）页</w:t>
            </w:r>
          </w:p>
        </w:tc>
      </w:tr>
      <w:tr w14:paraId="74780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86" w:hRule="atLeast"/>
          <w:jc w:val="center"/>
        </w:trPr>
        <w:tc>
          <w:tcPr>
            <w:tcW w:w="859" w:type="dxa"/>
            <w:vAlign w:val="center"/>
          </w:tcPr>
          <w:p w14:paraId="1C7472FB">
            <w:pPr>
              <w:pStyle w:val="68"/>
              <w:numPr>
                <w:ilvl w:val="0"/>
                <w:numId w:val="25"/>
              </w:numPr>
              <w:adjustRightInd w:val="0"/>
              <w:snapToGrid w:val="0"/>
              <w:spacing w:line="360" w:lineRule="auto"/>
              <w:ind w:firstLineChars="0"/>
              <w:jc w:val="center"/>
              <w:rPr>
                <w:rFonts w:ascii="宋体" w:hAnsi="宋体" w:cs="仿宋"/>
                <w:bCs/>
                <w:color w:val="auto"/>
                <w:sz w:val="24"/>
                <w:highlight w:val="none"/>
              </w:rPr>
            </w:pPr>
          </w:p>
        </w:tc>
        <w:tc>
          <w:tcPr>
            <w:tcW w:w="5323" w:type="dxa"/>
            <w:vAlign w:val="center"/>
          </w:tcPr>
          <w:p w14:paraId="0755FB45">
            <w:pPr>
              <w:spacing w:line="440" w:lineRule="exact"/>
              <w:rPr>
                <w:rFonts w:ascii="宋体" w:hAnsi="宋体" w:cs="宋体"/>
                <w:color w:val="auto"/>
                <w:sz w:val="24"/>
                <w:highlight w:val="none"/>
              </w:rPr>
            </w:pPr>
            <w:r>
              <w:rPr>
                <w:color w:val="auto"/>
                <w:highlight w:val="none"/>
              </w:rPr>
              <w:t>单位负责人为同一人或者存在直接控股、管理关系的不同供应商，不得同时参加本采购项目（或采购包）报价。为本项目提供整体设计、规范编制或者项目管理、监理、检测等服务的供应商，不得再参与本项目报价。提供《</w:t>
            </w:r>
            <w:r>
              <w:rPr>
                <w:rFonts w:hint="eastAsia"/>
                <w:color w:val="auto"/>
                <w:highlight w:val="none"/>
              </w:rPr>
              <w:t>资格声明函</w:t>
            </w:r>
            <w:r>
              <w:rPr>
                <w:color w:val="auto"/>
                <w:highlight w:val="none"/>
              </w:rPr>
              <w:t>》</w:t>
            </w:r>
          </w:p>
        </w:tc>
        <w:tc>
          <w:tcPr>
            <w:tcW w:w="1534" w:type="dxa"/>
            <w:vAlign w:val="center"/>
          </w:tcPr>
          <w:p w14:paraId="4086A227">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□通过</w:t>
            </w:r>
          </w:p>
          <w:p w14:paraId="73921C36">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□不通过</w:t>
            </w:r>
          </w:p>
        </w:tc>
        <w:tc>
          <w:tcPr>
            <w:tcW w:w="1514" w:type="dxa"/>
            <w:vAlign w:val="center"/>
          </w:tcPr>
          <w:p w14:paraId="77DFB15C">
            <w:pPr>
              <w:tabs>
                <w:tab w:val="left" w:pos="612"/>
              </w:tabs>
              <w:adjustRightInd w:val="0"/>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第（）页</w:t>
            </w:r>
          </w:p>
        </w:tc>
      </w:tr>
      <w:tr w14:paraId="281D4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30" w:hRule="atLeast"/>
          <w:jc w:val="center"/>
        </w:trPr>
        <w:tc>
          <w:tcPr>
            <w:tcW w:w="859" w:type="dxa"/>
            <w:vAlign w:val="center"/>
          </w:tcPr>
          <w:p w14:paraId="02CBFD9A">
            <w:pPr>
              <w:pStyle w:val="68"/>
              <w:numPr>
                <w:ilvl w:val="0"/>
                <w:numId w:val="25"/>
              </w:numPr>
              <w:adjustRightInd w:val="0"/>
              <w:snapToGrid w:val="0"/>
              <w:spacing w:line="360" w:lineRule="auto"/>
              <w:ind w:firstLineChars="0"/>
              <w:jc w:val="center"/>
              <w:rPr>
                <w:rFonts w:ascii="宋体" w:hAnsi="宋体" w:cs="仿宋"/>
                <w:bCs/>
                <w:color w:val="auto"/>
                <w:sz w:val="24"/>
                <w:highlight w:val="none"/>
              </w:rPr>
            </w:pPr>
          </w:p>
        </w:tc>
        <w:tc>
          <w:tcPr>
            <w:tcW w:w="5323" w:type="dxa"/>
            <w:vAlign w:val="center"/>
          </w:tcPr>
          <w:p w14:paraId="4301D981">
            <w:pPr>
              <w:spacing w:line="440" w:lineRule="exact"/>
              <w:rPr>
                <w:rFonts w:ascii="宋体" w:hAnsi="宋体" w:cs="宋体"/>
                <w:color w:val="auto"/>
                <w:sz w:val="24"/>
                <w:highlight w:val="none"/>
              </w:rPr>
            </w:pPr>
            <w:r>
              <w:rPr>
                <w:color w:val="auto"/>
                <w:highlight w:val="none"/>
              </w:rPr>
              <w:t>本项目不接受联合体报价</w:t>
            </w:r>
          </w:p>
        </w:tc>
        <w:tc>
          <w:tcPr>
            <w:tcW w:w="1534" w:type="dxa"/>
            <w:vAlign w:val="center"/>
          </w:tcPr>
          <w:p w14:paraId="214C44D8">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□通过</w:t>
            </w:r>
          </w:p>
          <w:p w14:paraId="38F12CB5">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□不通过</w:t>
            </w:r>
          </w:p>
        </w:tc>
        <w:tc>
          <w:tcPr>
            <w:tcW w:w="1514" w:type="dxa"/>
            <w:vAlign w:val="center"/>
          </w:tcPr>
          <w:p w14:paraId="2E8F8BC2">
            <w:pPr>
              <w:tabs>
                <w:tab w:val="left" w:pos="612"/>
              </w:tabs>
              <w:wordWrap w:val="0"/>
              <w:adjustRightInd w:val="0"/>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第（）页</w:t>
            </w:r>
          </w:p>
        </w:tc>
      </w:tr>
    </w:tbl>
    <w:p w14:paraId="12416912">
      <w:pPr>
        <w:rPr>
          <w:rFonts w:ascii="宋体" w:hAnsi="宋体" w:cs="仿宋"/>
          <w:b/>
          <w:bCs/>
          <w:color w:val="auto"/>
          <w:sz w:val="28"/>
          <w:szCs w:val="28"/>
          <w:highlight w:val="none"/>
        </w:rPr>
      </w:pPr>
      <w:r>
        <w:rPr>
          <w:rFonts w:ascii="宋体" w:hAnsi="宋体" w:cs="仿宋"/>
          <w:b/>
          <w:bCs/>
          <w:color w:val="auto"/>
          <w:sz w:val="28"/>
          <w:szCs w:val="28"/>
          <w:highlight w:val="none"/>
        </w:rPr>
        <w:br w:type="page"/>
      </w:r>
    </w:p>
    <w:p w14:paraId="70F949E2">
      <w:pPr>
        <w:pStyle w:val="4"/>
        <w:spacing w:line="360" w:lineRule="auto"/>
        <w:jc w:val="center"/>
        <w:rPr>
          <w:rFonts w:hAnsi="宋体" w:cs="仿宋"/>
          <w:b/>
          <w:bCs/>
          <w:color w:val="auto"/>
          <w:sz w:val="28"/>
          <w:szCs w:val="28"/>
          <w:highlight w:val="none"/>
        </w:rPr>
      </w:pPr>
      <w:r>
        <w:rPr>
          <w:rFonts w:hint="eastAsia" w:hAnsi="宋体" w:cs="仿宋"/>
          <w:b/>
          <w:bCs/>
          <w:color w:val="auto"/>
          <w:sz w:val="28"/>
          <w:szCs w:val="28"/>
          <w:highlight w:val="none"/>
        </w:rPr>
        <w:t>符合性自查表</w:t>
      </w:r>
    </w:p>
    <w:tbl>
      <w:tblPr>
        <w:tblStyle w:val="33"/>
        <w:tblW w:w="92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46"/>
        <w:gridCol w:w="1858"/>
        <w:gridCol w:w="3248"/>
        <w:gridCol w:w="1300"/>
        <w:gridCol w:w="1959"/>
      </w:tblGrid>
      <w:tr w14:paraId="281AE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470" w:hRule="atLeast"/>
          <w:jc w:val="center"/>
        </w:trPr>
        <w:tc>
          <w:tcPr>
            <w:tcW w:w="846" w:type="dxa"/>
          </w:tcPr>
          <w:p w14:paraId="012E81C2">
            <w:pPr>
              <w:adjustRightInd w:val="0"/>
              <w:snapToGrid w:val="0"/>
              <w:spacing w:line="360" w:lineRule="auto"/>
              <w:jc w:val="center"/>
              <w:rPr>
                <w:rStyle w:val="36"/>
                <w:rFonts w:ascii="宋体" w:hAnsi="宋体" w:cs="仿宋"/>
                <w:color w:val="auto"/>
                <w:sz w:val="21"/>
                <w:szCs w:val="21"/>
                <w:highlight w:val="none"/>
              </w:rPr>
            </w:pPr>
            <w:r>
              <w:rPr>
                <w:rFonts w:hint="eastAsia" w:ascii="宋体" w:hAnsi="宋体" w:cs="仿宋"/>
                <w:b/>
                <w:color w:val="auto"/>
                <w:szCs w:val="21"/>
                <w:highlight w:val="none"/>
              </w:rPr>
              <w:t>序号</w:t>
            </w:r>
          </w:p>
        </w:tc>
        <w:tc>
          <w:tcPr>
            <w:tcW w:w="1858" w:type="dxa"/>
            <w:tcBorders>
              <w:right w:val="single" w:color="auto" w:sz="4" w:space="0"/>
            </w:tcBorders>
            <w:vAlign w:val="center"/>
          </w:tcPr>
          <w:p w14:paraId="612C6AEB">
            <w:pPr>
              <w:adjustRightInd w:val="0"/>
              <w:snapToGrid w:val="0"/>
              <w:spacing w:line="360" w:lineRule="auto"/>
              <w:jc w:val="center"/>
              <w:rPr>
                <w:rFonts w:ascii="宋体" w:hAnsi="宋体" w:cs="仿宋"/>
                <w:b/>
                <w:color w:val="auto"/>
                <w:szCs w:val="21"/>
                <w:highlight w:val="none"/>
              </w:rPr>
            </w:pPr>
            <w:r>
              <w:rPr>
                <w:rFonts w:hint="eastAsia" w:ascii="宋体" w:hAnsi="宋体" w:cs="仿宋"/>
                <w:b/>
                <w:color w:val="auto"/>
                <w:szCs w:val="21"/>
                <w:highlight w:val="none"/>
              </w:rPr>
              <w:t>评审内容</w:t>
            </w:r>
          </w:p>
        </w:tc>
        <w:tc>
          <w:tcPr>
            <w:tcW w:w="3248" w:type="dxa"/>
            <w:tcBorders>
              <w:left w:val="single" w:color="auto" w:sz="4" w:space="0"/>
            </w:tcBorders>
            <w:vAlign w:val="center"/>
          </w:tcPr>
          <w:p w14:paraId="2DD51E80">
            <w:pPr>
              <w:adjustRightInd w:val="0"/>
              <w:snapToGrid w:val="0"/>
              <w:spacing w:line="360" w:lineRule="auto"/>
              <w:jc w:val="center"/>
              <w:rPr>
                <w:rFonts w:ascii="宋体" w:hAnsi="宋体" w:cs="仿宋"/>
                <w:color w:val="auto"/>
                <w:szCs w:val="21"/>
                <w:highlight w:val="none"/>
              </w:rPr>
            </w:pPr>
            <w:r>
              <w:rPr>
                <w:rStyle w:val="36"/>
                <w:rFonts w:hint="eastAsia" w:ascii="宋体" w:hAnsi="宋体" w:cs="仿宋"/>
                <w:color w:val="auto"/>
                <w:sz w:val="21"/>
                <w:szCs w:val="21"/>
                <w:highlight w:val="none"/>
              </w:rPr>
              <w:t>竞争性磋商文件要求</w:t>
            </w:r>
          </w:p>
        </w:tc>
        <w:tc>
          <w:tcPr>
            <w:tcW w:w="1300" w:type="dxa"/>
            <w:vAlign w:val="center"/>
          </w:tcPr>
          <w:p w14:paraId="7E600855">
            <w:pPr>
              <w:adjustRightInd w:val="0"/>
              <w:snapToGrid w:val="0"/>
              <w:spacing w:line="360" w:lineRule="auto"/>
              <w:jc w:val="center"/>
              <w:rPr>
                <w:rFonts w:ascii="宋体" w:hAnsi="宋体" w:cs="仿宋"/>
                <w:color w:val="auto"/>
                <w:szCs w:val="21"/>
                <w:highlight w:val="none"/>
              </w:rPr>
            </w:pPr>
            <w:r>
              <w:rPr>
                <w:rStyle w:val="36"/>
                <w:rFonts w:hint="eastAsia" w:ascii="宋体" w:hAnsi="宋体" w:cs="仿宋"/>
                <w:color w:val="auto"/>
                <w:sz w:val="21"/>
                <w:szCs w:val="21"/>
                <w:highlight w:val="none"/>
              </w:rPr>
              <w:t>自查结论</w:t>
            </w:r>
          </w:p>
        </w:tc>
        <w:tc>
          <w:tcPr>
            <w:tcW w:w="1959" w:type="dxa"/>
            <w:vAlign w:val="center"/>
          </w:tcPr>
          <w:p w14:paraId="3004A572">
            <w:pPr>
              <w:adjustRightInd w:val="0"/>
              <w:snapToGrid w:val="0"/>
              <w:spacing w:line="360" w:lineRule="auto"/>
              <w:jc w:val="center"/>
              <w:rPr>
                <w:rFonts w:ascii="宋体" w:hAnsi="宋体" w:cs="仿宋"/>
                <w:color w:val="auto"/>
                <w:szCs w:val="21"/>
                <w:highlight w:val="none"/>
              </w:rPr>
            </w:pPr>
            <w:r>
              <w:rPr>
                <w:rFonts w:hint="eastAsia" w:ascii="宋体" w:hAnsi="宋体" w:cs="仿宋"/>
                <w:b/>
                <w:color w:val="auto"/>
                <w:szCs w:val="21"/>
                <w:highlight w:val="none"/>
              </w:rPr>
              <w:t>证明文件</w:t>
            </w:r>
          </w:p>
        </w:tc>
      </w:tr>
      <w:tr w14:paraId="1A48B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802" w:hRule="atLeast"/>
          <w:jc w:val="center"/>
        </w:trPr>
        <w:tc>
          <w:tcPr>
            <w:tcW w:w="846" w:type="dxa"/>
            <w:vAlign w:val="center"/>
          </w:tcPr>
          <w:p w14:paraId="7948EF45">
            <w:pPr>
              <w:pStyle w:val="68"/>
              <w:numPr>
                <w:ilvl w:val="0"/>
                <w:numId w:val="26"/>
              </w:numPr>
              <w:adjustRightInd w:val="0"/>
              <w:snapToGrid w:val="0"/>
              <w:spacing w:line="360" w:lineRule="auto"/>
              <w:ind w:firstLineChars="0"/>
              <w:jc w:val="center"/>
              <w:rPr>
                <w:rFonts w:ascii="宋体" w:hAnsi="宋体" w:cs="仿宋"/>
                <w:color w:val="auto"/>
                <w:szCs w:val="21"/>
                <w:highlight w:val="none"/>
              </w:rPr>
            </w:pPr>
          </w:p>
        </w:tc>
        <w:tc>
          <w:tcPr>
            <w:tcW w:w="5106" w:type="dxa"/>
            <w:gridSpan w:val="2"/>
            <w:vAlign w:val="center"/>
          </w:tcPr>
          <w:p w14:paraId="146FD4FB">
            <w:pPr>
              <w:tabs>
                <w:tab w:val="left" w:pos="2846"/>
              </w:tabs>
              <w:adjustRightInd w:val="0"/>
              <w:snapToGrid w:val="0"/>
              <w:spacing w:line="360" w:lineRule="auto"/>
              <w:jc w:val="left"/>
              <w:rPr>
                <w:rFonts w:ascii="宋体" w:hAnsi="宋体" w:cs="仿宋"/>
                <w:b/>
                <w:bCs/>
                <w:color w:val="auto"/>
                <w:szCs w:val="21"/>
                <w:highlight w:val="none"/>
              </w:rPr>
            </w:pPr>
            <w:r>
              <w:rPr>
                <w:rFonts w:hint="eastAsia" w:ascii="宋体" w:hAnsi="宋体" w:cs="仿宋"/>
                <w:color w:val="auto"/>
                <w:szCs w:val="21"/>
                <w:highlight w:val="none"/>
              </w:rPr>
              <w:t>按照竞争性磋商文件规定要求签署和盖章</w:t>
            </w:r>
          </w:p>
        </w:tc>
        <w:tc>
          <w:tcPr>
            <w:tcW w:w="1300" w:type="dxa"/>
            <w:vAlign w:val="center"/>
          </w:tcPr>
          <w:p w14:paraId="0CDA1AAB">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□通过</w:t>
            </w:r>
          </w:p>
          <w:p w14:paraId="69E95C97">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□不通过</w:t>
            </w:r>
          </w:p>
        </w:tc>
        <w:tc>
          <w:tcPr>
            <w:tcW w:w="1959" w:type="dxa"/>
            <w:vAlign w:val="center"/>
          </w:tcPr>
          <w:p w14:paraId="51C420BE">
            <w:pPr>
              <w:adjustRightInd w:val="0"/>
              <w:snapToGrid w:val="0"/>
              <w:spacing w:line="360" w:lineRule="auto"/>
              <w:jc w:val="center"/>
              <w:rPr>
                <w:rFonts w:ascii="宋体" w:hAnsi="宋体" w:cs="仿宋"/>
                <w:color w:val="auto"/>
                <w:szCs w:val="21"/>
                <w:highlight w:val="none"/>
              </w:rPr>
            </w:pPr>
            <w:r>
              <w:rPr>
                <w:rFonts w:hint="eastAsia" w:ascii="宋体" w:hAnsi="宋体" w:cs="仿宋"/>
                <w:color w:val="auto"/>
                <w:szCs w:val="21"/>
                <w:highlight w:val="none"/>
              </w:rPr>
              <w:t>第（）页</w:t>
            </w:r>
          </w:p>
        </w:tc>
      </w:tr>
      <w:tr w14:paraId="32D22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494" w:hRule="atLeast"/>
          <w:jc w:val="center"/>
        </w:trPr>
        <w:tc>
          <w:tcPr>
            <w:tcW w:w="846" w:type="dxa"/>
            <w:vAlign w:val="center"/>
          </w:tcPr>
          <w:p w14:paraId="7A529A90">
            <w:pPr>
              <w:pStyle w:val="68"/>
              <w:numPr>
                <w:ilvl w:val="0"/>
                <w:numId w:val="26"/>
              </w:numPr>
              <w:adjustRightInd w:val="0"/>
              <w:snapToGrid w:val="0"/>
              <w:spacing w:line="360" w:lineRule="auto"/>
              <w:ind w:firstLineChars="0"/>
              <w:jc w:val="center"/>
              <w:rPr>
                <w:rFonts w:ascii="宋体" w:hAnsi="宋体" w:cs="仿宋"/>
                <w:color w:val="auto"/>
                <w:szCs w:val="21"/>
                <w:highlight w:val="none"/>
              </w:rPr>
            </w:pPr>
          </w:p>
        </w:tc>
        <w:tc>
          <w:tcPr>
            <w:tcW w:w="1858" w:type="dxa"/>
            <w:tcBorders>
              <w:right w:val="single" w:color="auto" w:sz="4" w:space="0"/>
            </w:tcBorders>
            <w:vAlign w:val="center"/>
          </w:tcPr>
          <w:p w14:paraId="58C32B4D">
            <w:pPr>
              <w:tabs>
                <w:tab w:val="left" w:pos="2846"/>
              </w:tabs>
              <w:adjustRightInd w:val="0"/>
              <w:snapToGrid w:val="0"/>
              <w:spacing w:line="360" w:lineRule="auto"/>
              <w:jc w:val="left"/>
              <w:rPr>
                <w:rFonts w:ascii="宋体" w:hAnsi="宋体" w:cs="仿宋"/>
                <w:b/>
                <w:bCs/>
                <w:color w:val="auto"/>
                <w:szCs w:val="21"/>
                <w:highlight w:val="none"/>
              </w:rPr>
            </w:pPr>
            <w:r>
              <w:rPr>
                <w:rFonts w:hint="eastAsia" w:ascii="宋体" w:hAnsi="宋体" w:cs="仿宋"/>
                <w:color w:val="auto"/>
                <w:szCs w:val="21"/>
                <w:highlight w:val="none"/>
              </w:rPr>
              <w:t>法定代表人证明书和法定代表人授权委托书</w:t>
            </w:r>
          </w:p>
        </w:tc>
        <w:tc>
          <w:tcPr>
            <w:tcW w:w="3248" w:type="dxa"/>
            <w:tcBorders>
              <w:left w:val="single" w:color="auto" w:sz="4" w:space="0"/>
            </w:tcBorders>
            <w:vAlign w:val="center"/>
          </w:tcPr>
          <w:p w14:paraId="04189D81">
            <w:pPr>
              <w:tabs>
                <w:tab w:val="left" w:pos="2846"/>
              </w:tabs>
              <w:adjustRightInd w:val="0"/>
              <w:snapToGrid w:val="0"/>
              <w:spacing w:line="360" w:lineRule="auto"/>
              <w:jc w:val="left"/>
              <w:rPr>
                <w:rFonts w:ascii="宋体" w:hAnsi="宋体" w:cs="仿宋"/>
                <w:color w:val="auto"/>
                <w:szCs w:val="21"/>
                <w:highlight w:val="none"/>
              </w:rPr>
            </w:pPr>
            <w:r>
              <w:rPr>
                <w:rFonts w:hint="eastAsia" w:ascii="宋体" w:hAnsi="宋体" w:cs="仿宋"/>
                <w:color w:val="auto"/>
                <w:szCs w:val="21"/>
                <w:highlight w:val="none"/>
              </w:rPr>
              <w:t>按照竞争性磋商文件规定</w:t>
            </w:r>
            <w:r>
              <w:rPr>
                <w:rFonts w:hint="eastAsia" w:ascii="宋体" w:hAnsi="宋体" w:cs="仿宋"/>
                <w:color w:val="auto"/>
                <w:szCs w:val="21"/>
                <w:highlight w:val="none"/>
                <w:lang w:eastAsia="zh-TW"/>
              </w:rPr>
              <w:t>签署本人姓名（或印盖本人姓名章）</w:t>
            </w:r>
            <w:r>
              <w:rPr>
                <w:rFonts w:hint="eastAsia" w:ascii="宋体" w:hAnsi="宋体" w:cs="仿宋"/>
                <w:color w:val="auto"/>
                <w:szCs w:val="21"/>
                <w:highlight w:val="none"/>
              </w:rPr>
              <w:t>和盖章</w:t>
            </w:r>
          </w:p>
        </w:tc>
        <w:tc>
          <w:tcPr>
            <w:tcW w:w="1300" w:type="dxa"/>
            <w:vAlign w:val="center"/>
          </w:tcPr>
          <w:p w14:paraId="7136913E">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□通过</w:t>
            </w:r>
          </w:p>
          <w:p w14:paraId="1B45AD55">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□不通过</w:t>
            </w:r>
          </w:p>
        </w:tc>
        <w:tc>
          <w:tcPr>
            <w:tcW w:w="1959" w:type="dxa"/>
            <w:vAlign w:val="center"/>
          </w:tcPr>
          <w:p w14:paraId="39AB60C8">
            <w:pPr>
              <w:adjustRightInd w:val="0"/>
              <w:snapToGrid w:val="0"/>
              <w:spacing w:line="360" w:lineRule="auto"/>
              <w:jc w:val="center"/>
              <w:rPr>
                <w:rFonts w:ascii="宋体" w:hAnsi="宋体" w:cs="仿宋"/>
                <w:color w:val="auto"/>
                <w:szCs w:val="21"/>
                <w:highlight w:val="none"/>
              </w:rPr>
            </w:pPr>
            <w:r>
              <w:rPr>
                <w:rFonts w:hint="eastAsia" w:ascii="宋体" w:hAnsi="宋体" w:cs="仿宋"/>
                <w:color w:val="auto"/>
                <w:szCs w:val="21"/>
                <w:highlight w:val="none"/>
              </w:rPr>
              <w:t>第（）页</w:t>
            </w:r>
          </w:p>
        </w:tc>
      </w:tr>
      <w:tr w14:paraId="5CDB2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68" w:hRule="atLeast"/>
          <w:jc w:val="center"/>
        </w:trPr>
        <w:tc>
          <w:tcPr>
            <w:tcW w:w="846" w:type="dxa"/>
            <w:vMerge w:val="restart"/>
            <w:vAlign w:val="center"/>
          </w:tcPr>
          <w:p w14:paraId="67E46A67">
            <w:pPr>
              <w:pStyle w:val="68"/>
              <w:numPr>
                <w:ilvl w:val="0"/>
                <w:numId w:val="26"/>
              </w:numPr>
              <w:adjustRightInd w:val="0"/>
              <w:snapToGrid w:val="0"/>
              <w:spacing w:line="360" w:lineRule="auto"/>
              <w:ind w:firstLineChars="0"/>
              <w:jc w:val="center"/>
              <w:rPr>
                <w:rFonts w:ascii="宋体" w:hAnsi="宋体" w:cs="仿宋"/>
                <w:color w:val="auto"/>
                <w:szCs w:val="21"/>
                <w:highlight w:val="none"/>
              </w:rPr>
            </w:pPr>
          </w:p>
        </w:tc>
        <w:tc>
          <w:tcPr>
            <w:tcW w:w="1858" w:type="dxa"/>
            <w:vMerge w:val="restart"/>
            <w:tcBorders>
              <w:right w:val="single" w:color="auto" w:sz="4" w:space="0"/>
            </w:tcBorders>
            <w:vAlign w:val="center"/>
          </w:tcPr>
          <w:p w14:paraId="26DC1D73">
            <w:pPr>
              <w:adjustRightInd w:val="0"/>
              <w:snapToGrid w:val="0"/>
              <w:spacing w:line="360" w:lineRule="auto"/>
              <w:jc w:val="left"/>
              <w:rPr>
                <w:rFonts w:ascii="宋体" w:hAnsi="宋体" w:cs="仿宋"/>
                <w:color w:val="auto"/>
                <w:szCs w:val="21"/>
                <w:highlight w:val="none"/>
              </w:rPr>
            </w:pPr>
            <w:r>
              <w:rPr>
                <w:rFonts w:hint="eastAsia" w:ascii="宋体" w:hAnsi="宋体" w:cs="仿宋"/>
                <w:color w:val="auto"/>
                <w:szCs w:val="21"/>
                <w:highlight w:val="none"/>
              </w:rPr>
              <w:t>投标报价</w:t>
            </w:r>
          </w:p>
        </w:tc>
        <w:tc>
          <w:tcPr>
            <w:tcW w:w="3248" w:type="dxa"/>
            <w:tcBorders>
              <w:left w:val="single" w:color="auto" w:sz="4" w:space="0"/>
            </w:tcBorders>
            <w:vAlign w:val="center"/>
          </w:tcPr>
          <w:p w14:paraId="644806D6">
            <w:pPr>
              <w:adjustRightInd w:val="0"/>
              <w:snapToGrid w:val="0"/>
              <w:spacing w:line="360" w:lineRule="auto"/>
              <w:jc w:val="left"/>
              <w:rPr>
                <w:rFonts w:ascii="宋体" w:hAnsi="宋体" w:cs="仿宋"/>
                <w:color w:val="auto"/>
                <w:szCs w:val="21"/>
                <w:highlight w:val="none"/>
              </w:rPr>
            </w:pPr>
            <w:r>
              <w:rPr>
                <w:rFonts w:hint="eastAsia" w:ascii="宋体" w:hAnsi="宋体" w:cs="仿宋"/>
                <w:color w:val="auto"/>
                <w:szCs w:val="21"/>
                <w:highlight w:val="none"/>
              </w:rPr>
              <w:t>投标报价没有超出最高限价</w:t>
            </w:r>
          </w:p>
        </w:tc>
        <w:tc>
          <w:tcPr>
            <w:tcW w:w="1300" w:type="dxa"/>
            <w:vAlign w:val="center"/>
          </w:tcPr>
          <w:p w14:paraId="7EE4F372">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□通过</w:t>
            </w:r>
          </w:p>
          <w:p w14:paraId="421FD0FB">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□不通过</w:t>
            </w:r>
          </w:p>
        </w:tc>
        <w:tc>
          <w:tcPr>
            <w:tcW w:w="1959" w:type="dxa"/>
            <w:vAlign w:val="center"/>
          </w:tcPr>
          <w:p w14:paraId="0B6D8ACC">
            <w:pPr>
              <w:adjustRightInd w:val="0"/>
              <w:snapToGrid w:val="0"/>
              <w:spacing w:line="360" w:lineRule="auto"/>
              <w:jc w:val="center"/>
              <w:rPr>
                <w:rFonts w:ascii="宋体" w:hAnsi="宋体" w:cs="仿宋"/>
                <w:color w:val="auto"/>
                <w:szCs w:val="21"/>
                <w:highlight w:val="none"/>
              </w:rPr>
            </w:pPr>
            <w:r>
              <w:rPr>
                <w:rFonts w:hint="eastAsia" w:ascii="宋体" w:hAnsi="宋体" w:cs="仿宋"/>
                <w:color w:val="auto"/>
                <w:szCs w:val="21"/>
                <w:highlight w:val="none"/>
              </w:rPr>
              <w:t>第（）页</w:t>
            </w:r>
          </w:p>
        </w:tc>
      </w:tr>
      <w:tr w14:paraId="52B59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52" w:hRule="atLeast"/>
          <w:jc w:val="center"/>
        </w:trPr>
        <w:tc>
          <w:tcPr>
            <w:tcW w:w="846" w:type="dxa"/>
            <w:vMerge w:val="continue"/>
            <w:vAlign w:val="center"/>
          </w:tcPr>
          <w:p w14:paraId="19F039C6">
            <w:pPr>
              <w:pStyle w:val="68"/>
              <w:numPr>
                <w:ilvl w:val="0"/>
                <w:numId w:val="27"/>
              </w:numPr>
              <w:adjustRightInd w:val="0"/>
              <w:snapToGrid w:val="0"/>
              <w:spacing w:line="360" w:lineRule="auto"/>
              <w:ind w:firstLineChars="0"/>
              <w:jc w:val="center"/>
              <w:rPr>
                <w:rFonts w:ascii="宋体" w:hAnsi="宋体" w:cs="仿宋"/>
                <w:color w:val="auto"/>
                <w:szCs w:val="21"/>
                <w:highlight w:val="none"/>
              </w:rPr>
            </w:pPr>
          </w:p>
        </w:tc>
        <w:tc>
          <w:tcPr>
            <w:tcW w:w="1858" w:type="dxa"/>
            <w:vMerge w:val="continue"/>
            <w:tcBorders>
              <w:right w:val="single" w:color="auto" w:sz="4" w:space="0"/>
            </w:tcBorders>
            <w:vAlign w:val="center"/>
          </w:tcPr>
          <w:p w14:paraId="57A3BC64">
            <w:pPr>
              <w:adjustRightInd w:val="0"/>
              <w:snapToGrid w:val="0"/>
              <w:spacing w:line="360" w:lineRule="auto"/>
              <w:jc w:val="left"/>
              <w:rPr>
                <w:rFonts w:ascii="宋体" w:hAnsi="宋体" w:cs="仿宋"/>
                <w:color w:val="auto"/>
                <w:szCs w:val="21"/>
                <w:highlight w:val="none"/>
              </w:rPr>
            </w:pPr>
          </w:p>
        </w:tc>
        <w:tc>
          <w:tcPr>
            <w:tcW w:w="3248" w:type="dxa"/>
            <w:tcBorders>
              <w:left w:val="single" w:color="auto" w:sz="4" w:space="0"/>
            </w:tcBorders>
            <w:vAlign w:val="center"/>
          </w:tcPr>
          <w:p w14:paraId="385A585A">
            <w:pPr>
              <w:adjustRightInd w:val="0"/>
              <w:snapToGrid w:val="0"/>
              <w:spacing w:line="360" w:lineRule="auto"/>
              <w:jc w:val="left"/>
              <w:rPr>
                <w:rFonts w:ascii="宋体" w:hAnsi="宋体" w:cs="仿宋"/>
                <w:color w:val="auto"/>
                <w:szCs w:val="21"/>
                <w:highlight w:val="none"/>
              </w:rPr>
            </w:pPr>
            <w:r>
              <w:rPr>
                <w:rFonts w:hint="eastAsia" w:ascii="宋体" w:hAnsi="宋体" w:cs="仿宋"/>
                <w:color w:val="auto"/>
                <w:szCs w:val="21"/>
                <w:highlight w:val="none"/>
              </w:rPr>
              <w:t>唯一或固定不变；</w:t>
            </w:r>
          </w:p>
        </w:tc>
        <w:tc>
          <w:tcPr>
            <w:tcW w:w="1300" w:type="dxa"/>
            <w:vAlign w:val="center"/>
          </w:tcPr>
          <w:p w14:paraId="77FED27C">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□通过</w:t>
            </w:r>
          </w:p>
          <w:p w14:paraId="1CFB6B05">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□不通过</w:t>
            </w:r>
          </w:p>
        </w:tc>
        <w:tc>
          <w:tcPr>
            <w:tcW w:w="1959" w:type="dxa"/>
            <w:vAlign w:val="center"/>
          </w:tcPr>
          <w:p w14:paraId="15A908CD">
            <w:pPr>
              <w:adjustRightInd w:val="0"/>
              <w:snapToGrid w:val="0"/>
              <w:spacing w:line="360" w:lineRule="auto"/>
              <w:jc w:val="center"/>
              <w:rPr>
                <w:rFonts w:ascii="宋体" w:hAnsi="宋体" w:cs="仿宋"/>
                <w:color w:val="auto"/>
                <w:szCs w:val="21"/>
                <w:highlight w:val="none"/>
              </w:rPr>
            </w:pPr>
            <w:r>
              <w:rPr>
                <w:rFonts w:hint="eastAsia" w:ascii="宋体" w:hAnsi="宋体" w:cs="仿宋"/>
                <w:color w:val="auto"/>
                <w:szCs w:val="21"/>
                <w:highlight w:val="none"/>
              </w:rPr>
              <w:t>第（）页</w:t>
            </w:r>
          </w:p>
        </w:tc>
      </w:tr>
      <w:tr w14:paraId="01D0F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334" w:hRule="atLeast"/>
          <w:jc w:val="center"/>
        </w:trPr>
        <w:tc>
          <w:tcPr>
            <w:tcW w:w="846" w:type="dxa"/>
            <w:vAlign w:val="center"/>
          </w:tcPr>
          <w:p w14:paraId="1ED7316F">
            <w:pPr>
              <w:pStyle w:val="68"/>
              <w:numPr>
                <w:ilvl w:val="0"/>
                <w:numId w:val="26"/>
              </w:numPr>
              <w:adjustRightInd w:val="0"/>
              <w:snapToGrid w:val="0"/>
              <w:spacing w:line="360" w:lineRule="auto"/>
              <w:ind w:firstLineChars="0"/>
              <w:jc w:val="center"/>
              <w:rPr>
                <w:rFonts w:ascii="宋体" w:hAnsi="宋体" w:cs="仿宋"/>
                <w:color w:val="auto"/>
                <w:szCs w:val="21"/>
                <w:highlight w:val="none"/>
              </w:rPr>
            </w:pPr>
          </w:p>
        </w:tc>
        <w:tc>
          <w:tcPr>
            <w:tcW w:w="5106" w:type="dxa"/>
            <w:gridSpan w:val="2"/>
            <w:vAlign w:val="center"/>
          </w:tcPr>
          <w:p w14:paraId="2AAE8748">
            <w:pPr>
              <w:adjustRightInd w:val="0"/>
              <w:snapToGrid w:val="0"/>
              <w:spacing w:line="360" w:lineRule="auto"/>
              <w:rPr>
                <w:rFonts w:ascii="宋体" w:hAnsi="宋体" w:cs="仿宋"/>
                <w:color w:val="auto"/>
                <w:szCs w:val="21"/>
                <w:highlight w:val="none"/>
              </w:rPr>
            </w:pPr>
            <w:r>
              <w:rPr>
                <w:rFonts w:hint="eastAsia" w:ascii="宋体" w:hAnsi="宋体" w:cs="仿宋"/>
                <w:bCs/>
                <w:color w:val="auto"/>
                <w:szCs w:val="21"/>
                <w:highlight w:val="none"/>
              </w:rPr>
              <w:t>以“★”标明的实质性</w:t>
            </w:r>
            <w:r>
              <w:rPr>
                <w:rFonts w:hint="eastAsia" w:ascii="宋体" w:hAnsi="宋体" w:cs="仿宋"/>
                <w:color w:val="auto"/>
                <w:szCs w:val="21"/>
                <w:highlight w:val="none"/>
              </w:rPr>
              <w:t>条款满足竞争性磋商文件要求。</w:t>
            </w:r>
          </w:p>
          <w:p w14:paraId="46138008">
            <w:pPr>
              <w:adjustRightInd w:val="0"/>
              <w:snapToGrid w:val="0"/>
              <w:spacing w:line="360" w:lineRule="auto"/>
              <w:jc w:val="left"/>
              <w:rPr>
                <w:rFonts w:ascii="宋体" w:hAnsi="宋体" w:cs="仿宋"/>
                <w:color w:val="auto"/>
                <w:szCs w:val="21"/>
                <w:highlight w:val="none"/>
              </w:rPr>
            </w:pPr>
            <w:r>
              <w:rPr>
                <w:rFonts w:hint="eastAsia" w:ascii="宋体" w:hAnsi="宋体" w:cs="仿宋"/>
                <w:color w:val="auto"/>
                <w:szCs w:val="21"/>
                <w:highlight w:val="none"/>
              </w:rPr>
              <w:t>1）实质性条款（加注星号“★”）响应/偏离表；</w:t>
            </w:r>
          </w:p>
          <w:p w14:paraId="69A25E0B">
            <w:pPr>
              <w:adjustRightInd w:val="0"/>
              <w:snapToGrid w:val="0"/>
              <w:spacing w:line="360" w:lineRule="auto"/>
              <w:jc w:val="left"/>
              <w:rPr>
                <w:rFonts w:ascii="宋体" w:hAnsi="宋体" w:cs="仿宋"/>
                <w:b/>
                <w:color w:val="auto"/>
                <w:szCs w:val="21"/>
                <w:highlight w:val="none"/>
              </w:rPr>
            </w:pPr>
            <w:r>
              <w:rPr>
                <w:rFonts w:hint="eastAsia" w:ascii="宋体" w:hAnsi="宋体" w:cs="仿宋"/>
                <w:color w:val="auto"/>
                <w:szCs w:val="21"/>
                <w:highlight w:val="none"/>
              </w:rPr>
              <w:t>2）竞争性磋商文件规定的证明材料；</w:t>
            </w:r>
          </w:p>
        </w:tc>
        <w:tc>
          <w:tcPr>
            <w:tcW w:w="1300" w:type="dxa"/>
            <w:vAlign w:val="center"/>
          </w:tcPr>
          <w:p w14:paraId="26C42DE2">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□通过</w:t>
            </w:r>
          </w:p>
          <w:p w14:paraId="431F6BF2">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□不通过</w:t>
            </w:r>
          </w:p>
        </w:tc>
        <w:tc>
          <w:tcPr>
            <w:tcW w:w="1959" w:type="dxa"/>
            <w:vAlign w:val="center"/>
          </w:tcPr>
          <w:p w14:paraId="661B1755">
            <w:pPr>
              <w:adjustRightInd w:val="0"/>
              <w:snapToGrid w:val="0"/>
              <w:spacing w:line="360" w:lineRule="auto"/>
              <w:jc w:val="center"/>
              <w:rPr>
                <w:rFonts w:ascii="宋体" w:hAnsi="宋体" w:cs="仿宋"/>
                <w:color w:val="auto"/>
                <w:szCs w:val="21"/>
                <w:highlight w:val="none"/>
              </w:rPr>
            </w:pPr>
            <w:r>
              <w:rPr>
                <w:rFonts w:hint="eastAsia" w:ascii="宋体" w:hAnsi="宋体" w:cs="仿宋"/>
                <w:color w:val="auto"/>
                <w:szCs w:val="21"/>
                <w:highlight w:val="none"/>
              </w:rPr>
              <w:t>第（）页</w:t>
            </w:r>
          </w:p>
        </w:tc>
      </w:tr>
      <w:tr w14:paraId="7EC04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35" w:hRule="atLeast"/>
          <w:jc w:val="center"/>
        </w:trPr>
        <w:tc>
          <w:tcPr>
            <w:tcW w:w="846" w:type="dxa"/>
            <w:vAlign w:val="center"/>
          </w:tcPr>
          <w:p w14:paraId="0716A10E">
            <w:pPr>
              <w:pStyle w:val="68"/>
              <w:numPr>
                <w:ilvl w:val="0"/>
                <w:numId w:val="26"/>
              </w:numPr>
              <w:adjustRightInd w:val="0"/>
              <w:snapToGrid w:val="0"/>
              <w:spacing w:line="360" w:lineRule="auto"/>
              <w:ind w:firstLineChars="0"/>
              <w:jc w:val="center"/>
              <w:rPr>
                <w:rFonts w:ascii="宋体" w:hAnsi="宋体" w:cs="仿宋"/>
                <w:color w:val="auto"/>
                <w:szCs w:val="21"/>
                <w:highlight w:val="none"/>
              </w:rPr>
            </w:pPr>
          </w:p>
        </w:tc>
        <w:tc>
          <w:tcPr>
            <w:tcW w:w="5106" w:type="dxa"/>
            <w:gridSpan w:val="2"/>
            <w:vAlign w:val="center"/>
          </w:tcPr>
          <w:p w14:paraId="03140372">
            <w:pPr>
              <w:adjustRightInd w:val="0"/>
              <w:snapToGrid w:val="0"/>
              <w:spacing w:line="360" w:lineRule="auto"/>
              <w:jc w:val="left"/>
              <w:rPr>
                <w:rFonts w:ascii="宋体" w:hAnsi="宋体" w:cs="仿宋"/>
                <w:color w:val="auto"/>
                <w:szCs w:val="21"/>
                <w:highlight w:val="none"/>
              </w:rPr>
            </w:pPr>
            <w:r>
              <w:rPr>
                <w:rFonts w:hint="eastAsia" w:ascii="宋体" w:hAnsi="宋体" w:cs="仿宋"/>
                <w:color w:val="auto"/>
                <w:szCs w:val="21"/>
                <w:highlight w:val="none"/>
              </w:rPr>
              <w:t>响应文件没有采购人不能接受的附加条件的；</w:t>
            </w:r>
          </w:p>
        </w:tc>
        <w:tc>
          <w:tcPr>
            <w:tcW w:w="1300" w:type="dxa"/>
            <w:vAlign w:val="center"/>
          </w:tcPr>
          <w:p w14:paraId="6788E4FB">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□通过</w:t>
            </w:r>
          </w:p>
          <w:p w14:paraId="08582E58">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□不通过</w:t>
            </w:r>
          </w:p>
        </w:tc>
        <w:tc>
          <w:tcPr>
            <w:tcW w:w="1959" w:type="dxa"/>
            <w:vAlign w:val="center"/>
          </w:tcPr>
          <w:p w14:paraId="62B42317">
            <w:pPr>
              <w:adjustRightInd w:val="0"/>
              <w:snapToGrid w:val="0"/>
              <w:spacing w:line="360" w:lineRule="auto"/>
              <w:jc w:val="center"/>
              <w:rPr>
                <w:rFonts w:ascii="宋体" w:hAnsi="宋体" w:cs="仿宋"/>
                <w:color w:val="auto"/>
                <w:szCs w:val="21"/>
                <w:highlight w:val="none"/>
              </w:rPr>
            </w:pPr>
            <w:r>
              <w:rPr>
                <w:rFonts w:hint="eastAsia" w:ascii="宋体" w:hAnsi="宋体" w:cs="仿宋"/>
                <w:color w:val="auto"/>
                <w:szCs w:val="21"/>
                <w:highlight w:val="none"/>
              </w:rPr>
              <w:t>第（）页</w:t>
            </w:r>
          </w:p>
        </w:tc>
      </w:tr>
      <w:tr w14:paraId="2FF83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52" w:hRule="atLeast"/>
          <w:jc w:val="center"/>
        </w:trPr>
        <w:tc>
          <w:tcPr>
            <w:tcW w:w="846" w:type="dxa"/>
            <w:vAlign w:val="center"/>
          </w:tcPr>
          <w:p w14:paraId="43C730B3">
            <w:pPr>
              <w:pStyle w:val="68"/>
              <w:numPr>
                <w:ilvl w:val="0"/>
                <w:numId w:val="26"/>
              </w:numPr>
              <w:adjustRightInd w:val="0"/>
              <w:snapToGrid w:val="0"/>
              <w:spacing w:line="360" w:lineRule="auto"/>
              <w:ind w:firstLineChars="0"/>
              <w:jc w:val="center"/>
              <w:rPr>
                <w:rFonts w:ascii="宋体" w:hAnsi="宋体" w:cs="仿宋"/>
                <w:color w:val="auto"/>
                <w:szCs w:val="21"/>
                <w:highlight w:val="none"/>
              </w:rPr>
            </w:pPr>
          </w:p>
        </w:tc>
        <w:tc>
          <w:tcPr>
            <w:tcW w:w="5106" w:type="dxa"/>
            <w:gridSpan w:val="2"/>
            <w:vAlign w:val="center"/>
          </w:tcPr>
          <w:p w14:paraId="5A797305">
            <w:pPr>
              <w:adjustRightInd w:val="0"/>
              <w:snapToGrid w:val="0"/>
              <w:spacing w:line="360" w:lineRule="auto"/>
              <w:jc w:val="left"/>
              <w:rPr>
                <w:rFonts w:ascii="宋体" w:hAnsi="宋体" w:cs="仿宋"/>
                <w:color w:val="auto"/>
                <w:szCs w:val="21"/>
                <w:highlight w:val="none"/>
              </w:rPr>
            </w:pPr>
            <w:r>
              <w:rPr>
                <w:rFonts w:hint="eastAsia" w:ascii="宋体" w:hAnsi="宋体" w:cs="仿宋"/>
                <w:color w:val="auto"/>
                <w:szCs w:val="21"/>
                <w:highlight w:val="none"/>
              </w:rPr>
              <w:t>响应文件没有出现串通投标情形的；</w:t>
            </w:r>
          </w:p>
        </w:tc>
        <w:tc>
          <w:tcPr>
            <w:tcW w:w="1300" w:type="dxa"/>
            <w:vAlign w:val="center"/>
          </w:tcPr>
          <w:p w14:paraId="2C663FAC">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□通过</w:t>
            </w:r>
          </w:p>
          <w:p w14:paraId="03FDC0E1">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□不通过</w:t>
            </w:r>
          </w:p>
        </w:tc>
        <w:tc>
          <w:tcPr>
            <w:tcW w:w="1959" w:type="dxa"/>
            <w:vAlign w:val="center"/>
          </w:tcPr>
          <w:p w14:paraId="15571ED8">
            <w:pPr>
              <w:adjustRightInd w:val="0"/>
              <w:snapToGrid w:val="0"/>
              <w:spacing w:line="360" w:lineRule="auto"/>
              <w:jc w:val="center"/>
              <w:rPr>
                <w:rFonts w:ascii="宋体" w:hAnsi="宋体" w:cs="仿宋"/>
                <w:color w:val="auto"/>
                <w:szCs w:val="21"/>
                <w:highlight w:val="none"/>
              </w:rPr>
            </w:pPr>
            <w:r>
              <w:rPr>
                <w:rFonts w:hint="eastAsia" w:ascii="宋体" w:hAnsi="宋体" w:cs="仿宋"/>
                <w:color w:val="auto"/>
                <w:szCs w:val="21"/>
                <w:highlight w:val="none"/>
              </w:rPr>
              <w:t>第（）页</w:t>
            </w:r>
          </w:p>
        </w:tc>
      </w:tr>
      <w:tr w14:paraId="1340A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86" w:hRule="atLeast"/>
          <w:jc w:val="center"/>
        </w:trPr>
        <w:tc>
          <w:tcPr>
            <w:tcW w:w="846" w:type="dxa"/>
            <w:vAlign w:val="center"/>
          </w:tcPr>
          <w:p w14:paraId="4E836730">
            <w:pPr>
              <w:pStyle w:val="68"/>
              <w:numPr>
                <w:ilvl w:val="0"/>
                <w:numId w:val="26"/>
              </w:numPr>
              <w:adjustRightInd w:val="0"/>
              <w:snapToGrid w:val="0"/>
              <w:spacing w:line="360" w:lineRule="auto"/>
              <w:ind w:firstLineChars="0"/>
              <w:jc w:val="center"/>
              <w:rPr>
                <w:rFonts w:ascii="宋体" w:hAnsi="宋体" w:cs="仿宋"/>
                <w:color w:val="auto"/>
                <w:szCs w:val="21"/>
                <w:highlight w:val="none"/>
              </w:rPr>
            </w:pPr>
          </w:p>
        </w:tc>
        <w:tc>
          <w:tcPr>
            <w:tcW w:w="5106" w:type="dxa"/>
            <w:gridSpan w:val="2"/>
            <w:vAlign w:val="center"/>
          </w:tcPr>
          <w:p w14:paraId="558B5090">
            <w:pPr>
              <w:adjustRightInd w:val="0"/>
              <w:snapToGrid w:val="0"/>
              <w:spacing w:line="360" w:lineRule="auto"/>
              <w:jc w:val="left"/>
              <w:rPr>
                <w:rFonts w:ascii="宋体" w:hAnsi="宋体" w:cs="仿宋"/>
                <w:color w:val="auto"/>
                <w:szCs w:val="21"/>
                <w:highlight w:val="none"/>
              </w:rPr>
            </w:pPr>
            <w:r>
              <w:rPr>
                <w:rFonts w:hint="eastAsia" w:ascii="宋体" w:hAnsi="宋体" w:cs="仿宋"/>
                <w:color w:val="auto"/>
                <w:szCs w:val="21"/>
                <w:highlight w:val="none"/>
              </w:rPr>
              <w:t>响应文件没有竞争性磋商文件中规定的其它无效投标条款的；</w:t>
            </w:r>
          </w:p>
        </w:tc>
        <w:tc>
          <w:tcPr>
            <w:tcW w:w="1300" w:type="dxa"/>
            <w:vAlign w:val="center"/>
          </w:tcPr>
          <w:p w14:paraId="3D870570">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□通过</w:t>
            </w:r>
          </w:p>
          <w:p w14:paraId="19BB7D99">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□不通过</w:t>
            </w:r>
          </w:p>
        </w:tc>
        <w:tc>
          <w:tcPr>
            <w:tcW w:w="1959" w:type="dxa"/>
            <w:vAlign w:val="center"/>
          </w:tcPr>
          <w:p w14:paraId="12F64F1C">
            <w:pPr>
              <w:adjustRightInd w:val="0"/>
              <w:snapToGrid w:val="0"/>
              <w:spacing w:line="360" w:lineRule="auto"/>
              <w:jc w:val="center"/>
              <w:rPr>
                <w:rFonts w:ascii="宋体" w:hAnsi="宋体" w:cs="仿宋"/>
                <w:color w:val="auto"/>
                <w:szCs w:val="21"/>
                <w:highlight w:val="none"/>
              </w:rPr>
            </w:pPr>
            <w:r>
              <w:rPr>
                <w:rFonts w:hint="eastAsia" w:ascii="宋体" w:hAnsi="宋体" w:cs="仿宋"/>
                <w:color w:val="auto"/>
                <w:szCs w:val="21"/>
                <w:highlight w:val="none"/>
              </w:rPr>
              <w:t>第（）页</w:t>
            </w:r>
          </w:p>
        </w:tc>
      </w:tr>
      <w:tr w14:paraId="7096F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2" w:hRule="atLeast"/>
          <w:jc w:val="center"/>
        </w:trPr>
        <w:tc>
          <w:tcPr>
            <w:tcW w:w="846" w:type="dxa"/>
            <w:vAlign w:val="center"/>
          </w:tcPr>
          <w:p w14:paraId="514DAD00">
            <w:pPr>
              <w:pStyle w:val="68"/>
              <w:numPr>
                <w:ilvl w:val="0"/>
                <w:numId w:val="26"/>
              </w:numPr>
              <w:adjustRightInd w:val="0"/>
              <w:snapToGrid w:val="0"/>
              <w:spacing w:line="360" w:lineRule="auto"/>
              <w:ind w:firstLineChars="0"/>
              <w:jc w:val="center"/>
              <w:rPr>
                <w:rFonts w:ascii="宋体" w:hAnsi="宋体" w:cs="仿宋"/>
                <w:color w:val="auto"/>
                <w:szCs w:val="21"/>
                <w:highlight w:val="none"/>
              </w:rPr>
            </w:pPr>
          </w:p>
        </w:tc>
        <w:tc>
          <w:tcPr>
            <w:tcW w:w="5106" w:type="dxa"/>
            <w:gridSpan w:val="2"/>
            <w:vAlign w:val="center"/>
          </w:tcPr>
          <w:p w14:paraId="63D8750B">
            <w:pPr>
              <w:adjustRightInd w:val="0"/>
              <w:snapToGrid w:val="0"/>
              <w:spacing w:line="360" w:lineRule="auto"/>
              <w:jc w:val="left"/>
              <w:rPr>
                <w:rFonts w:ascii="宋体" w:hAnsi="宋体" w:cs="仿宋"/>
                <w:color w:val="auto"/>
                <w:szCs w:val="21"/>
                <w:highlight w:val="none"/>
              </w:rPr>
            </w:pPr>
            <w:r>
              <w:rPr>
                <w:rFonts w:hint="eastAsia" w:ascii="宋体" w:hAnsi="宋体" w:cs="仿宋"/>
                <w:color w:val="auto"/>
                <w:szCs w:val="21"/>
                <w:highlight w:val="none"/>
              </w:rPr>
              <w:t>没有法律、法规规定的其他无效情形。</w:t>
            </w:r>
          </w:p>
        </w:tc>
        <w:tc>
          <w:tcPr>
            <w:tcW w:w="1300" w:type="dxa"/>
            <w:vAlign w:val="center"/>
          </w:tcPr>
          <w:p w14:paraId="341FF37D">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□通过</w:t>
            </w:r>
          </w:p>
          <w:p w14:paraId="17DAE742">
            <w:pPr>
              <w:adjustRightInd w:val="0"/>
              <w:snapToGrid w:val="0"/>
              <w:spacing w:line="360" w:lineRule="auto"/>
              <w:rPr>
                <w:rFonts w:ascii="宋体" w:hAnsi="宋体" w:cs="仿宋"/>
                <w:color w:val="auto"/>
                <w:szCs w:val="21"/>
                <w:highlight w:val="none"/>
              </w:rPr>
            </w:pPr>
            <w:r>
              <w:rPr>
                <w:rFonts w:hint="eastAsia" w:ascii="宋体" w:hAnsi="宋体" w:cs="仿宋"/>
                <w:color w:val="auto"/>
                <w:szCs w:val="21"/>
                <w:highlight w:val="none"/>
              </w:rPr>
              <w:t>□不通过</w:t>
            </w:r>
          </w:p>
        </w:tc>
        <w:tc>
          <w:tcPr>
            <w:tcW w:w="1959" w:type="dxa"/>
            <w:vAlign w:val="center"/>
          </w:tcPr>
          <w:p w14:paraId="4AD309AB">
            <w:pPr>
              <w:adjustRightInd w:val="0"/>
              <w:snapToGrid w:val="0"/>
              <w:spacing w:line="360" w:lineRule="auto"/>
              <w:jc w:val="center"/>
              <w:rPr>
                <w:rFonts w:ascii="宋体" w:hAnsi="宋体" w:cs="仿宋"/>
                <w:color w:val="auto"/>
                <w:szCs w:val="21"/>
                <w:highlight w:val="none"/>
              </w:rPr>
            </w:pPr>
            <w:r>
              <w:rPr>
                <w:rFonts w:hint="eastAsia" w:ascii="宋体" w:hAnsi="宋体" w:cs="仿宋"/>
                <w:color w:val="auto"/>
                <w:szCs w:val="21"/>
                <w:highlight w:val="none"/>
              </w:rPr>
              <w:t>第（）页</w:t>
            </w:r>
          </w:p>
        </w:tc>
      </w:tr>
    </w:tbl>
    <w:p w14:paraId="3D6559EA">
      <w:pPr>
        <w:pStyle w:val="3"/>
        <w:keepNext w:val="0"/>
        <w:keepLines w:val="0"/>
        <w:widowControl/>
        <w:spacing w:before="188" w:after="188" w:line="400" w:lineRule="exact"/>
        <w:ind w:firstLine="0"/>
        <w:jc w:val="center"/>
        <w:rPr>
          <w:rFonts w:hAnsi="宋体"/>
          <w:b w:val="0"/>
          <w:bCs/>
          <w:color w:val="auto"/>
          <w:sz w:val="21"/>
          <w:szCs w:val="21"/>
          <w:highlight w:val="none"/>
        </w:rPr>
      </w:pPr>
      <w:r>
        <w:rPr>
          <w:rFonts w:hAnsi="宋体"/>
          <w:b w:val="0"/>
          <w:bCs/>
          <w:color w:val="auto"/>
          <w:sz w:val="21"/>
          <w:szCs w:val="21"/>
          <w:highlight w:val="none"/>
        </w:rPr>
        <w:br w:type="page"/>
      </w:r>
      <w:bookmarkStart w:id="182" w:name="_Toc9464"/>
      <w:bookmarkStart w:id="183" w:name="_Toc463690925"/>
      <w:bookmarkStart w:id="184" w:name="_Toc463774858"/>
      <w:bookmarkStart w:id="185" w:name="_Toc67046892"/>
      <w:bookmarkStart w:id="186" w:name="_Toc463775756"/>
      <w:r>
        <w:rPr>
          <w:rFonts w:hAnsi="宋体"/>
          <w:color w:val="auto"/>
          <w:sz w:val="21"/>
          <w:szCs w:val="21"/>
          <w:highlight w:val="none"/>
        </w:rPr>
        <w:t>评审</w:t>
      </w:r>
      <w:r>
        <w:rPr>
          <w:rFonts w:hint="eastAsia" w:hAnsi="宋体"/>
          <w:color w:val="auto"/>
          <w:sz w:val="21"/>
          <w:szCs w:val="21"/>
          <w:highlight w:val="none"/>
        </w:rPr>
        <w:t>要素响应</w:t>
      </w:r>
      <w:r>
        <w:rPr>
          <w:rFonts w:hAnsi="宋体"/>
          <w:color w:val="auto"/>
          <w:sz w:val="21"/>
          <w:szCs w:val="21"/>
          <w:highlight w:val="none"/>
        </w:rPr>
        <w:t>资料表</w:t>
      </w:r>
      <w:bookmarkEnd w:id="182"/>
      <w:bookmarkEnd w:id="183"/>
      <w:bookmarkEnd w:id="184"/>
      <w:bookmarkEnd w:id="185"/>
      <w:bookmarkEnd w:id="186"/>
    </w:p>
    <w:tbl>
      <w:tblPr>
        <w:tblStyle w:val="3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4298"/>
        <w:gridCol w:w="2160"/>
      </w:tblGrid>
      <w:tr w14:paraId="5469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830" w:type="dxa"/>
            <w:vAlign w:val="center"/>
          </w:tcPr>
          <w:p w14:paraId="73EDB5C4">
            <w:pPr>
              <w:pStyle w:val="79"/>
              <w:keepNext w:val="0"/>
              <w:adjustRightInd/>
              <w:spacing w:before="0" w:after="0" w:line="24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商务评审分项</w:t>
            </w:r>
          </w:p>
        </w:tc>
        <w:tc>
          <w:tcPr>
            <w:tcW w:w="4298" w:type="dxa"/>
            <w:vAlign w:val="center"/>
          </w:tcPr>
          <w:p w14:paraId="4A768AF3">
            <w:pPr>
              <w:pStyle w:val="79"/>
              <w:keepNext w:val="0"/>
              <w:adjustRightInd/>
              <w:spacing w:before="0" w:after="0" w:line="24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商务评审细则</w:t>
            </w:r>
          </w:p>
        </w:tc>
        <w:tc>
          <w:tcPr>
            <w:tcW w:w="2160" w:type="dxa"/>
            <w:vAlign w:val="center"/>
          </w:tcPr>
          <w:p w14:paraId="205749D2">
            <w:pPr>
              <w:pStyle w:val="79"/>
              <w:keepNext w:val="0"/>
              <w:adjustRightInd/>
              <w:spacing w:before="0" w:after="0" w:line="24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14:paraId="0ED8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0" w:type="dxa"/>
            <w:vAlign w:val="center"/>
          </w:tcPr>
          <w:p w14:paraId="5064641D">
            <w:pPr>
              <w:jc w:val="center"/>
              <w:rPr>
                <w:rFonts w:ascii="宋体" w:hAnsi="宋体" w:cs="宋体"/>
                <w:color w:val="auto"/>
                <w:szCs w:val="21"/>
                <w:highlight w:val="none"/>
              </w:rPr>
            </w:pPr>
          </w:p>
        </w:tc>
        <w:tc>
          <w:tcPr>
            <w:tcW w:w="4298" w:type="dxa"/>
            <w:vAlign w:val="center"/>
          </w:tcPr>
          <w:p w14:paraId="0873C967">
            <w:pPr>
              <w:pStyle w:val="23"/>
              <w:rPr>
                <w:rFonts w:ascii="宋体" w:hAnsi="宋体"/>
                <w:bCs/>
                <w:iCs/>
                <w:color w:val="auto"/>
                <w:szCs w:val="21"/>
                <w:highlight w:val="none"/>
              </w:rPr>
            </w:pPr>
          </w:p>
        </w:tc>
        <w:tc>
          <w:tcPr>
            <w:tcW w:w="2160" w:type="dxa"/>
            <w:vAlign w:val="center"/>
          </w:tcPr>
          <w:p w14:paraId="366B5D82">
            <w:pPr>
              <w:pStyle w:val="23"/>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14:paraId="15AE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0" w:type="dxa"/>
            <w:vAlign w:val="center"/>
          </w:tcPr>
          <w:p w14:paraId="530338AD">
            <w:pPr>
              <w:jc w:val="center"/>
              <w:rPr>
                <w:rFonts w:ascii="宋体" w:hAnsi="宋体" w:cs="宋体"/>
                <w:color w:val="auto"/>
                <w:szCs w:val="21"/>
                <w:highlight w:val="none"/>
              </w:rPr>
            </w:pPr>
          </w:p>
        </w:tc>
        <w:tc>
          <w:tcPr>
            <w:tcW w:w="4298" w:type="dxa"/>
            <w:vAlign w:val="center"/>
          </w:tcPr>
          <w:p w14:paraId="2B172C4B">
            <w:pPr>
              <w:pStyle w:val="23"/>
              <w:rPr>
                <w:rFonts w:ascii="宋体" w:hAnsi="宋体"/>
                <w:color w:val="auto"/>
                <w:szCs w:val="21"/>
                <w:highlight w:val="none"/>
              </w:rPr>
            </w:pPr>
          </w:p>
        </w:tc>
        <w:tc>
          <w:tcPr>
            <w:tcW w:w="2160" w:type="dxa"/>
            <w:vAlign w:val="center"/>
          </w:tcPr>
          <w:p w14:paraId="5D41584B">
            <w:pPr>
              <w:pStyle w:val="23"/>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14:paraId="0E32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0" w:type="dxa"/>
            <w:vAlign w:val="center"/>
          </w:tcPr>
          <w:p w14:paraId="347F80AF">
            <w:pPr>
              <w:jc w:val="center"/>
              <w:rPr>
                <w:rFonts w:ascii="宋体" w:hAnsi="宋体" w:cs="宋体"/>
                <w:color w:val="auto"/>
                <w:szCs w:val="21"/>
                <w:highlight w:val="none"/>
              </w:rPr>
            </w:pPr>
          </w:p>
        </w:tc>
        <w:tc>
          <w:tcPr>
            <w:tcW w:w="4298" w:type="dxa"/>
            <w:vAlign w:val="center"/>
          </w:tcPr>
          <w:p w14:paraId="27EB27E8">
            <w:pPr>
              <w:pStyle w:val="23"/>
              <w:rPr>
                <w:rFonts w:ascii="宋体" w:hAnsi="宋体"/>
                <w:bCs/>
                <w:iCs/>
                <w:color w:val="auto"/>
                <w:szCs w:val="21"/>
                <w:highlight w:val="none"/>
              </w:rPr>
            </w:pPr>
          </w:p>
        </w:tc>
        <w:tc>
          <w:tcPr>
            <w:tcW w:w="2160" w:type="dxa"/>
            <w:vAlign w:val="center"/>
          </w:tcPr>
          <w:p w14:paraId="15D4EDED">
            <w:pPr>
              <w:pStyle w:val="23"/>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14:paraId="06D3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0" w:type="dxa"/>
            <w:vAlign w:val="center"/>
          </w:tcPr>
          <w:p w14:paraId="7F295527">
            <w:pPr>
              <w:jc w:val="center"/>
              <w:rPr>
                <w:rFonts w:ascii="宋体" w:hAnsi="宋体"/>
                <w:color w:val="auto"/>
                <w:szCs w:val="21"/>
                <w:highlight w:val="none"/>
              </w:rPr>
            </w:pPr>
          </w:p>
        </w:tc>
        <w:tc>
          <w:tcPr>
            <w:tcW w:w="4298" w:type="dxa"/>
            <w:vAlign w:val="center"/>
          </w:tcPr>
          <w:p w14:paraId="266D2454">
            <w:pPr>
              <w:pStyle w:val="23"/>
              <w:rPr>
                <w:rFonts w:ascii="宋体" w:hAnsi="宋体"/>
                <w:color w:val="auto"/>
                <w:szCs w:val="21"/>
                <w:highlight w:val="none"/>
              </w:rPr>
            </w:pPr>
          </w:p>
        </w:tc>
        <w:tc>
          <w:tcPr>
            <w:tcW w:w="2160" w:type="dxa"/>
            <w:vAlign w:val="center"/>
          </w:tcPr>
          <w:p w14:paraId="117F6A7C">
            <w:pPr>
              <w:pStyle w:val="23"/>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14:paraId="2E92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0" w:type="dxa"/>
            <w:vAlign w:val="center"/>
          </w:tcPr>
          <w:p w14:paraId="4ED37A01">
            <w:pPr>
              <w:jc w:val="center"/>
              <w:rPr>
                <w:rFonts w:ascii="宋体" w:hAnsi="宋体"/>
                <w:color w:val="auto"/>
                <w:szCs w:val="21"/>
                <w:highlight w:val="none"/>
              </w:rPr>
            </w:pPr>
          </w:p>
        </w:tc>
        <w:tc>
          <w:tcPr>
            <w:tcW w:w="4298" w:type="dxa"/>
            <w:vAlign w:val="center"/>
          </w:tcPr>
          <w:p w14:paraId="251AE875">
            <w:pPr>
              <w:pStyle w:val="23"/>
              <w:rPr>
                <w:rFonts w:ascii="宋体" w:hAnsi="宋体"/>
                <w:color w:val="auto"/>
                <w:szCs w:val="21"/>
                <w:highlight w:val="none"/>
              </w:rPr>
            </w:pPr>
          </w:p>
        </w:tc>
        <w:tc>
          <w:tcPr>
            <w:tcW w:w="2160" w:type="dxa"/>
            <w:vAlign w:val="center"/>
          </w:tcPr>
          <w:p w14:paraId="5ED7527C">
            <w:pPr>
              <w:pStyle w:val="23"/>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14:paraId="580D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0" w:type="dxa"/>
            <w:vAlign w:val="center"/>
          </w:tcPr>
          <w:p w14:paraId="2196F961">
            <w:pPr>
              <w:rPr>
                <w:rFonts w:ascii="宋体" w:hAnsi="宋体"/>
                <w:color w:val="auto"/>
                <w:szCs w:val="21"/>
                <w:highlight w:val="none"/>
              </w:rPr>
            </w:pPr>
            <w:r>
              <w:rPr>
                <w:rFonts w:hint="eastAsia" w:ascii="宋体" w:hAnsi="宋体"/>
                <w:color w:val="auto"/>
                <w:szCs w:val="21"/>
                <w:highlight w:val="none"/>
              </w:rPr>
              <w:t>……</w:t>
            </w:r>
          </w:p>
        </w:tc>
        <w:tc>
          <w:tcPr>
            <w:tcW w:w="4298" w:type="dxa"/>
            <w:vAlign w:val="center"/>
          </w:tcPr>
          <w:p w14:paraId="71EC5C72">
            <w:pPr>
              <w:pStyle w:val="23"/>
              <w:rPr>
                <w:rFonts w:ascii="宋体" w:hAnsi="宋体"/>
                <w:color w:val="auto"/>
                <w:szCs w:val="21"/>
                <w:highlight w:val="none"/>
              </w:rPr>
            </w:pPr>
            <w:r>
              <w:rPr>
                <w:rFonts w:hint="eastAsia" w:ascii="宋体" w:hAnsi="宋体"/>
                <w:color w:val="auto"/>
                <w:szCs w:val="21"/>
                <w:highlight w:val="none"/>
              </w:rPr>
              <w:t>……</w:t>
            </w:r>
          </w:p>
        </w:tc>
        <w:tc>
          <w:tcPr>
            <w:tcW w:w="2160" w:type="dxa"/>
            <w:vAlign w:val="center"/>
          </w:tcPr>
          <w:p w14:paraId="12DDA7C8">
            <w:pPr>
              <w:pStyle w:val="23"/>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14:paraId="5AC8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0" w:type="dxa"/>
            <w:vAlign w:val="center"/>
          </w:tcPr>
          <w:p w14:paraId="79A02CB6">
            <w:pPr>
              <w:pStyle w:val="79"/>
              <w:keepNext w:val="0"/>
              <w:adjustRightInd/>
              <w:spacing w:before="0" w:after="0" w:line="24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技术评审分项</w:t>
            </w:r>
          </w:p>
        </w:tc>
        <w:tc>
          <w:tcPr>
            <w:tcW w:w="4298" w:type="dxa"/>
            <w:vAlign w:val="center"/>
          </w:tcPr>
          <w:p w14:paraId="50B16EAE">
            <w:pPr>
              <w:pStyle w:val="79"/>
              <w:keepNext w:val="0"/>
              <w:adjustRightInd/>
              <w:spacing w:before="0" w:after="0" w:line="240" w:lineRule="auto"/>
              <w:textAlignment w:val="auto"/>
              <w:rPr>
                <w:rFonts w:ascii="宋体" w:hAnsi="宋体"/>
                <w:b/>
                <w:bCs/>
                <w:snapToGrid/>
                <w:color w:val="auto"/>
                <w:spacing w:val="0"/>
                <w:kern w:val="2"/>
                <w:sz w:val="21"/>
                <w:szCs w:val="21"/>
                <w:highlight w:val="none"/>
              </w:rPr>
            </w:pPr>
            <w:r>
              <w:rPr>
                <w:rFonts w:hint="eastAsia" w:ascii="宋体" w:hAnsi="宋体"/>
                <w:b/>
                <w:bCs/>
                <w:snapToGrid/>
                <w:color w:val="auto"/>
                <w:spacing w:val="0"/>
                <w:kern w:val="2"/>
                <w:sz w:val="21"/>
                <w:szCs w:val="21"/>
                <w:highlight w:val="none"/>
              </w:rPr>
              <w:t>技术</w:t>
            </w:r>
            <w:r>
              <w:rPr>
                <w:rFonts w:ascii="宋体" w:hAnsi="宋体"/>
                <w:b/>
                <w:bCs/>
                <w:snapToGrid/>
                <w:color w:val="auto"/>
                <w:spacing w:val="0"/>
                <w:kern w:val="2"/>
                <w:sz w:val="21"/>
                <w:szCs w:val="21"/>
                <w:highlight w:val="none"/>
              </w:rPr>
              <w:t>评审细则</w:t>
            </w:r>
          </w:p>
        </w:tc>
        <w:tc>
          <w:tcPr>
            <w:tcW w:w="2160" w:type="dxa"/>
            <w:vAlign w:val="center"/>
          </w:tcPr>
          <w:p w14:paraId="792A0507">
            <w:pPr>
              <w:pStyle w:val="79"/>
              <w:keepNext w:val="0"/>
              <w:adjustRightInd/>
              <w:spacing w:before="0" w:after="0" w:line="24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14:paraId="16D1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0" w:type="dxa"/>
            <w:vAlign w:val="center"/>
          </w:tcPr>
          <w:p w14:paraId="5B0041A0">
            <w:pPr>
              <w:jc w:val="center"/>
              <w:rPr>
                <w:rFonts w:ascii="宋体" w:hAnsi="宋体"/>
                <w:color w:val="auto"/>
                <w:szCs w:val="21"/>
                <w:highlight w:val="none"/>
              </w:rPr>
            </w:pPr>
          </w:p>
        </w:tc>
        <w:tc>
          <w:tcPr>
            <w:tcW w:w="4298" w:type="dxa"/>
            <w:vAlign w:val="center"/>
          </w:tcPr>
          <w:p w14:paraId="22FFEE67">
            <w:pPr>
              <w:pStyle w:val="23"/>
              <w:rPr>
                <w:rFonts w:ascii="宋体" w:hAnsi="宋体"/>
                <w:color w:val="auto"/>
                <w:szCs w:val="21"/>
                <w:highlight w:val="none"/>
              </w:rPr>
            </w:pPr>
          </w:p>
        </w:tc>
        <w:tc>
          <w:tcPr>
            <w:tcW w:w="2160" w:type="dxa"/>
            <w:vAlign w:val="center"/>
          </w:tcPr>
          <w:p w14:paraId="695D6A79">
            <w:pPr>
              <w:pStyle w:val="23"/>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14:paraId="0D2A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0" w:type="dxa"/>
            <w:vAlign w:val="center"/>
          </w:tcPr>
          <w:p w14:paraId="23F66AE0">
            <w:pPr>
              <w:jc w:val="center"/>
              <w:rPr>
                <w:rFonts w:ascii="宋体" w:hAnsi="宋体"/>
                <w:color w:val="auto"/>
                <w:szCs w:val="21"/>
                <w:highlight w:val="none"/>
              </w:rPr>
            </w:pPr>
          </w:p>
        </w:tc>
        <w:tc>
          <w:tcPr>
            <w:tcW w:w="4298" w:type="dxa"/>
            <w:vAlign w:val="center"/>
          </w:tcPr>
          <w:p w14:paraId="4DE3A5FA">
            <w:pPr>
              <w:rPr>
                <w:rFonts w:ascii="宋体" w:hAnsi="宋体"/>
                <w:color w:val="auto"/>
                <w:szCs w:val="21"/>
                <w:highlight w:val="none"/>
              </w:rPr>
            </w:pPr>
          </w:p>
        </w:tc>
        <w:tc>
          <w:tcPr>
            <w:tcW w:w="2160" w:type="dxa"/>
            <w:vAlign w:val="center"/>
          </w:tcPr>
          <w:p w14:paraId="5F8649AD">
            <w:pPr>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14:paraId="7C7C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0" w:type="dxa"/>
            <w:vAlign w:val="center"/>
          </w:tcPr>
          <w:p w14:paraId="7EB536DA">
            <w:pPr>
              <w:pStyle w:val="23"/>
              <w:jc w:val="center"/>
              <w:rPr>
                <w:rFonts w:ascii="宋体" w:hAnsi="宋体"/>
                <w:color w:val="auto"/>
                <w:szCs w:val="21"/>
                <w:highlight w:val="none"/>
              </w:rPr>
            </w:pPr>
          </w:p>
        </w:tc>
        <w:tc>
          <w:tcPr>
            <w:tcW w:w="4298" w:type="dxa"/>
            <w:vAlign w:val="center"/>
          </w:tcPr>
          <w:p w14:paraId="658AA728">
            <w:pPr>
              <w:rPr>
                <w:rFonts w:ascii="宋体" w:hAnsi="宋体"/>
                <w:color w:val="auto"/>
                <w:szCs w:val="21"/>
                <w:highlight w:val="none"/>
              </w:rPr>
            </w:pPr>
          </w:p>
        </w:tc>
        <w:tc>
          <w:tcPr>
            <w:tcW w:w="2160" w:type="dxa"/>
            <w:vAlign w:val="center"/>
          </w:tcPr>
          <w:p w14:paraId="5290CB67">
            <w:pPr>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14:paraId="4B15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0" w:type="dxa"/>
            <w:vAlign w:val="center"/>
          </w:tcPr>
          <w:p w14:paraId="552495A3">
            <w:pPr>
              <w:jc w:val="center"/>
              <w:rPr>
                <w:rFonts w:ascii="宋体" w:hAnsi="宋体"/>
                <w:color w:val="auto"/>
                <w:szCs w:val="21"/>
                <w:highlight w:val="none"/>
              </w:rPr>
            </w:pPr>
          </w:p>
        </w:tc>
        <w:tc>
          <w:tcPr>
            <w:tcW w:w="4298" w:type="dxa"/>
            <w:vAlign w:val="center"/>
          </w:tcPr>
          <w:p w14:paraId="58ACEAD1">
            <w:pPr>
              <w:rPr>
                <w:rFonts w:ascii="宋体" w:hAnsi="宋体"/>
                <w:color w:val="auto"/>
                <w:szCs w:val="21"/>
                <w:highlight w:val="none"/>
              </w:rPr>
            </w:pPr>
          </w:p>
        </w:tc>
        <w:tc>
          <w:tcPr>
            <w:tcW w:w="2160" w:type="dxa"/>
            <w:vAlign w:val="center"/>
          </w:tcPr>
          <w:p w14:paraId="0826BE84">
            <w:pPr>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14:paraId="6F51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0" w:type="dxa"/>
            <w:vAlign w:val="center"/>
          </w:tcPr>
          <w:p w14:paraId="21F9EC03">
            <w:pPr>
              <w:jc w:val="center"/>
              <w:rPr>
                <w:rFonts w:ascii="宋体" w:hAnsi="宋体"/>
                <w:color w:val="auto"/>
                <w:szCs w:val="21"/>
                <w:highlight w:val="none"/>
              </w:rPr>
            </w:pPr>
          </w:p>
        </w:tc>
        <w:tc>
          <w:tcPr>
            <w:tcW w:w="4298" w:type="dxa"/>
            <w:vAlign w:val="center"/>
          </w:tcPr>
          <w:p w14:paraId="717956E1">
            <w:pPr>
              <w:rPr>
                <w:rFonts w:ascii="宋体" w:hAnsi="宋体"/>
                <w:color w:val="auto"/>
                <w:szCs w:val="21"/>
                <w:highlight w:val="none"/>
              </w:rPr>
            </w:pPr>
          </w:p>
        </w:tc>
        <w:tc>
          <w:tcPr>
            <w:tcW w:w="2160" w:type="dxa"/>
            <w:vAlign w:val="center"/>
          </w:tcPr>
          <w:p w14:paraId="0A10E11E">
            <w:pPr>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r w14:paraId="7B2C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0" w:type="dxa"/>
            <w:vAlign w:val="center"/>
          </w:tcPr>
          <w:p w14:paraId="3E3F2425">
            <w:pPr>
              <w:jc w:val="center"/>
              <w:rPr>
                <w:rFonts w:ascii="宋体" w:hAnsi="宋体"/>
                <w:color w:val="auto"/>
                <w:szCs w:val="21"/>
                <w:highlight w:val="none"/>
              </w:rPr>
            </w:pPr>
            <w:r>
              <w:rPr>
                <w:rFonts w:hint="eastAsia" w:ascii="宋体" w:hAnsi="宋体"/>
                <w:color w:val="auto"/>
                <w:szCs w:val="21"/>
                <w:highlight w:val="none"/>
              </w:rPr>
              <w:t>……</w:t>
            </w:r>
          </w:p>
        </w:tc>
        <w:tc>
          <w:tcPr>
            <w:tcW w:w="4298" w:type="dxa"/>
            <w:vAlign w:val="center"/>
          </w:tcPr>
          <w:p w14:paraId="26F391C9">
            <w:pPr>
              <w:pStyle w:val="23"/>
              <w:rPr>
                <w:rFonts w:ascii="宋体" w:hAnsi="宋体"/>
                <w:color w:val="auto"/>
                <w:szCs w:val="21"/>
                <w:highlight w:val="none"/>
              </w:rPr>
            </w:pPr>
            <w:r>
              <w:rPr>
                <w:rFonts w:hint="eastAsia" w:ascii="宋体" w:hAnsi="宋体"/>
                <w:color w:val="auto"/>
                <w:szCs w:val="21"/>
                <w:highlight w:val="none"/>
              </w:rPr>
              <w:t>……</w:t>
            </w:r>
          </w:p>
        </w:tc>
        <w:tc>
          <w:tcPr>
            <w:tcW w:w="2160" w:type="dxa"/>
            <w:vAlign w:val="center"/>
          </w:tcPr>
          <w:p w14:paraId="2A10378F">
            <w:pPr>
              <w:pStyle w:val="23"/>
              <w:rPr>
                <w:rFonts w:ascii="宋体" w:hAnsi="宋体"/>
                <w:color w:val="auto"/>
                <w:szCs w:val="21"/>
                <w:highlight w:val="none"/>
              </w:rPr>
            </w:pPr>
            <w:r>
              <w:rPr>
                <w:rFonts w:ascii="宋体" w:hAnsi="宋体"/>
                <w:color w:val="auto"/>
                <w:szCs w:val="21"/>
                <w:highlight w:val="none"/>
              </w:rPr>
              <w:t>见</w:t>
            </w:r>
            <w:r>
              <w:rPr>
                <w:rFonts w:hint="eastAsia" w:ascii="宋体" w:hAnsi="宋体"/>
                <w:color w:val="auto"/>
                <w:szCs w:val="21"/>
                <w:highlight w:val="none"/>
              </w:rPr>
              <w:t>响应</w:t>
            </w:r>
            <w:r>
              <w:rPr>
                <w:rFonts w:ascii="宋体" w:hAnsi="宋体"/>
                <w:color w:val="auto"/>
                <w:szCs w:val="21"/>
                <w:highlight w:val="none"/>
              </w:rPr>
              <w:t>文件第（）页</w:t>
            </w:r>
          </w:p>
        </w:tc>
      </w:tr>
    </w:tbl>
    <w:p w14:paraId="6BF371E0">
      <w:pPr>
        <w:adjustRightInd w:val="0"/>
        <w:snapToGrid w:val="0"/>
        <w:spacing w:line="360" w:lineRule="auto"/>
        <w:rPr>
          <w:rFonts w:ascii="宋体" w:hAnsi="宋体"/>
          <w:color w:val="auto"/>
          <w:szCs w:val="21"/>
          <w:highlight w:val="none"/>
        </w:rPr>
      </w:pPr>
    </w:p>
    <w:p w14:paraId="143B4668">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注：1、供应商应根据《技术评审表》和《商务评审表》的各项内容填写此表，表格可延长。</w:t>
      </w:r>
    </w:p>
    <w:p w14:paraId="3A925F41">
      <w:pPr>
        <w:widowControl/>
        <w:spacing w:line="360" w:lineRule="auto"/>
        <w:ind w:firstLine="424" w:firstLineChars="202"/>
        <w:jc w:val="left"/>
        <w:rPr>
          <w:rFonts w:ascii="宋体" w:hAnsi="宋体"/>
          <w:b/>
          <w:bCs/>
          <w:color w:val="auto"/>
          <w:highlight w:val="none"/>
        </w:rPr>
      </w:pPr>
      <w:r>
        <w:rPr>
          <w:rFonts w:hint="eastAsia" w:ascii="宋体" w:hAnsi="宋体"/>
          <w:color w:val="auto"/>
          <w:szCs w:val="21"/>
          <w:highlight w:val="none"/>
        </w:rPr>
        <w:t>2、按评审项的顺序填写。</w:t>
      </w:r>
    </w:p>
    <w:p w14:paraId="05D4E8F8">
      <w:pPr>
        <w:pStyle w:val="3"/>
        <w:keepNext w:val="0"/>
        <w:keepLines w:val="0"/>
        <w:widowControl/>
        <w:spacing w:before="188" w:after="188" w:line="400" w:lineRule="exact"/>
        <w:ind w:firstLine="0"/>
        <w:jc w:val="center"/>
        <w:rPr>
          <w:rFonts w:hAnsi="宋体"/>
          <w:color w:val="auto"/>
          <w:sz w:val="21"/>
          <w:highlight w:val="none"/>
        </w:rPr>
      </w:pPr>
      <w:r>
        <w:rPr>
          <w:rFonts w:hAnsi="宋体" w:cs="Arial"/>
          <w:color w:val="auto"/>
          <w:sz w:val="28"/>
          <w:highlight w:val="none"/>
        </w:rPr>
        <w:br w:type="page"/>
      </w:r>
      <w:bookmarkEnd w:id="161"/>
      <w:bookmarkEnd w:id="162"/>
      <w:bookmarkEnd w:id="163"/>
      <w:bookmarkEnd w:id="164"/>
      <w:bookmarkEnd w:id="165"/>
      <w:bookmarkEnd w:id="166"/>
      <w:bookmarkEnd w:id="167"/>
      <w:bookmarkEnd w:id="168"/>
      <w:bookmarkEnd w:id="169"/>
      <w:bookmarkEnd w:id="170"/>
      <w:bookmarkStart w:id="187" w:name="_Toc67046893"/>
      <w:bookmarkStart w:id="188" w:name="_Toc13765"/>
      <w:bookmarkStart w:id="189" w:name="_Toc426557869"/>
      <w:r>
        <w:rPr>
          <w:rFonts w:hint="eastAsia" w:hAnsi="宋体"/>
          <w:bCs/>
          <w:color w:val="auto"/>
          <w:highlight w:val="none"/>
        </w:rPr>
        <w:t>第三章 资格审查文件</w:t>
      </w:r>
      <w:bookmarkEnd w:id="187"/>
      <w:bookmarkEnd w:id="188"/>
      <w:bookmarkEnd w:id="189"/>
    </w:p>
    <w:p w14:paraId="3245BEB2">
      <w:pPr>
        <w:pStyle w:val="3"/>
        <w:keepNext w:val="0"/>
        <w:keepLines w:val="0"/>
        <w:widowControl/>
        <w:spacing w:before="0" w:after="0"/>
        <w:ind w:firstLine="0"/>
        <w:jc w:val="center"/>
        <w:rPr>
          <w:rFonts w:hAnsi="宋体" w:cs="Arial"/>
          <w:color w:val="auto"/>
          <w:sz w:val="21"/>
          <w:szCs w:val="21"/>
          <w:highlight w:val="none"/>
        </w:rPr>
      </w:pPr>
      <w:bookmarkStart w:id="190" w:name="_Toc469651300"/>
      <w:bookmarkEnd w:id="190"/>
      <w:bookmarkStart w:id="191" w:name="_Toc511812774"/>
      <w:bookmarkEnd w:id="191"/>
      <w:bookmarkStart w:id="192" w:name="_Toc35597051"/>
      <w:bookmarkEnd w:id="192"/>
      <w:bookmarkStart w:id="193" w:name="_Toc467675109"/>
      <w:bookmarkEnd w:id="193"/>
      <w:bookmarkStart w:id="194" w:name="_Toc463795681"/>
      <w:bookmarkEnd w:id="194"/>
      <w:bookmarkStart w:id="195" w:name="_Toc520883961"/>
      <w:bookmarkEnd w:id="195"/>
      <w:bookmarkStart w:id="196" w:name="_Toc470171648"/>
      <w:bookmarkEnd w:id="196"/>
      <w:bookmarkStart w:id="197" w:name="_Toc13649246"/>
      <w:bookmarkEnd w:id="197"/>
      <w:bookmarkStart w:id="198" w:name="_Toc13649533"/>
      <w:bookmarkEnd w:id="198"/>
      <w:bookmarkStart w:id="199" w:name="_Toc13651002"/>
      <w:bookmarkEnd w:id="199"/>
      <w:bookmarkStart w:id="200" w:name="_Toc36197301"/>
      <w:bookmarkEnd w:id="200"/>
      <w:bookmarkStart w:id="201" w:name="_Toc17215724"/>
      <w:bookmarkEnd w:id="201"/>
      <w:bookmarkStart w:id="202" w:name="_Toc17215769"/>
      <w:bookmarkEnd w:id="202"/>
      <w:bookmarkStart w:id="203" w:name="_Toc467145155"/>
      <w:bookmarkEnd w:id="203"/>
      <w:bookmarkStart w:id="204" w:name="_Toc463795726"/>
      <w:bookmarkEnd w:id="204"/>
      <w:bookmarkStart w:id="205" w:name="_Toc5634812"/>
      <w:bookmarkEnd w:id="205"/>
      <w:bookmarkStart w:id="206" w:name="_Toc511812821"/>
      <w:bookmarkEnd w:id="206"/>
      <w:bookmarkStart w:id="207" w:name="_Toc426557870"/>
      <w:bookmarkStart w:id="208" w:name="_Toc67046894"/>
      <w:bookmarkStart w:id="209" w:name="_Toc22244"/>
      <w:r>
        <w:rPr>
          <w:rFonts w:hint="eastAsia" w:hAnsi="宋体"/>
          <w:color w:val="auto"/>
          <w:sz w:val="21"/>
          <w:szCs w:val="21"/>
          <w:highlight w:val="none"/>
          <w:lang w:val="en-US"/>
        </w:rPr>
        <w:t xml:space="preserve">3-1 </w:t>
      </w:r>
      <w:r>
        <w:rPr>
          <w:rFonts w:hint="eastAsia" w:hAnsi="宋体"/>
          <w:color w:val="auto"/>
          <w:sz w:val="21"/>
          <w:szCs w:val="21"/>
          <w:highlight w:val="none"/>
        </w:rPr>
        <w:t>资格声明函</w:t>
      </w:r>
      <w:bookmarkEnd w:id="207"/>
      <w:bookmarkEnd w:id="208"/>
      <w:bookmarkEnd w:id="209"/>
    </w:p>
    <w:p w14:paraId="2DAAB499">
      <w:pPr>
        <w:rPr>
          <w:rFonts w:ascii="宋体" w:hAnsi="宋体"/>
          <w:b/>
          <w:color w:val="auto"/>
          <w:szCs w:val="21"/>
          <w:highlight w:val="none"/>
        </w:rPr>
      </w:pPr>
      <w:r>
        <w:rPr>
          <w:rFonts w:hint="eastAsia" w:ascii="宋体" w:hAnsi="宋体"/>
          <w:b/>
          <w:color w:val="auto"/>
          <w:szCs w:val="21"/>
          <w:highlight w:val="none"/>
          <w:lang w:eastAsia="zh-CN"/>
        </w:rPr>
        <w:t>广州中天项目管理咨询有限公司</w:t>
      </w:r>
      <w:r>
        <w:rPr>
          <w:rFonts w:hint="eastAsia" w:ascii="宋体" w:hAnsi="宋体"/>
          <w:b/>
          <w:color w:val="auto"/>
          <w:szCs w:val="21"/>
          <w:highlight w:val="none"/>
        </w:rPr>
        <w:t>：</w:t>
      </w:r>
    </w:p>
    <w:p w14:paraId="1CD358DB">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关于贵公司的</w:t>
      </w:r>
      <w:r>
        <w:rPr>
          <w:rFonts w:hint="eastAsia" w:ascii="宋体" w:hAnsi="宋体"/>
          <w:color w:val="auto"/>
          <w:szCs w:val="21"/>
          <w:highlight w:val="none"/>
          <w:u w:val="single"/>
          <w:lang w:eastAsia="zh-CN"/>
        </w:rPr>
        <w:t>2025年万顷沙镇生活垃圾分类督导服务项目</w:t>
      </w:r>
      <w:r>
        <w:rPr>
          <w:rFonts w:hint="eastAsia" w:ascii="宋体" w:hAnsi="宋体"/>
          <w:color w:val="auto"/>
          <w:szCs w:val="21"/>
          <w:highlight w:val="none"/>
        </w:rPr>
        <w:t>（项目编号：</w:t>
      </w:r>
      <w:r>
        <w:rPr>
          <w:rFonts w:hint="eastAsia" w:ascii="宋体" w:hAnsi="宋体" w:cs="仿宋"/>
          <w:color w:val="auto"/>
          <w:szCs w:val="21"/>
          <w:highlight w:val="none"/>
          <w:lang w:eastAsia="zh-CN"/>
        </w:rPr>
        <w:t> GZZT2024CSCG-024</w:t>
      </w:r>
      <w:r>
        <w:rPr>
          <w:rFonts w:hint="eastAsia" w:ascii="宋体" w:hAnsi="宋体"/>
          <w:color w:val="auto"/>
          <w:szCs w:val="21"/>
          <w:highlight w:val="none"/>
        </w:rPr>
        <w:t>）的竞争性磋商公告，本单位（企业）自愿参加磋商，本单位具备</w:t>
      </w:r>
      <w:r>
        <w:rPr>
          <w:rFonts w:hint="eastAsia" w:ascii="宋体" w:hAnsi="宋体"/>
          <w:bCs/>
          <w:color w:val="auto"/>
          <w:szCs w:val="21"/>
          <w:highlight w:val="none"/>
        </w:rPr>
        <w:t>《中华人民共和国政府采购法》第二十二条</w:t>
      </w:r>
      <w:r>
        <w:rPr>
          <w:rFonts w:hint="eastAsia" w:ascii="宋体" w:hAnsi="宋体" w:cs="宋体"/>
          <w:color w:val="auto"/>
          <w:szCs w:val="21"/>
          <w:highlight w:val="none"/>
        </w:rPr>
        <w:t>规定的条件</w:t>
      </w:r>
      <w:r>
        <w:rPr>
          <w:rFonts w:hint="eastAsia" w:ascii="宋体" w:hAnsi="宋体"/>
          <w:bCs/>
          <w:color w:val="auto"/>
          <w:szCs w:val="21"/>
          <w:highlight w:val="none"/>
        </w:rPr>
        <w:t>，现承诺如下：</w:t>
      </w:r>
    </w:p>
    <w:p w14:paraId="75F2B6C9">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本单位具备</w:t>
      </w:r>
      <w:r>
        <w:rPr>
          <w:rFonts w:hint="eastAsia" w:ascii="宋体" w:hAnsi="宋体"/>
          <w:bCs/>
          <w:color w:val="auto"/>
          <w:szCs w:val="21"/>
          <w:highlight w:val="none"/>
        </w:rPr>
        <w:t>《中华人民共和国政府采购法》第二十二条资格条件，</w:t>
      </w:r>
      <w:r>
        <w:rPr>
          <w:rFonts w:hint="eastAsia" w:ascii="宋体" w:hAnsi="宋体"/>
          <w:color w:val="auto"/>
          <w:szCs w:val="21"/>
          <w:highlight w:val="none"/>
        </w:rPr>
        <w:t>并已清楚磋商文件的要求及有关文件规定。</w:t>
      </w:r>
    </w:p>
    <w:p w14:paraId="3E2DDD51">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本单位有依法缴纳税收和社会保障资金的良好记录；具有良好的商业信誉和健全的财务会计制度；履行合同所必需的设备和专业技术能力；参加采购活动前3年内，在经营活动中没有重大违法记录。</w:t>
      </w:r>
    </w:p>
    <w:p w14:paraId="011A06B3">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本单位的法定代表人或单位负责人与所参投的本采购项目包组的其他供应商的法定代表人或单位负责人不为同一人且与其他供应商之间不存在直接控股、管理关系。</w:t>
      </w:r>
    </w:p>
    <w:p w14:paraId="369A8F12">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2DC36E93">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本单位</w:t>
      </w:r>
      <w:r>
        <w:rPr>
          <w:rFonts w:ascii="宋体" w:hAnsi="宋体"/>
          <w:color w:val="auto"/>
          <w:szCs w:val="21"/>
          <w:highlight w:val="none"/>
        </w:rPr>
        <w:t>具有履行合同所必需的设备和专业技术能力</w:t>
      </w:r>
      <w:r>
        <w:rPr>
          <w:rFonts w:hint="eastAsia" w:ascii="宋体" w:hAnsi="宋体"/>
          <w:color w:val="auto"/>
          <w:szCs w:val="21"/>
          <w:highlight w:val="none"/>
        </w:rPr>
        <w:t>，且参加政府采购活动前</w:t>
      </w:r>
      <w:r>
        <w:rPr>
          <w:rFonts w:ascii="宋体" w:hAnsi="宋体"/>
          <w:color w:val="auto"/>
          <w:szCs w:val="21"/>
          <w:highlight w:val="none"/>
        </w:rPr>
        <w:t>3</w:t>
      </w:r>
      <w:r>
        <w:rPr>
          <w:rFonts w:hint="eastAsia" w:ascii="宋体" w:hAnsi="宋体"/>
          <w:color w:val="auto"/>
          <w:szCs w:val="21"/>
          <w:highlight w:val="none"/>
        </w:rPr>
        <w:t>年内在经营活动中没有重大违法记录。否则，由此所造成的损失、不良后果及法律责任，一律由我单位承担。</w:t>
      </w:r>
    </w:p>
    <w:p w14:paraId="6D76CBC2">
      <w:pPr>
        <w:spacing w:line="360" w:lineRule="auto"/>
        <w:ind w:firstLine="420"/>
        <w:rPr>
          <w:rFonts w:ascii="宋体" w:hAnsi="宋体"/>
          <w:color w:val="auto"/>
          <w:szCs w:val="21"/>
          <w:highlight w:val="none"/>
        </w:rPr>
      </w:pPr>
      <w:r>
        <w:rPr>
          <w:rFonts w:hint="eastAsia" w:ascii="宋体" w:hAnsi="宋体"/>
          <w:color w:val="auto"/>
          <w:szCs w:val="21"/>
          <w:highlight w:val="none"/>
        </w:rPr>
        <w:t>本次采购活动中，如有违法、违规、弄虚作假行为，所造成的损失、不良后果及法律责任，一律由我单位承担。</w:t>
      </w:r>
    </w:p>
    <w:p w14:paraId="0248E03A">
      <w:pPr>
        <w:spacing w:line="360" w:lineRule="auto"/>
        <w:ind w:firstLine="420"/>
        <w:rPr>
          <w:rFonts w:ascii="宋体" w:hAnsi="宋体"/>
          <w:color w:val="auto"/>
          <w:szCs w:val="21"/>
          <w:highlight w:val="none"/>
        </w:rPr>
      </w:pPr>
    </w:p>
    <w:p w14:paraId="074637E5">
      <w:pPr>
        <w:tabs>
          <w:tab w:val="left" w:pos="2268"/>
        </w:tabs>
        <w:spacing w:line="420" w:lineRule="exact"/>
        <w:rPr>
          <w:rFonts w:ascii="宋体" w:hAnsi="宋体"/>
          <w:color w:val="auto"/>
          <w:szCs w:val="21"/>
          <w:highlight w:val="none"/>
        </w:rPr>
      </w:pPr>
      <w:r>
        <w:rPr>
          <w:rFonts w:hint="eastAsia" w:ascii="宋体" w:hAnsi="宋体"/>
          <w:color w:val="auto"/>
          <w:szCs w:val="21"/>
          <w:highlight w:val="none"/>
        </w:rPr>
        <w:t>供应商名称(并加盖公章)：</w:t>
      </w:r>
    </w:p>
    <w:p w14:paraId="04585BF8">
      <w:pPr>
        <w:tabs>
          <w:tab w:val="left" w:pos="2268"/>
        </w:tabs>
        <w:spacing w:line="420" w:lineRule="exact"/>
        <w:rPr>
          <w:rFonts w:ascii="宋体" w:hAnsi="宋体"/>
          <w:color w:val="auto"/>
          <w:szCs w:val="21"/>
          <w:highlight w:val="none"/>
        </w:rPr>
      </w:pPr>
    </w:p>
    <w:p w14:paraId="656D926E">
      <w:pPr>
        <w:tabs>
          <w:tab w:val="left" w:pos="2268"/>
        </w:tabs>
        <w:spacing w:line="420" w:lineRule="exact"/>
        <w:rPr>
          <w:rFonts w:ascii="宋体" w:hAnsi="宋体"/>
          <w:color w:val="auto"/>
          <w:szCs w:val="21"/>
          <w:highlight w:val="none"/>
        </w:rPr>
      </w:pPr>
      <w:r>
        <w:rPr>
          <w:rFonts w:hint="eastAsia" w:ascii="宋体" w:hAnsi="宋体"/>
          <w:color w:val="auto"/>
          <w:szCs w:val="21"/>
          <w:highlight w:val="none"/>
        </w:rPr>
        <w:t>供应商法定代表人或其委托人签名或印鉴：</w:t>
      </w:r>
    </w:p>
    <w:p w14:paraId="61114783">
      <w:pPr>
        <w:tabs>
          <w:tab w:val="left" w:pos="2268"/>
        </w:tabs>
        <w:spacing w:line="420" w:lineRule="exact"/>
        <w:rPr>
          <w:rFonts w:ascii="宋体" w:hAnsi="宋体"/>
          <w:color w:val="auto"/>
          <w:szCs w:val="21"/>
          <w:highlight w:val="none"/>
        </w:rPr>
      </w:pPr>
    </w:p>
    <w:p w14:paraId="2FE150CD">
      <w:pPr>
        <w:tabs>
          <w:tab w:val="left" w:pos="2268"/>
        </w:tabs>
        <w:spacing w:line="420" w:lineRule="exact"/>
        <w:rPr>
          <w:rFonts w:ascii="宋体" w:hAnsi="宋体"/>
          <w:color w:val="auto"/>
          <w:szCs w:val="21"/>
          <w:highlight w:val="none"/>
        </w:rPr>
      </w:pPr>
      <w:r>
        <w:rPr>
          <w:rFonts w:hint="eastAsia" w:ascii="宋体" w:hAnsi="宋体"/>
          <w:color w:val="auto"/>
          <w:szCs w:val="21"/>
          <w:highlight w:val="none"/>
        </w:rPr>
        <w:t>日期：  年  月  日</w:t>
      </w:r>
    </w:p>
    <w:p w14:paraId="1A1F012E">
      <w:pPr>
        <w:spacing w:line="360" w:lineRule="auto"/>
        <w:ind w:firstLine="420"/>
        <w:rPr>
          <w:rFonts w:ascii="宋体" w:hAnsi="宋体"/>
          <w:color w:val="auto"/>
          <w:szCs w:val="21"/>
          <w:highlight w:val="none"/>
        </w:rPr>
      </w:pPr>
    </w:p>
    <w:p w14:paraId="7DC855FF">
      <w:pPr>
        <w:spacing w:line="360" w:lineRule="auto"/>
        <w:ind w:firstLine="420"/>
        <w:rPr>
          <w:rFonts w:ascii="宋体" w:hAnsi="宋体"/>
          <w:b/>
          <w:bCs/>
          <w:color w:val="auto"/>
          <w:szCs w:val="21"/>
          <w:highlight w:val="none"/>
          <w:u w:val="single"/>
        </w:rPr>
      </w:pPr>
      <w:r>
        <w:rPr>
          <w:rFonts w:hint="eastAsia" w:ascii="宋体" w:hAnsi="宋体"/>
          <w:b/>
          <w:bCs/>
          <w:color w:val="auto"/>
          <w:szCs w:val="21"/>
          <w:highlight w:val="none"/>
          <w:u w:val="single"/>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12FDB285">
      <w:pPr>
        <w:rPr>
          <w:rFonts w:ascii="宋体" w:hAnsi="宋体" w:cs="宋体"/>
          <w:b/>
          <w:bCs/>
          <w:color w:val="auto"/>
          <w:szCs w:val="21"/>
          <w:highlight w:val="none"/>
        </w:rPr>
      </w:pPr>
      <w:r>
        <w:rPr>
          <w:rFonts w:ascii="宋体" w:hAnsi="宋体" w:cs="Arial"/>
          <w:color w:val="auto"/>
          <w:sz w:val="28"/>
          <w:highlight w:val="none"/>
        </w:rPr>
        <w:br w:type="page"/>
      </w:r>
      <w:bookmarkStart w:id="210" w:name="_Toc345249422"/>
      <w:bookmarkStart w:id="211" w:name="_Toc418860089"/>
      <w:bookmarkStart w:id="212" w:name="_Toc430104099"/>
      <w:bookmarkStart w:id="213" w:name="_Toc425873484"/>
      <w:bookmarkStart w:id="214" w:name="_Toc428180381"/>
      <w:bookmarkStart w:id="215" w:name="_Toc362945033"/>
      <w:bookmarkStart w:id="216" w:name="_Toc368513946"/>
      <w:bookmarkStart w:id="217" w:name="_Toc428176733"/>
      <w:bookmarkStart w:id="218" w:name="_Toc367012687"/>
      <w:bookmarkStart w:id="219" w:name="_Toc426557873"/>
    </w:p>
    <w:p w14:paraId="6330753A">
      <w:pPr>
        <w:rPr>
          <w:rFonts w:ascii="宋体" w:hAnsi="宋体" w:cs="宋体"/>
          <w:b/>
          <w:bCs/>
          <w:color w:val="auto"/>
          <w:szCs w:val="21"/>
          <w:highlight w:val="none"/>
        </w:rPr>
      </w:pPr>
      <w:r>
        <w:rPr>
          <w:rFonts w:hint="eastAsia" w:ascii="宋体" w:hAnsi="宋体" w:cs="宋体"/>
          <w:b/>
          <w:bCs/>
          <w:color w:val="auto"/>
          <w:szCs w:val="21"/>
          <w:highlight w:val="none"/>
        </w:rPr>
        <w:t>附件：</w:t>
      </w:r>
    </w:p>
    <w:p w14:paraId="797BCFC0">
      <w:pPr>
        <w:jc w:val="center"/>
        <w:rPr>
          <w:rFonts w:ascii="宋体" w:hAnsi="宋体"/>
          <w:color w:val="auto"/>
          <w:szCs w:val="21"/>
          <w:highlight w:val="none"/>
        </w:rPr>
      </w:pPr>
      <w:r>
        <w:rPr>
          <w:rFonts w:hint="eastAsia" w:ascii="宋体" w:hAnsi="宋体" w:cs="宋体"/>
          <w:b/>
          <w:bCs/>
          <w:color w:val="auto"/>
          <w:szCs w:val="21"/>
          <w:highlight w:val="none"/>
        </w:rPr>
        <w:t>与供应商存在关联关系的单位名称说明</w:t>
      </w:r>
    </w:p>
    <w:p w14:paraId="264DCAF2">
      <w:pPr>
        <w:ind w:firstLine="420"/>
        <w:rPr>
          <w:rFonts w:ascii="宋体" w:hAnsi="宋体"/>
          <w:color w:val="auto"/>
          <w:szCs w:val="21"/>
          <w:highlight w:val="none"/>
        </w:rPr>
      </w:pPr>
    </w:p>
    <w:p w14:paraId="2AFEC99A">
      <w:pPr>
        <w:spacing w:line="360" w:lineRule="auto"/>
        <w:ind w:firstLine="420" w:firstLineChars="200"/>
        <w:rPr>
          <w:rFonts w:ascii="宋体" w:hAnsi="宋体" w:cs="Courier New"/>
          <w:color w:val="auto"/>
          <w:szCs w:val="21"/>
          <w:highlight w:val="none"/>
          <w:u w:val="single"/>
        </w:rPr>
      </w:pPr>
      <w:r>
        <w:rPr>
          <w:rFonts w:hint="eastAsia" w:ascii="宋体" w:hAnsi="宋体" w:cs="Courier New"/>
          <w:color w:val="auto"/>
          <w:szCs w:val="21"/>
          <w:highlight w:val="none"/>
        </w:rPr>
        <w:t>一、与我方的法定代表人（单位负责人）为同一人的单位名称如下：</w:t>
      </w:r>
    </w:p>
    <w:p w14:paraId="57A79F53">
      <w:pPr>
        <w:spacing w:line="360" w:lineRule="auto"/>
        <w:ind w:firstLine="420" w:firstLineChars="200"/>
        <w:rPr>
          <w:rFonts w:ascii="宋体" w:hAnsi="宋体" w:cs="Courier New"/>
          <w:color w:val="auto"/>
          <w:szCs w:val="21"/>
          <w:highlight w:val="none"/>
          <w:u w:val="single"/>
        </w:rPr>
      </w:pPr>
    </w:p>
    <w:p w14:paraId="46D8370A">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二</w:t>
      </w:r>
      <w:r>
        <w:rPr>
          <w:rFonts w:ascii="宋体" w:hAnsi="宋体" w:cs="Courier New"/>
          <w:color w:val="auto"/>
          <w:szCs w:val="21"/>
          <w:highlight w:val="none"/>
        </w:rPr>
        <w:t>、</w:t>
      </w:r>
      <w:r>
        <w:rPr>
          <w:rFonts w:hint="eastAsia" w:ascii="宋体" w:hAnsi="宋体" w:cs="Courier New"/>
          <w:color w:val="auto"/>
          <w:szCs w:val="21"/>
          <w:highlight w:val="none"/>
        </w:rPr>
        <w:t>我方的控股股东名称如下（我方</w:t>
      </w:r>
      <w:r>
        <w:rPr>
          <w:rFonts w:ascii="宋体" w:hAnsi="宋体" w:cs="Courier New"/>
          <w:color w:val="auto"/>
          <w:szCs w:val="21"/>
          <w:highlight w:val="none"/>
        </w:rPr>
        <w:t>的</w:t>
      </w:r>
      <w:r>
        <w:rPr>
          <w:rFonts w:hint="eastAsia" w:ascii="宋体" w:hAnsi="宋体" w:cs="Courier New"/>
          <w:color w:val="auto"/>
          <w:szCs w:val="21"/>
          <w:highlight w:val="none"/>
        </w:rPr>
        <w:t>母公司</w:t>
      </w:r>
      <w:r>
        <w:rPr>
          <w:rFonts w:ascii="宋体" w:hAnsi="宋体" w:cs="Courier New"/>
          <w:color w:val="auto"/>
          <w:szCs w:val="21"/>
          <w:highlight w:val="none"/>
        </w:rPr>
        <w:t>、</w:t>
      </w:r>
      <w:r>
        <w:rPr>
          <w:rFonts w:hint="eastAsia" w:ascii="宋体" w:hAnsi="宋体" w:cs="Courier New"/>
          <w:color w:val="auto"/>
          <w:szCs w:val="21"/>
          <w:highlight w:val="none"/>
        </w:rPr>
        <w:t>对我方直接或间接持股50％及以上的投资单位）：</w:t>
      </w:r>
    </w:p>
    <w:p w14:paraId="28F5F793">
      <w:pPr>
        <w:spacing w:line="360" w:lineRule="auto"/>
        <w:ind w:firstLine="420" w:firstLineChars="200"/>
        <w:rPr>
          <w:rFonts w:ascii="宋体" w:hAnsi="宋体" w:cs="Courier New"/>
          <w:color w:val="auto"/>
          <w:szCs w:val="21"/>
          <w:highlight w:val="none"/>
          <w:u w:val="single"/>
        </w:rPr>
      </w:pPr>
    </w:p>
    <w:p w14:paraId="5AA3741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三</w:t>
      </w:r>
      <w:r>
        <w:rPr>
          <w:rFonts w:ascii="宋体" w:hAnsi="宋体" w:cs="Courier New"/>
          <w:color w:val="auto"/>
          <w:szCs w:val="21"/>
          <w:highlight w:val="none"/>
        </w:rPr>
        <w:t>、</w:t>
      </w:r>
      <w:r>
        <w:rPr>
          <w:rFonts w:hint="eastAsia" w:ascii="宋体" w:hAnsi="宋体" w:cs="Courier New"/>
          <w:color w:val="auto"/>
          <w:szCs w:val="21"/>
          <w:highlight w:val="none"/>
        </w:rPr>
        <w:t>我方直接控股的单位</w:t>
      </w:r>
      <w:r>
        <w:rPr>
          <w:rFonts w:ascii="宋体" w:hAnsi="宋体" w:cs="Courier New"/>
          <w:color w:val="auto"/>
          <w:szCs w:val="21"/>
          <w:highlight w:val="none"/>
        </w:rPr>
        <w:t>名称</w:t>
      </w:r>
      <w:r>
        <w:rPr>
          <w:rFonts w:hint="eastAsia" w:ascii="宋体" w:hAnsi="宋体" w:cs="Courier New"/>
          <w:color w:val="auto"/>
          <w:szCs w:val="21"/>
          <w:highlight w:val="none"/>
        </w:rPr>
        <w:t>如下（直接或间接持股50％及以上的被投资单位）：</w:t>
      </w:r>
    </w:p>
    <w:p w14:paraId="62787945">
      <w:pPr>
        <w:spacing w:line="360" w:lineRule="auto"/>
        <w:ind w:firstLine="420" w:firstLineChars="200"/>
        <w:rPr>
          <w:rFonts w:ascii="宋体" w:hAnsi="宋体" w:cs="Courier New"/>
          <w:color w:val="auto"/>
          <w:szCs w:val="21"/>
          <w:highlight w:val="none"/>
          <w:u w:val="single"/>
        </w:rPr>
      </w:pPr>
    </w:p>
    <w:p w14:paraId="2A928303">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四</w:t>
      </w:r>
      <w:r>
        <w:rPr>
          <w:rFonts w:ascii="宋体" w:hAnsi="宋体" w:cs="Courier New"/>
          <w:color w:val="auto"/>
          <w:szCs w:val="21"/>
          <w:highlight w:val="none"/>
        </w:rPr>
        <w:t>、</w:t>
      </w:r>
      <w:r>
        <w:rPr>
          <w:rFonts w:hint="eastAsia" w:ascii="宋体" w:hAnsi="宋体" w:cs="Courier New"/>
          <w:color w:val="auto"/>
          <w:szCs w:val="21"/>
          <w:highlight w:val="none"/>
        </w:rPr>
        <w:t>与我方存在管理、被管理关系的单位名称如下：</w:t>
      </w:r>
    </w:p>
    <w:p w14:paraId="27EAFFDE">
      <w:pPr>
        <w:spacing w:line="360" w:lineRule="auto"/>
        <w:rPr>
          <w:rFonts w:ascii="宋体" w:hAnsi="宋体" w:cs="Courier New"/>
          <w:color w:val="auto"/>
          <w:szCs w:val="21"/>
          <w:highlight w:val="none"/>
          <w:u w:val="single"/>
        </w:rPr>
      </w:pPr>
    </w:p>
    <w:p w14:paraId="5FB79FAA">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五</w:t>
      </w:r>
      <w:r>
        <w:rPr>
          <w:rFonts w:ascii="宋体" w:hAnsi="宋体" w:cs="Courier New"/>
          <w:color w:val="auto"/>
          <w:szCs w:val="21"/>
          <w:highlight w:val="none"/>
        </w:rPr>
        <w:t>、</w:t>
      </w:r>
      <w:r>
        <w:rPr>
          <w:rFonts w:hint="eastAsia" w:ascii="宋体" w:hAnsi="宋体" w:cs="Courier New"/>
          <w:color w:val="auto"/>
          <w:szCs w:val="21"/>
          <w:highlight w:val="none"/>
        </w:rPr>
        <w:t>与</w:t>
      </w:r>
      <w:r>
        <w:rPr>
          <w:rFonts w:ascii="宋体" w:hAnsi="宋体" w:cs="Courier New"/>
          <w:color w:val="auto"/>
          <w:szCs w:val="21"/>
          <w:highlight w:val="none"/>
        </w:rPr>
        <w:t>我方</w:t>
      </w:r>
      <w:r>
        <w:rPr>
          <w:rFonts w:hint="eastAsia" w:ascii="宋体" w:hAnsi="宋体" w:cs="Courier New"/>
          <w:color w:val="auto"/>
          <w:szCs w:val="21"/>
          <w:highlight w:val="none"/>
        </w:rPr>
        <w:t>为同一家母公司直接或间接持股50％及以上的被投资单位名称如下：</w:t>
      </w:r>
    </w:p>
    <w:p w14:paraId="03A433E4">
      <w:pPr>
        <w:spacing w:line="360" w:lineRule="auto"/>
        <w:ind w:firstLine="420" w:firstLineChars="200"/>
        <w:rPr>
          <w:rFonts w:ascii="宋体" w:hAnsi="宋体" w:cs="Courier New"/>
          <w:color w:val="auto"/>
          <w:szCs w:val="21"/>
          <w:highlight w:val="none"/>
        </w:rPr>
      </w:pPr>
    </w:p>
    <w:p w14:paraId="4F7ED0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w:t>
      </w:r>
      <w:r>
        <w:rPr>
          <w:rFonts w:ascii="宋体" w:hAnsi="宋体"/>
          <w:color w:val="auto"/>
          <w:szCs w:val="21"/>
          <w:highlight w:val="none"/>
        </w:rPr>
        <w:t>承诺</w:t>
      </w:r>
      <w:r>
        <w:rPr>
          <w:rFonts w:hint="eastAsia" w:ascii="宋体" w:hAnsi="宋体"/>
          <w:color w:val="auto"/>
          <w:szCs w:val="21"/>
          <w:highlight w:val="none"/>
        </w:rPr>
        <w:t>上述</w:t>
      </w:r>
      <w:r>
        <w:rPr>
          <w:rFonts w:ascii="宋体" w:hAnsi="宋体"/>
          <w:color w:val="auto"/>
          <w:szCs w:val="21"/>
          <w:highlight w:val="none"/>
        </w:rPr>
        <w:t>有</w:t>
      </w:r>
      <w:r>
        <w:rPr>
          <w:rFonts w:hint="eastAsia" w:ascii="宋体" w:hAnsi="宋体"/>
          <w:color w:val="auto"/>
          <w:szCs w:val="21"/>
          <w:highlight w:val="none"/>
        </w:rPr>
        <w:t>关联</w:t>
      </w:r>
      <w:r>
        <w:rPr>
          <w:rFonts w:ascii="宋体" w:hAnsi="宋体"/>
          <w:color w:val="auto"/>
          <w:szCs w:val="21"/>
          <w:highlight w:val="none"/>
        </w:rPr>
        <w:t>关系的</w:t>
      </w:r>
      <w:r>
        <w:rPr>
          <w:rFonts w:hint="eastAsia" w:ascii="宋体" w:hAnsi="宋体"/>
          <w:color w:val="auto"/>
          <w:szCs w:val="21"/>
          <w:highlight w:val="none"/>
        </w:rPr>
        <w:t>单位</w:t>
      </w:r>
      <w:r>
        <w:rPr>
          <w:rFonts w:ascii="宋体" w:hAnsi="宋体"/>
          <w:color w:val="auto"/>
          <w:szCs w:val="21"/>
          <w:highlight w:val="none"/>
        </w:rPr>
        <w:t>不参与本项目的</w:t>
      </w:r>
      <w:r>
        <w:rPr>
          <w:rFonts w:hint="eastAsia" w:ascii="宋体" w:hAnsi="宋体"/>
          <w:color w:val="auto"/>
          <w:szCs w:val="21"/>
          <w:highlight w:val="none"/>
        </w:rPr>
        <w:t>磋商</w:t>
      </w:r>
      <w:r>
        <w:rPr>
          <w:rFonts w:ascii="宋体" w:hAnsi="宋体"/>
          <w:color w:val="auto"/>
          <w:szCs w:val="21"/>
          <w:highlight w:val="none"/>
        </w:rPr>
        <w:t>，如</w:t>
      </w:r>
      <w:r>
        <w:rPr>
          <w:rFonts w:hint="eastAsia" w:ascii="宋体" w:hAnsi="宋体"/>
          <w:color w:val="auto"/>
          <w:szCs w:val="21"/>
          <w:highlight w:val="none"/>
        </w:rPr>
        <w:t>有</w:t>
      </w:r>
      <w:r>
        <w:rPr>
          <w:rFonts w:ascii="宋体" w:hAnsi="宋体"/>
          <w:color w:val="auto"/>
          <w:szCs w:val="21"/>
          <w:highlight w:val="none"/>
        </w:rPr>
        <w:t>参与</w:t>
      </w:r>
      <w:r>
        <w:rPr>
          <w:rFonts w:hint="eastAsia" w:ascii="宋体" w:hAnsi="宋体"/>
          <w:color w:val="auto"/>
          <w:szCs w:val="21"/>
          <w:highlight w:val="none"/>
        </w:rPr>
        <w:t>磋商</w:t>
      </w:r>
      <w:r>
        <w:rPr>
          <w:rFonts w:ascii="宋体" w:hAnsi="宋体"/>
          <w:color w:val="auto"/>
          <w:szCs w:val="21"/>
          <w:highlight w:val="none"/>
        </w:rPr>
        <w:t>，</w:t>
      </w:r>
      <w:r>
        <w:rPr>
          <w:rFonts w:hint="eastAsia" w:ascii="宋体" w:hAnsi="宋体"/>
          <w:color w:val="auto"/>
          <w:szCs w:val="21"/>
          <w:highlight w:val="none"/>
        </w:rPr>
        <w:t>我方响应</w:t>
      </w:r>
      <w:r>
        <w:rPr>
          <w:rFonts w:ascii="宋体" w:hAnsi="宋体"/>
          <w:color w:val="auto"/>
          <w:szCs w:val="21"/>
          <w:highlight w:val="none"/>
        </w:rPr>
        <w:t>文件</w:t>
      </w:r>
      <w:r>
        <w:rPr>
          <w:rFonts w:hint="eastAsia" w:ascii="宋体" w:hAnsi="宋体"/>
          <w:color w:val="auto"/>
          <w:szCs w:val="21"/>
          <w:highlight w:val="none"/>
        </w:rPr>
        <w:t>为</w:t>
      </w:r>
      <w:r>
        <w:rPr>
          <w:rFonts w:ascii="宋体" w:hAnsi="宋体"/>
          <w:color w:val="auto"/>
          <w:szCs w:val="21"/>
          <w:highlight w:val="none"/>
        </w:rPr>
        <w:t>无效</w:t>
      </w:r>
      <w:r>
        <w:rPr>
          <w:rFonts w:hint="eastAsia" w:ascii="宋体" w:hAnsi="宋体"/>
          <w:color w:val="auto"/>
          <w:szCs w:val="21"/>
          <w:highlight w:val="none"/>
        </w:rPr>
        <w:t>响应文件。</w:t>
      </w:r>
    </w:p>
    <w:p w14:paraId="5A7A2634">
      <w:pPr>
        <w:spacing w:line="360" w:lineRule="auto"/>
        <w:ind w:firstLine="420" w:firstLineChars="200"/>
        <w:rPr>
          <w:rFonts w:ascii="宋体" w:hAnsi="宋体"/>
          <w:color w:val="auto"/>
          <w:szCs w:val="21"/>
          <w:highlight w:val="none"/>
        </w:rPr>
      </w:pPr>
    </w:p>
    <w:p w14:paraId="1AAA6AD8">
      <w:pPr>
        <w:tabs>
          <w:tab w:val="left" w:pos="2268"/>
        </w:tabs>
        <w:spacing w:line="420" w:lineRule="exact"/>
        <w:ind w:firstLine="420" w:firstLineChars="200"/>
        <w:rPr>
          <w:rFonts w:ascii="宋体" w:hAnsi="宋体"/>
          <w:color w:val="auto"/>
          <w:szCs w:val="21"/>
          <w:highlight w:val="none"/>
        </w:rPr>
      </w:pPr>
    </w:p>
    <w:p w14:paraId="21AAB4B7">
      <w:pPr>
        <w:tabs>
          <w:tab w:val="left" w:pos="2268"/>
        </w:tabs>
        <w:spacing w:line="420" w:lineRule="exact"/>
        <w:ind w:firstLine="420" w:firstLineChars="200"/>
        <w:rPr>
          <w:rFonts w:ascii="宋体" w:hAnsi="宋体"/>
          <w:color w:val="auto"/>
          <w:szCs w:val="21"/>
          <w:highlight w:val="none"/>
        </w:rPr>
      </w:pPr>
    </w:p>
    <w:p w14:paraId="59B88D64">
      <w:pPr>
        <w:tabs>
          <w:tab w:val="left" w:pos="2268"/>
        </w:tabs>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供应商名称(并加盖公章)：</w:t>
      </w:r>
    </w:p>
    <w:p w14:paraId="5F0F8936">
      <w:pPr>
        <w:tabs>
          <w:tab w:val="left" w:pos="2268"/>
        </w:tabs>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供应商法定代表人或其委托人签字或印鉴：</w:t>
      </w:r>
    </w:p>
    <w:p w14:paraId="0D0BC50F">
      <w:pPr>
        <w:tabs>
          <w:tab w:val="left" w:pos="2268"/>
        </w:tabs>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日期：     年   月   日</w:t>
      </w:r>
    </w:p>
    <w:p w14:paraId="39CEC536">
      <w:pPr>
        <w:spacing w:line="360" w:lineRule="auto"/>
        <w:rPr>
          <w:rFonts w:ascii="宋体" w:hAnsi="宋体"/>
          <w:color w:val="auto"/>
          <w:szCs w:val="21"/>
          <w:highlight w:val="none"/>
        </w:rPr>
      </w:pPr>
    </w:p>
    <w:p w14:paraId="16E3D947">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注</w:t>
      </w:r>
      <w:r>
        <w:rPr>
          <w:rFonts w:ascii="宋体" w:hAnsi="宋体"/>
          <w:color w:val="auto"/>
          <w:szCs w:val="21"/>
          <w:highlight w:val="none"/>
        </w:rPr>
        <w:t>：</w:t>
      </w:r>
      <w:r>
        <w:rPr>
          <w:rFonts w:hint="eastAsia" w:ascii="宋体" w:hAnsi="宋体"/>
          <w:color w:val="auto"/>
          <w:szCs w:val="21"/>
          <w:highlight w:val="none"/>
        </w:rPr>
        <w:t>有以上情况</w:t>
      </w:r>
      <w:r>
        <w:rPr>
          <w:rFonts w:ascii="宋体" w:hAnsi="宋体"/>
          <w:color w:val="auto"/>
          <w:szCs w:val="21"/>
          <w:highlight w:val="none"/>
        </w:rPr>
        <w:t>的单位名称请应列尽</w:t>
      </w:r>
      <w:r>
        <w:rPr>
          <w:rFonts w:hint="eastAsia" w:ascii="宋体" w:hAnsi="宋体"/>
          <w:color w:val="auto"/>
          <w:szCs w:val="21"/>
          <w:highlight w:val="none"/>
        </w:rPr>
        <w:t>列，</w:t>
      </w:r>
      <w:r>
        <w:rPr>
          <w:rFonts w:ascii="宋体" w:hAnsi="宋体"/>
          <w:color w:val="auto"/>
          <w:szCs w:val="21"/>
          <w:highlight w:val="none"/>
        </w:rPr>
        <w:t>若无相关情况请填写</w:t>
      </w:r>
      <w:r>
        <w:rPr>
          <w:rFonts w:hint="eastAsia" w:ascii="宋体" w:hAnsi="宋体"/>
          <w:color w:val="auto"/>
          <w:szCs w:val="21"/>
          <w:highlight w:val="none"/>
        </w:rPr>
        <w:t>“无”。</w:t>
      </w:r>
    </w:p>
    <w:p w14:paraId="03DC5E8A">
      <w:pPr>
        <w:spacing w:line="360" w:lineRule="auto"/>
        <w:rPr>
          <w:rFonts w:ascii="宋体" w:hAnsi="宋体"/>
          <w:b/>
          <w:color w:val="auto"/>
          <w:szCs w:val="21"/>
          <w:highlight w:val="none"/>
        </w:rPr>
      </w:pPr>
    </w:p>
    <w:p w14:paraId="49A06FD7">
      <w:pPr>
        <w:pStyle w:val="3"/>
        <w:keepNext w:val="0"/>
        <w:keepLines w:val="0"/>
        <w:widowControl/>
        <w:spacing w:before="188" w:after="188" w:line="400" w:lineRule="exact"/>
        <w:ind w:firstLine="0"/>
        <w:jc w:val="center"/>
        <w:rPr>
          <w:rFonts w:hAnsi="宋体"/>
          <w:color w:val="auto"/>
          <w:sz w:val="21"/>
          <w:szCs w:val="21"/>
          <w:highlight w:val="none"/>
        </w:rPr>
      </w:pPr>
      <w:r>
        <w:rPr>
          <w:rFonts w:hAnsi="宋体"/>
          <w:bCs/>
          <w:color w:val="auto"/>
          <w:szCs w:val="21"/>
          <w:highlight w:val="none"/>
        </w:rPr>
        <w:br w:type="page"/>
      </w:r>
      <w:bookmarkStart w:id="220" w:name="_Toc1641"/>
      <w:bookmarkStart w:id="221" w:name="_Toc469650797"/>
      <w:bookmarkStart w:id="222" w:name="_Toc469649104"/>
      <w:bookmarkStart w:id="223" w:name="_Toc67046895"/>
      <w:r>
        <w:rPr>
          <w:rFonts w:hint="eastAsia" w:hAnsi="宋体"/>
          <w:color w:val="auto"/>
          <w:sz w:val="21"/>
          <w:szCs w:val="21"/>
          <w:highlight w:val="none"/>
          <w:lang w:val="en-US"/>
        </w:rPr>
        <w:t>3-2</w:t>
      </w:r>
      <w:r>
        <w:rPr>
          <w:rFonts w:hint="eastAsia" w:hAnsi="宋体"/>
          <w:color w:val="auto"/>
          <w:sz w:val="21"/>
          <w:szCs w:val="21"/>
          <w:highlight w:val="none"/>
        </w:rPr>
        <w:t>符合“供应商资格”要求的其他证明文件</w:t>
      </w:r>
      <w:bookmarkEnd w:id="220"/>
      <w:bookmarkEnd w:id="221"/>
      <w:bookmarkEnd w:id="222"/>
      <w:bookmarkEnd w:id="223"/>
    </w:p>
    <w:p w14:paraId="4D1D9B77">
      <w:pPr>
        <w:tabs>
          <w:tab w:val="left" w:pos="709"/>
        </w:tabs>
        <w:spacing w:line="360" w:lineRule="auto"/>
        <w:rPr>
          <w:rFonts w:ascii="宋体" w:hAnsi="宋体" w:cs="宋体"/>
          <w:color w:val="auto"/>
          <w:szCs w:val="21"/>
          <w:highlight w:val="none"/>
          <w:lang w:val="zh-CN"/>
        </w:rPr>
      </w:pPr>
    </w:p>
    <w:p w14:paraId="34A167C8">
      <w:pPr>
        <w:tabs>
          <w:tab w:val="left" w:pos="709"/>
        </w:tabs>
        <w:spacing w:line="360" w:lineRule="auto"/>
        <w:rPr>
          <w:rFonts w:ascii="宋体" w:hAnsi="宋体" w:cs="宋体"/>
          <w:color w:val="auto"/>
          <w:szCs w:val="21"/>
          <w:highlight w:val="none"/>
        </w:rPr>
      </w:pPr>
      <w:r>
        <w:rPr>
          <w:rFonts w:hint="eastAsia" w:ascii="宋体" w:hAnsi="宋体" w:cs="宋体"/>
          <w:color w:val="auto"/>
          <w:szCs w:val="21"/>
          <w:highlight w:val="none"/>
        </w:rPr>
        <w:t>附件1：供应商认为必要的其他材料</w:t>
      </w:r>
    </w:p>
    <w:p w14:paraId="4D702331">
      <w:pPr>
        <w:spacing w:line="360" w:lineRule="auto"/>
        <w:rPr>
          <w:rFonts w:ascii="宋体" w:hAnsi="宋体" w:cs="Arial"/>
          <w:color w:val="auto"/>
          <w:sz w:val="28"/>
          <w:highlight w:val="none"/>
        </w:rPr>
      </w:pPr>
    </w:p>
    <w:p w14:paraId="077522E0">
      <w:pPr>
        <w:pStyle w:val="3"/>
        <w:keepNext w:val="0"/>
        <w:keepLines w:val="0"/>
        <w:widowControl/>
        <w:spacing w:before="188" w:after="188" w:line="400" w:lineRule="exact"/>
        <w:jc w:val="center"/>
        <w:rPr>
          <w:rFonts w:hAnsi="宋体"/>
          <w:color w:val="auto"/>
          <w:szCs w:val="21"/>
          <w:highlight w:val="none"/>
        </w:rPr>
      </w:pPr>
      <w:r>
        <w:rPr>
          <w:rFonts w:hAnsi="宋体" w:cs="Arial"/>
          <w:color w:val="auto"/>
          <w:sz w:val="28"/>
          <w:highlight w:val="none"/>
        </w:rPr>
        <w:br w:type="page"/>
      </w:r>
      <w:bookmarkEnd w:id="210"/>
      <w:bookmarkEnd w:id="211"/>
      <w:bookmarkEnd w:id="212"/>
      <w:bookmarkEnd w:id="213"/>
      <w:bookmarkEnd w:id="214"/>
      <w:bookmarkEnd w:id="215"/>
      <w:bookmarkEnd w:id="216"/>
      <w:bookmarkEnd w:id="217"/>
      <w:bookmarkEnd w:id="218"/>
      <w:bookmarkStart w:id="224" w:name="_Toc67046896"/>
      <w:bookmarkStart w:id="225" w:name="_Toc22243"/>
      <w:r>
        <w:rPr>
          <w:rFonts w:hint="eastAsia" w:hAnsi="宋体"/>
          <w:bCs/>
          <w:color w:val="auto"/>
          <w:highlight w:val="none"/>
        </w:rPr>
        <w:t>第四章 响应文件商务部分</w:t>
      </w:r>
      <w:bookmarkEnd w:id="219"/>
      <w:bookmarkEnd w:id="224"/>
      <w:bookmarkEnd w:id="225"/>
    </w:p>
    <w:p w14:paraId="7BFDF195">
      <w:pPr>
        <w:pStyle w:val="3"/>
        <w:keepNext w:val="0"/>
        <w:keepLines w:val="0"/>
        <w:tabs>
          <w:tab w:val="left" w:pos="567"/>
        </w:tabs>
        <w:spacing w:before="0" w:after="0" w:line="240" w:lineRule="auto"/>
        <w:ind w:firstLine="0"/>
        <w:jc w:val="center"/>
        <w:rPr>
          <w:rFonts w:hAnsi="宋体"/>
          <w:color w:val="auto"/>
          <w:sz w:val="21"/>
          <w:szCs w:val="21"/>
          <w:highlight w:val="none"/>
        </w:rPr>
      </w:pPr>
      <w:bookmarkStart w:id="226" w:name="_Toc467675115"/>
      <w:bookmarkEnd w:id="226"/>
      <w:bookmarkStart w:id="227" w:name="_Toc5634818"/>
      <w:bookmarkEnd w:id="227"/>
      <w:bookmarkStart w:id="228" w:name="_Toc520883967"/>
      <w:bookmarkEnd w:id="228"/>
      <w:bookmarkStart w:id="229" w:name="_Toc35597056"/>
      <w:bookmarkEnd w:id="229"/>
      <w:bookmarkStart w:id="230" w:name="_Toc13649251"/>
      <w:bookmarkEnd w:id="230"/>
      <w:bookmarkStart w:id="231" w:name="_Toc463795687"/>
      <w:bookmarkEnd w:id="231"/>
      <w:bookmarkStart w:id="232" w:name="_Toc511812781"/>
      <w:bookmarkEnd w:id="232"/>
      <w:bookmarkStart w:id="233" w:name="_Toc13651007"/>
      <w:bookmarkEnd w:id="233"/>
      <w:bookmarkStart w:id="234" w:name="_Toc463795732"/>
      <w:bookmarkEnd w:id="234"/>
      <w:bookmarkStart w:id="235" w:name="_Toc17215729"/>
      <w:bookmarkEnd w:id="235"/>
      <w:bookmarkStart w:id="236" w:name="_Toc17215774"/>
      <w:bookmarkEnd w:id="236"/>
      <w:bookmarkStart w:id="237" w:name="_Toc467145161"/>
      <w:bookmarkEnd w:id="237"/>
      <w:bookmarkStart w:id="238" w:name="_Toc470171655"/>
      <w:bookmarkEnd w:id="238"/>
      <w:bookmarkStart w:id="239" w:name="_Toc469651306"/>
      <w:bookmarkEnd w:id="239"/>
      <w:bookmarkStart w:id="240" w:name="_Toc511812828"/>
      <w:bookmarkEnd w:id="240"/>
      <w:bookmarkStart w:id="241" w:name="_Toc36197306"/>
      <w:bookmarkEnd w:id="241"/>
      <w:bookmarkStart w:id="242" w:name="_Toc13649538"/>
      <w:bookmarkEnd w:id="242"/>
      <w:bookmarkStart w:id="243" w:name="_Toc16710"/>
      <w:bookmarkStart w:id="244" w:name="_Toc67046897"/>
      <w:r>
        <w:rPr>
          <w:rFonts w:hint="eastAsia" w:hAnsi="宋体"/>
          <w:color w:val="auto"/>
          <w:sz w:val="21"/>
          <w:szCs w:val="21"/>
          <w:highlight w:val="none"/>
          <w:lang w:val="en-US"/>
        </w:rPr>
        <w:t>4-1</w:t>
      </w:r>
      <w:r>
        <w:rPr>
          <w:rFonts w:hint="eastAsia" w:hAnsi="宋体"/>
          <w:color w:val="auto"/>
          <w:sz w:val="21"/>
          <w:szCs w:val="21"/>
          <w:highlight w:val="none"/>
        </w:rPr>
        <w:t>报价函</w:t>
      </w:r>
      <w:bookmarkEnd w:id="171"/>
      <w:bookmarkEnd w:id="172"/>
      <w:bookmarkEnd w:id="173"/>
      <w:bookmarkEnd w:id="243"/>
      <w:bookmarkEnd w:id="244"/>
    </w:p>
    <w:p w14:paraId="010BF012">
      <w:pPr>
        <w:spacing w:before="156" w:beforeLines="50" w:after="156" w:afterLines="50" w:line="420" w:lineRule="exact"/>
        <w:rPr>
          <w:rFonts w:hint="eastAsia" w:ascii="宋体" w:hAnsi="宋体" w:eastAsia="宋体" w:cs="Arial"/>
          <w:color w:val="auto"/>
          <w:highlight w:val="none"/>
          <w:lang w:eastAsia="zh-CN"/>
        </w:rPr>
      </w:pPr>
      <w:r>
        <w:rPr>
          <w:rFonts w:hint="eastAsia" w:ascii="宋体" w:hAnsi="宋体" w:cs="Arial"/>
          <w:color w:val="auto"/>
          <w:highlight w:val="none"/>
        </w:rPr>
        <w:t>致：</w:t>
      </w:r>
      <w:r>
        <w:rPr>
          <w:rFonts w:hint="eastAsia" w:ascii="宋体" w:hAnsi="宋体" w:cs="Arial"/>
          <w:color w:val="auto"/>
          <w:highlight w:val="none"/>
          <w:lang w:eastAsia="zh-CN"/>
        </w:rPr>
        <w:t>广州中天项目管理咨询有限公司</w:t>
      </w:r>
    </w:p>
    <w:p w14:paraId="5393FA7B">
      <w:pPr>
        <w:spacing w:line="360" w:lineRule="auto"/>
        <w:ind w:firstLine="420" w:firstLineChars="200"/>
        <w:rPr>
          <w:rFonts w:ascii="宋体" w:hAnsi="宋体"/>
          <w:bCs/>
          <w:color w:val="auto"/>
          <w:kern w:val="28"/>
          <w:highlight w:val="none"/>
        </w:rPr>
      </w:pPr>
      <w:r>
        <w:rPr>
          <w:rFonts w:hint="eastAsia" w:ascii="宋体" w:hAnsi="宋体" w:cs="Arial"/>
          <w:color w:val="auto"/>
          <w:highlight w:val="none"/>
        </w:rPr>
        <w:t>根据贵方为</w:t>
      </w:r>
      <w:r>
        <w:rPr>
          <w:rFonts w:hint="eastAsia" w:ascii="宋体" w:hAnsi="宋体" w:cs="Arial"/>
          <w:color w:val="auto"/>
          <w:highlight w:val="none"/>
          <w:u w:val="single"/>
          <w:lang w:eastAsia="zh-CN"/>
        </w:rPr>
        <w:t>2025年万顷沙镇生活垃圾分类督导服务项目</w:t>
      </w:r>
      <w:r>
        <w:rPr>
          <w:rFonts w:hint="eastAsia" w:ascii="宋体" w:hAnsi="宋体" w:cs="Arial"/>
          <w:color w:val="auto"/>
          <w:highlight w:val="none"/>
        </w:rPr>
        <w:t>（项目编号：</w:t>
      </w:r>
      <w:r>
        <w:rPr>
          <w:rFonts w:hint="eastAsia" w:ascii="宋体" w:hAnsi="宋体" w:cs="Arial"/>
          <w:color w:val="auto"/>
          <w:highlight w:val="none"/>
          <w:lang w:eastAsia="zh-CN"/>
        </w:rPr>
        <w:t> GZZT2024CSCG-024</w:t>
      </w:r>
      <w:r>
        <w:rPr>
          <w:rFonts w:hint="eastAsia" w:ascii="宋体" w:hAnsi="宋体"/>
          <w:bCs/>
          <w:color w:val="auto"/>
          <w:kern w:val="28"/>
          <w:highlight w:val="none"/>
        </w:rPr>
        <w:t>）</w:t>
      </w:r>
      <w:r>
        <w:rPr>
          <w:rFonts w:hint="eastAsia" w:ascii="宋体" w:hAnsi="宋体" w:cs="Arial"/>
          <w:color w:val="auto"/>
          <w:highlight w:val="none"/>
        </w:rPr>
        <w:t>的竞争性磋商公告，</w:t>
      </w:r>
      <w:r>
        <w:rPr>
          <w:rFonts w:hint="eastAsia" w:ascii="宋体" w:hAnsi="宋体"/>
          <w:bCs/>
          <w:color w:val="auto"/>
          <w:kern w:val="28"/>
          <w:highlight w:val="none"/>
        </w:rPr>
        <w:t>本人代表供应商</w:t>
      </w:r>
      <w:r>
        <w:rPr>
          <w:rFonts w:hint="eastAsia" w:ascii="宋体" w:hAnsi="宋体"/>
          <w:bCs/>
          <w:color w:val="auto"/>
          <w:kern w:val="28"/>
          <w:highlight w:val="none"/>
          <w:u w:val="single"/>
        </w:rPr>
        <w:t xml:space="preserve">    （供应商名称）        </w:t>
      </w:r>
      <w:r>
        <w:rPr>
          <w:rFonts w:hint="eastAsia" w:ascii="宋体" w:hAnsi="宋体"/>
          <w:bCs/>
          <w:color w:val="auto"/>
          <w:kern w:val="28"/>
          <w:highlight w:val="none"/>
        </w:rPr>
        <w:t>参加磋商，并提交响应文件。</w:t>
      </w:r>
    </w:p>
    <w:p w14:paraId="490A5C5E">
      <w:pPr>
        <w:pStyle w:val="8"/>
        <w:widowControl/>
        <w:spacing w:line="360" w:lineRule="auto"/>
        <w:jc w:val="left"/>
        <w:rPr>
          <w:rFonts w:ascii="宋体" w:hAnsi="宋体" w:cs="Arial"/>
          <w:color w:val="auto"/>
          <w:szCs w:val="24"/>
          <w:highlight w:val="none"/>
        </w:rPr>
      </w:pPr>
      <w:bookmarkStart w:id="245" w:name="_Toc517502638"/>
      <w:bookmarkStart w:id="246" w:name="_Toc506611607"/>
      <w:bookmarkStart w:id="247" w:name="_Toc506628558"/>
      <w:bookmarkStart w:id="248" w:name="_Toc12118376"/>
      <w:bookmarkStart w:id="249" w:name="_Toc506611815"/>
      <w:bookmarkStart w:id="250" w:name="_Toc490832206"/>
      <w:bookmarkStart w:id="251" w:name="_Toc494875416"/>
      <w:bookmarkStart w:id="252" w:name="_Toc484827213"/>
      <w:bookmarkStart w:id="253" w:name="_Toc484848558"/>
      <w:r>
        <w:rPr>
          <w:rFonts w:hint="eastAsia" w:ascii="宋体" w:hAnsi="宋体" w:cs="Arial"/>
          <w:color w:val="auto"/>
          <w:szCs w:val="24"/>
          <w:highlight w:val="none"/>
        </w:rPr>
        <w:t>据此函，本人宣布同意如下：</w:t>
      </w:r>
    </w:p>
    <w:p w14:paraId="6EF80904">
      <w:pPr>
        <w:widowControl/>
        <w:numPr>
          <w:ilvl w:val="0"/>
          <w:numId w:val="28"/>
        </w:numPr>
        <w:spacing w:line="360" w:lineRule="auto"/>
        <w:jc w:val="left"/>
        <w:rPr>
          <w:rFonts w:ascii="宋体" w:hAnsi="宋体" w:cs="Arial"/>
          <w:color w:val="auto"/>
          <w:highlight w:val="none"/>
        </w:rPr>
      </w:pPr>
      <w:r>
        <w:rPr>
          <w:rFonts w:hint="eastAsia" w:ascii="宋体" w:hAnsi="宋体" w:cs="Arial"/>
          <w:color w:val="auto"/>
          <w:highlight w:val="none"/>
        </w:rPr>
        <w:t>我方郑重承诺：磋商总报价包含用户需求说明的所有产品功能和服务内容，漏报的单价或每单价报价中漏报、少报的费用，视为此项费用已隐含在磋商总报价中，成交后不再向采购人收取任何费用。</w:t>
      </w:r>
    </w:p>
    <w:p w14:paraId="419646EF">
      <w:pPr>
        <w:widowControl/>
        <w:numPr>
          <w:ilvl w:val="0"/>
          <w:numId w:val="28"/>
        </w:numPr>
        <w:spacing w:line="360" w:lineRule="auto"/>
        <w:jc w:val="left"/>
        <w:rPr>
          <w:rFonts w:ascii="宋体" w:hAnsi="宋体" w:cs="Arial"/>
          <w:color w:val="auto"/>
          <w:highlight w:val="none"/>
        </w:rPr>
      </w:pPr>
      <w:r>
        <w:rPr>
          <w:rFonts w:hint="eastAsia" w:ascii="宋体" w:hAnsi="宋体" w:cs="Arial"/>
          <w:color w:val="auto"/>
          <w:highlight w:val="none"/>
        </w:rPr>
        <w:t>供应商已详细审查全部磋商文件，包括修改文件（如有的话）以及全部参考资料和有关附件。我们完全理解并同意放弃对这方面有不明及误解的权利。</w:t>
      </w:r>
    </w:p>
    <w:p w14:paraId="127E875B">
      <w:pPr>
        <w:widowControl/>
        <w:numPr>
          <w:ilvl w:val="0"/>
          <w:numId w:val="28"/>
        </w:numPr>
        <w:spacing w:line="360" w:lineRule="auto"/>
        <w:jc w:val="left"/>
        <w:rPr>
          <w:rFonts w:ascii="宋体" w:hAnsi="宋体" w:cs="Arial"/>
          <w:color w:val="auto"/>
          <w:highlight w:val="none"/>
        </w:rPr>
      </w:pPr>
      <w:r>
        <w:rPr>
          <w:rFonts w:hint="eastAsia" w:ascii="宋体" w:hAnsi="宋体" w:cs="Arial"/>
          <w:color w:val="auto"/>
          <w:highlight w:val="none"/>
        </w:rPr>
        <w:t>供应商的报价自响应文件提交截止之日起有效期为90天。</w:t>
      </w:r>
    </w:p>
    <w:p w14:paraId="5A67DCAC">
      <w:pPr>
        <w:widowControl/>
        <w:numPr>
          <w:ilvl w:val="0"/>
          <w:numId w:val="28"/>
        </w:numPr>
        <w:spacing w:line="360" w:lineRule="auto"/>
        <w:jc w:val="left"/>
        <w:rPr>
          <w:rFonts w:ascii="宋体" w:hAnsi="宋体" w:cs="Arial"/>
          <w:color w:val="auto"/>
          <w:highlight w:val="none"/>
        </w:rPr>
      </w:pPr>
      <w:r>
        <w:rPr>
          <w:rFonts w:hint="eastAsia" w:ascii="宋体" w:hAnsi="宋体" w:cs="Arial"/>
          <w:color w:val="auto"/>
          <w:highlight w:val="none"/>
        </w:rPr>
        <w:t>供应商同意提供按照贵方可能要求的与我方报价有关的一切数据或资料，理解贵方不一定要接受最低价的报价或收到的任何报价。</w:t>
      </w:r>
    </w:p>
    <w:p w14:paraId="6112A433">
      <w:pPr>
        <w:widowControl/>
        <w:numPr>
          <w:ilvl w:val="0"/>
          <w:numId w:val="28"/>
        </w:numPr>
        <w:spacing w:line="360" w:lineRule="auto"/>
        <w:jc w:val="left"/>
        <w:rPr>
          <w:rFonts w:ascii="宋体" w:hAnsi="宋体" w:cs="Arial"/>
          <w:color w:val="auto"/>
          <w:highlight w:val="none"/>
        </w:rPr>
      </w:pPr>
      <w:r>
        <w:rPr>
          <w:rFonts w:hint="eastAsia" w:ascii="宋体" w:hAnsi="宋体" w:cs="Arial"/>
          <w:color w:val="auto"/>
          <w:highlight w:val="none"/>
        </w:rPr>
        <w:t>与本报价有关的一切正式往来通讯请寄：</w:t>
      </w:r>
    </w:p>
    <w:p w14:paraId="5CD91FBE">
      <w:pPr>
        <w:tabs>
          <w:tab w:val="left" w:pos="900"/>
          <w:tab w:val="left" w:pos="5529"/>
        </w:tabs>
        <w:spacing w:line="360" w:lineRule="auto"/>
        <w:ind w:left="54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rPr>
        <w:tab/>
      </w:r>
      <w:r>
        <w:rPr>
          <w:rFonts w:hint="eastAsia" w:ascii="宋体" w:hAnsi="宋体"/>
          <w:color w:val="auto"/>
          <w:szCs w:val="21"/>
          <w:highlight w:val="none"/>
        </w:rPr>
        <w:t>邮编：</w:t>
      </w:r>
    </w:p>
    <w:p w14:paraId="4467F533">
      <w:pPr>
        <w:tabs>
          <w:tab w:val="left" w:pos="900"/>
          <w:tab w:val="left" w:pos="5529"/>
        </w:tabs>
        <w:spacing w:line="360" w:lineRule="auto"/>
        <w:ind w:left="54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rPr>
        <w:tab/>
      </w:r>
      <w:r>
        <w:rPr>
          <w:rFonts w:hint="eastAsia" w:ascii="宋体" w:hAnsi="宋体"/>
          <w:color w:val="auto"/>
          <w:szCs w:val="21"/>
          <w:highlight w:val="none"/>
        </w:rPr>
        <w:t>传真：</w:t>
      </w:r>
    </w:p>
    <w:p w14:paraId="24A089E5">
      <w:pPr>
        <w:tabs>
          <w:tab w:val="left" w:pos="900"/>
        </w:tabs>
        <w:spacing w:line="360" w:lineRule="auto"/>
        <w:ind w:left="540"/>
        <w:rPr>
          <w:rFonts w:ascii="宋体" w:hAnsi="宋体"/>
          <w:color w:val="auto"/>
          <w:szCs w:val="21"/>
          <w:highlight w:val="none"/>
        </w:rPr>
      </w:pPr>
      <w:r>
        <w:rPr>
          <w:rFonts w:hint="eastAsia" w:ascii="宋体" w:hAnsi="宋体"/>
          <w:color w:val="auto"/>
          <w:szCs w:val="21"/>
          <w:highlight w:val="none"/>
        </w:rPr>
        <w:t>供应商代表姓名、职务（印刷体）：</w:t>
      </w:r>
    </w:p>
    <w:p w14:paraId="0504BB8A">
      <w:pPr>
        <w:tabs>
          <w:tab w:val="left" w:pos="900"/>
        </w:tabs>
        <w:spacing w:line="360" w:lineRule="auto"/>
        <w:ind w:left="540"/>
        <w:rPr>
          <w:rFonts w:ascii="宋体" w:hAnsi="宋体"/>
          <w:color w:val="auto"/>
          <w:szCs w:val="21"/>
          <w:highlight w:val="none"/>
        </w:rPr>
      </w:pPr>
      <w:r>
        <w:rPr>
          <w:rFonts w:hint="eastAsia" w:ascii="宋体" w:hAnsi="宋体"/>
          <w:color w:val="auto"/>
          <w:szCs w:val="21"/>
          <w:highlight w:val="none"/>
        </w:rPr>
        <w:t>供应商名称：(并加盖公章)</w:t>
      </w:r>
    </w:p>
    <w:p w14:paraId="2CE9646B">
      <w:pPr>
        <w:tabs>
          <w:tab w:val="left" w:pos="900"/>
        </w:tabs>
        <w:spacing w:line="360" w:lineRule="auto"/>
        <w:ind w:left="540"/>
        <w:rPr>
          <w:rFonts w:ascii="宋体" w:hAnsi="宋体"/>
          <w:color w:val="auto"/>
          <w:szCs w:val="21"/>
          <w:highlight w:val="none"/>
        </w:rPr>
      </w:pPr>
      <w:r>
        <w:rPr>
          <w:rFonts w:hint="eastAsia" w:ascii="宋体" w:hAnsi="宋体"/>
          <w:color w:val="auto"/>
          <w:szCs w:val="21"/>
          <w:highlight w:val="none"/>
        </w:rPr>
        <w:t>供应商法定代表人或其委托人签字或印鉴：</w:t>
      </w:r>
    </w:p>
    <w:p w14:paraId="0B5248FC">
      <w:pPr>
        <w:tabs>
          <w:tab w:val="left" w:pos="900"/>
        </w:tabs>
        <w:spacing w:line="360" w:lineRule="auto"/>
        <w:ind w:left="540"/>
        <w:rPr>
          <w:rFonts w:ascii="宋体" w:hAnsi="宋体"/>
          <w:color w:val="auto"/>
          <w:szCs w:val="21"/>
          <w:highlight w:val="none"/>
        </w:rPr>
      </w:pPr>
      <w:r>
        <w:rPr>
          <w:rFonts w:hint="eastAsia" w:ascii="宋体" w:hAnsi="宋体"/>
          <w:color w:val="auto"/>
          <w:szCs w:val="21"/>
          <w:highlight w:val="none"/>
        </w:rPr>
        <w:t>日期：  年  月   日</w:t>
      </w:r>
    </w:p>
    <w:p w14:paraId="39E90245">
      <w:pPr>
        <w:spacing w:before="156" w:beforeLines="50" w:after="156" w:afterLines="50" w:line="420" w:lineRule="exact"/>
        <w:ind w:firstLine="420"/>
        <w:rPr>
          <w:rFonts w:ascii="宋体" w:hAnsi="宋体" w:cs="Arial"/>
          <w:color w:val="auto"/>
          <w:highlight w:val="none"/>
        </w:rPr>
      </w:pPr>
      <w:r>
        <w:rPr>
          <w:rFonts w:hint="eastAsia" w:ascii="宋体" w:hAnsi="宋体"/>
          <w:b/>
          <w:color w:val="auto"/>
          <w:szCs w:val="21"/>
          <w:highlight w:val="none"/>
        </w:rPr>
        <w:t>注：法定代表人委托全权代表人，需附法定代表人签字或印鉴的授权书。</w:t>
      </w:r>
    </w:p>
    <w:p w14:paraId="1259A4EE">
      <w:pPr>
        <w:pStyle w:val="3"/>
        <w:keepNext w:val="0"/>
        <w:keepLines w:val="0"/>
        <w:tabs>
          <w:tab w:val="left" w:pos="567"/>
        </w:tabs>
        <w:ind w:firstLine="0"/>
        <w:jc w:val="center"/>
        <w:rPr>
          <w:rFonts w:hAnsi="宋体" w:cs="Arial"/>
          <w:color w:val="auto"/>
          <w:sz w:val="28"/>
          <w:highlight w:val="none"/>
        </w:rPr>
      </w:pPr>
      <w:r>
        <w:rPr>
          <w:rFonts w:hint="eastAsia" w:hAnsi="宋体"/>
          <w:color w:val="auto"/>
          <w:highlight w:val="none"/>
        </w:rPr>
        <w:br w:type="page"/>
      </w:r>
      <w:bookmarkStart w:id="254" w:name="_Toc67046898"/>
      <w:bookmarkStart w:id="255" w:name="_Toc17363"/>
      <w:bookmarkStart w:id="256" w:name="_Toc307826685"/>
      <w:bookmarkStart w:id="257" w:name="_Toc52423753"/>
      <w:bookmarkStart w:id="258" w:name="_Toc108597125"/>
      <w:bookmarkStart w:id="259" w:name="_Toc307826056"/>
      <w:r>
        <w:rPr>
          <w:rFonts w:hint="eastAsia" w:hAnsi="宋体"/>
          <w:color w:val="auto"/>
          <w:sz w:val="21"/>
          <w:szCs w:val="21"/>
          <w:highlight w:val="none"/>
          <w:lang w:val="en-US"/>
        </w:rPr>
        <w:t xml:space="preserve">4-2 </w:t>
      </w:r>
      <w:r>
        <w:rPr>
          <w:rFonts w:hint="eastAsia" w:hAnsi="宋体"/>
          <w:color w:val="auto"/>
          <w:sz w:val="21"/>
          <w:szCs w:val="21"/>
          <w:highlight w:val="none"/>
        </w:rPr>
        <w:t>法定代表人证明书/法定代表人授权书格式</w:t>
      </w:r>
      <w:bookmarkEnd w:id="254"/>
      <w:bookmarkEnd w:id="255"/>
    </w:p>
    <w:p w14:paraId="691612E1">
      <w:pPr>
        <w:spacing w:line="360" w:lineRule="auto"/>
        <w:ind w:firstLine="420" w:firstLineChars="200"/>
        <w:rPr>
          <w:rFonts w:ascii="宋体" w:hAnsi="宋体"/>
          <w:b/>
          <w:bCs/>
          <w:color w:val="auto"/>
          <w:szCs w:val="21"/>
          <w:highlight w:val="none"/>
        </w:rPr>
      </w:pPr>
      <w:r>
        <w:rPr>
          <w:rFonts w:hint="eastAsia" w:ascii="宋体" w:hAnsi="宋体"/>
          <w:b/>
          <w:bCs/>
          <w:color w:val="auto"/>
          <w:szCs w:val="21"/>
          <w:highlight w:val="none"/>
        </w:rPr>
        <w:t>法定代表人证明书和法定代表人授权书按以下格式填写，如由法定代表人参加磋商并签署响应文件，需提供法定代表人证明书，否则需提供法定代表人证明书和法定代表人授权书。</w:t>
      </w:r>
    </w:p>
    <w:p w14:paraId="062AA067">
      <w:pPr>
        <w:pStyle w:val="16"/>
        <w:rPr>
          <w:rFonts w:hAnsi="宋体"/>
          <w:b/>
          <w:bCs/>
          <w:color w:val="auto"/>
          <w:sz w:val="21"/>
          <w:highlight w:val="none"/>
        </w:rPr>
      </w:pPr>
    </w:p>
    <w:p w14:paraId="207E081C">
      <w:pPr>
        <w:pStyle w:val="8"/>
        <w:spacing w:line="360" w:lineRule="auto"/>
        <w:jc w:val="center"/>
        <w:rPr>
          <w:rFonts w:ascii="宋体" w:hAnsi="宋体"/>
          <w:b/>
          <w:color w:val="auto"/>
          <w:szCs w:val="21"/>
          <w:highlight w:val="none"/>
        </w:rPr>
      </w:pPr>
      <w:r>
        <w:rPr>
          <w:rFonts w:hint="eastAsia" w:ascii="宋体" w:hAnsi="宋体"/>
          <w:b/>
          <w:color w:val="auto"/>
          <w:szCs w:val="21"/>
          <w:highlight w:val="none"/>
        </w:rPr>
        <w:t>法定代表人证明书</w:t>
      </w:r>
    </w:p>
    <w:p w14:paraId="471A45E1">
      <w:pPr>
        <w:pStyle w:val="16"/>
        <w:rPr>
          <w:rFonts w:hAnsi="宋体"/>
          <w:b/>
          <w:bCs/>
          <w:color w:val="auto"/>
          <w:sz w:val="21"/>
          <w:highlight w:val="none"/>
        </w:rPr>
      </w:pPr>
    </w:p>
    <w:p w14:paraId="680ABD39">
      <w:pPr>
        <w:spacing w:line="360" w:lineRule="auto"/>
        <w:ind w:left="650" w:leftChars="275" w:hanging="73" w:hangingChars="35"/>
        <w:rPr>
          <w:rFonts w:ascii="宋体" w:hAnsi="宋体" w:cs="Arial"/>
          <w:color w:val="auto"/>
          <w:szCs w:val="21"/>
          <w:highlight w:val="none"/>
        </w:rPr>
      </w:pPr>
      <w:r>
        <w:rPr>
          <w:rFonts w:hint="eastAsia" w:ascii="宋体" w:hAnsi="宋体" w:cs="Arial"/>
          <w:color w:val="auto"/>
          <w:szCs w:val="21"/>
          <w:highlight w:val="none"/>
        </w:rPr>
        <w:t>______________同志，现任我单位职务，为法定代表人，特此证明。</w:t>
      </w:r>
    </w:p>
    <w:p w14:paraId="3AAF70BA">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有效日期：年月日至年月日  签发日期：年月日</w:t>
      </w:r>
    </w:p>
    <w:p w14:paraId="29BBC9ED">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附：</w:t>
      </w:r>
    </w:p>
    <w:p w14:paraId="786B5F15">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经济性质：</w:t>
      </w:r>
    </w:p>
    <w:p w14:paraId="51C0CC98">
      <w:pPr>
        <w:spacing w:line="360" w:lineRule="auto"/>
        <w:ind w:left="748" w:hanging="567"/>
        <w:jc w:val="left"/>
        <w:rPr>
          <w:rFonts w:ascii="宋体" w:hAnsi="宋体" w:cs="Arial"/>
          <w:color w:val="auto"/>
          <w:szCs w:val="21"/>
          <w:highlight w:val="none"/>
        </w:rPr>
      </w:pPr>
      <w:r>
        <w:rPr>
          <w:rFonts w:hint="eastAsia" w:ascii="宋体" w:hAnsi="宋体" w:cs="Arial"/>
          <w:color w:val="auto"/>
          <w:szCs w:val="21"/>
          <w:highlight w:val="none"/>
        </w:rPr>
        <w:t>主营（产）：</w:t>
      </w:r>
    </w:p>
    <w:p w14:paraId="4C93DE73">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兼营（产）：</w:t>
      </w:r>
    </w:p>
    <w:p w14:paraId="0B0C8EC1">
      <w:pPr>
        <w:spacing w:line="360" w:lineRule="auto"/>
        <w:ind w:left="748" w:hanging="567"/>
        <w:rPr>
          <w:rFonts w:ascii="宋体" w:hAnsi="宋体" w:cs="Arial"/>
          <w:color w:val="auto"/>
          <w:szCs w:val="21"/>
          <w:highlight w:val="none"/>
        </w:rPr>
      </w:pPr>
    </w:p>
    <w:p w14:paraId="097446D3">
      <w:pPr>
        <w:spacing w:line="360" w:lineRule="auto"/>
        <w:ind w:left="748" w:hanging="567"/>
        <w:rPr>
          <w:rFonts w:ascii="宋体" w:hAnsi="宋体" w:cs="Arial"/>
          <w:color w:val="auto"/>
          <w:szCs w:val="21"/>
          <w:highlight w:val="none"/>
        </w:rPr>
      </w:pPr>
    </w:p>
    <w:p w14:paraId="7238B9B4">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供应商名称：(并加盖公章)</w:t>
      </w:r>
    </w:p>
    <w:p w14:paraId="4A07F71E">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地址：</w:t>
      </w:r>
    </w:p>
    <w:p w14:paraId="0D45DFDA">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日期：</w:t>
      </w:r>
    </w:p>
    <w:p w14:paraId="6271B446">
      <w:pPr>
        <w:pStyle w:val="16"/>
        <w:rPr>
          <w:rFonts w:hAnsi="宋体"/>
          <w:b/>
          <w:bCs/>
          <w:color w:val="auto"/>
          <w:sz w:val="21"/>
          <w:highlight w:val="none"/>
        </w:rPr>
      </w:pPr>
      <w:r>
        <w:rPr>
          <w:rFonts w:hAnsi="宋体"/>
          <w:b/>
          <w:bCs/>
          <w:color w:val="auto"/>
          <w:sz w:val="21"/>
          <w:highlight w:val="none"/>
        </w:rPr>
        <mc:AlternateContent>
          <mc:Choice Requires="wps">
            <w:drawing>
              <wp:anchor distT="0" distB="0" distL="0" distR="0" simplePos="0" relativeHeight="251659264"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1028" name="Rectangle 13"/>
                <wp:cNvGraphicFramePr/>
                <a:graphic xmlns:a="http://schemas.openxmlformats.org/drawingml/2006/main">
                  <a:graphicData uri="http://schemas.microsoft.com/office/word/2010/wordprocessingShape">
                    <wps:wsp>
                      <wps:cNvSpPr/>
                      <wps:spPr>
                        <a:xfrm>
                          <a:off x="0" y="0"/>
                          <a:ext cx="2491740" cy="1596389"/>
                        </a:xfrm>
                        <a:prstGeom prst="rect">
                          <a:avLst/>
                        </a:prstGeom>
                        <a:solidFill>
                          <a:srgbClr val="FFFFFF"/>
                        </a:solidFill>
                        <a:ln w="9525" cap="flat" cmpd="sng">
                          <a:solidFill>
                            <a:srgbClr val="000000"/>
                          </a:solidFill>
                          <a:prstDash val="solid"/>
                          <a:miter/>
                        </a:ln>
                      </wps:spPr>
                      <wps:txbx>
                        <w:txbxContent>
                          <w:p w14:paraId="3207DCBB">
                            <w:pPr>
                              <w:jc w:val="center"/>
                            </w:pPr>
                          </w:p>
                          <w:p w14:paraId="0DD6ADCE">
                            <w:pPr>
                              <w:jc w:val="center"/>
                              <w:rPr>
                                <w:szCs w:val="21"/>
                              </w:rPr>
                            </w:pPr>
                            <w:r>
                              <w:rPr>
                                <w:rFonts w:hint="eastAsia"/>
                                <w:szCs w:val="21"/>
                              </w:rPr>
                              <w:t>法定代表人</w:t>
                            </w:r>
                          </w:p>
                          <w:p w14:paraId="402456F0">
                            <w:pPr>
                              <w:jc w:val="center"/>
                              <w:rPr>
                                <w:szCs w:val="21"/>
                              </w:rPr>
                            </w:pPr>
                            <w:r>
                              <w:rPr>
                                <w:rFonts w:hint="eastAsia"/>
                                <w:b/>
                                <w:szCs w:val="21"/>
                                <w:u w:val="single"/>
                              </w:rPr>
                              <w:t>有效期内的</w:t>
                            </w:r>
                            <w:r>
                              <w:rPr>
                                <w:rFonts w:hint="eastAsia"/>
                                <w:szCs w:val="21"/>
                              </w:rPr>
                              <w:t>居民身份证复印件（反面）粘贴处</w:t>
                            </w:r>
                          </w:p>
                          <w:p w14:paraId="787A5DDA">
                            <w:pPr>
                              <w:jc w:val="center"/>
                              <w:rPr>
                                <w:szCs w:val="21"/>
                              </w:rPr>
                            </w:pPr>
                          </w:p>
                        </w:txbxContent>
                      </wps:txbx>
                      <wps:bodyPr vert="horz" wrap="square" lIns="91440" tIns="45720" rIns="91440" bIns="45720" anchor="t" upright="1">
                        <a:noAutofit/>
                      </wps:bodyPr>
                    </wps:wsp>
                  </a:graphicData>
                </a:graphic>
              </wp:anchor>
            </w:drawing>
          </mc:Choice>
          <mc:Fallback>
            <w:pict>
              <v:rect id="Rectangle 13" o:spid="_x0000_s1026" o:spt="1" style="position:absolute;left:0pt;margin-left:217.85pt;margin-top:11.4pt;height:125.7pt;width:196.2pt;z-index:251659264;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iOMFtgAAAAKAQAADwAA&#10;AAAAAAABACAAAAAiAAAAZHJzL2Rvd25yZXYueG1sUEsBAhQAFAAAAAgAh07iQDj0dFYWAgAAUAQA&#10;AA4AAAAAAAAAAQAgAAAAJwEAAGRycy9lMm9Eb2MueG1sUEsFBgAAAAAGAAYAWQEAAK8FAAAAAA==&#10;">
                <v:fill on="t" focussize="0,0"/>
                <v:stroke color="#000000" joinstyle="miter"/>
                <v:imagedata o:title=""/>
                <o:lock v:ext="edit" aspectratio="f"/>
                <v:textbox>
                  <w:txbxContent>
                    <w:p w14:paraId="3207DCBB">
                      <w:pPr>
                        <w:jc w:val="center"/>
                      </w:pPr>
                    </w:p>
                    <w:p w14:paraId="0DD6ADCE">
                      <w:pPr>
                        <w:jc w:val="center"/>
                        <w:rPr>
                          <w:szCs w:val="21"/>
                        </w:rPr>
                      </w:pPr>
                      <w:r>
                        <w:rPr>
                          <w:rFonts w:hint="eastAsia"/>
                          <w:szCs w:val="21"/>
                        </w:rPr>
                        <w:t>法定代表人</w:t>
                      </w:r>
                    </w:p>
                    <w:p w14:paraId="402456F0">
                      <w:pPr>
                        <w:jc w:val="center"/>
                        <w:rPr>
                          <w:szCs w:val="21"/>
                        </w:rPr>
                      </w:pPr>
                      <w:r>
                        <w:rPr>
                          <w:rFonts w:hint="eastAsia"/>
                          <w:b/>
                          <w:szCs w:val="21"/>
                          <w:u w:val="single"/>
                        </w:rPr>
                        <w:t>有效期内的</w:t>
                      </w:r>
                      <w:r>
                        <w:rPr>
                          <w:rFonts w:hint="eastAsia"/>
                          <w:szCs w:val="21"/>
                        </w:rPr>
                        <w:t>居民身份证复印件（反面）粘贴处</w:t>
                      </w:r>
                    </w:p>
                    <w:p w14:paraId="787A5DDA">
                      <w:pPr>
                        <w:jc w:val="center"/>
                        <w:rPr>
                          <w:szCs w:val="21"/>
                        </w:rPr>
                      </w:pPr>
                    </w:p>
                  </w:txbxContent>
                </v:textbox>
              </v:rect>
            </w:pict>
          </mc:Fallback>
        </mc:AlternateContent>
      </w:r>
      <w:r>
        <w:rPr>
          <w:rFonts w:hAnsi="宋体"/>
          <w:b/>
          <w:bCs/>
          <w:color w:val="auto"/>
          <w:sz w:val="21"/>
          <w:highlight w:val="none"/>
        </w:rPr>
        <mc:AlternateContent>
          <mc:Choice Requires="wps">
            <w:drawing>
              <wp:anchor distT="0" distB="0" distL="0" distR="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1029" name="Rectangle 12"/>
                <wp:cNvGraphicFramePr/>
                <a:graphic xmlns:a="http://schemas.openxmlformats.org/drawingml/2006/main">
                  <a:graphicData uri="http://schemas.microsoft.com/office/word/2010/wordprocessingShape">
                    <wps:wsp>
                      <wps:cNvSpPr/>
                      <wps:spPr>
                        <a:xfrm>
                          <a:off x="0" y="0"/>
                          <a:ext cx="2479675" cy="1596389"/>
                        </a:xfrm>
                        <a:prstGeom prst="rect">
                          <a:avLst/>
                        </a:prstGeom>
                        <a:solidFill>
                          <a:srgbClr val="FFFFFF"/>
                        </a:solidFill>
                        <a:ln w="9525" cap="flat" cmpd="sng">
                          <a:solidFill>
                            <a:srgbClr val="000000"/>
                          </a:solidFill>
                          <a:prstDash val="solid"/>
                          <a:miter/>
                        </a:ln>
                      </wps:spPr>
                      <wps:txbx>
                        <w:txbxContent>
                          <w:p w14:paraId="24016268">
                            <w:pPr>
                              <w:jc w:val="center"/>
                            </w:pPr>
                          </w:p>
                          <w:p w14:paraId="60075E77">
                            <w:pPr>
                              <w:jc w:val="center"/>
                              <w:rPr>
                                <w:szCs w:val="21"/>
                              </w:rPr>
                            </w:pPr>
                            <w:r>
                              <w:rPr>
                                <w:rFonts w:hint="eastAsia"/>
                                <w:szCs w:val="21"/>
                              </w:rPr>
                              <w:t>法定代表人</w:t>
                            </w:r>
                          </w:p>
                          <w:p w14:paraId="50F3E1F0">
                            <w:pPr>
                              <w:jc w:val="center"/>
                              <w:rPr>
                                <w:szCs w:val="21"/>
                              </w:rPr>
                            </w:pPr>
                            <w:r>
                              <w:rPr>
                                <w:rFonts w:hint="eastAsia"/>
                                <w:b/>
                                <w:szCs w:val="21"/>
                                <w:u w:val="single"/>
                              </w:rPr>
                              <w:t>有效期内的</w:t>
                            </w:r>
                            <w:r>
                              <w:rPr>
                                <w:rFonts w:hint="eastAsia"/>
                                <w:szCs w:val="21"/>
                              </w:rPr>
                              <w:t>居民身份证复印件（正面）粘贴处</w:t>
                            </w:r>
                          </w:p>
                          <w:p w14:paraId="5EAFBF2E">
                            <w:pPr>
                              <w:jc w:val="center"/>
                              <w:rPr>
                                <w:szCs w:val="21"/>
                              </w:rPr>
                            </w:pPr>
                          </w:p>
                        </w:txbxContent>
                      </wps:txbx>
                      <wps:bodyPr vert="horz" wrap="square" lIns="91440" tIns="45720" rIns="91440" bIns="45720" anchor="t" upright="1">
                        <a:noAutofit/>
                      </wps:bodyPr>
                    </wps:wsp>
                  </a:graphicData>
                </a:graphic>
              </wp:anchor>
            </w:drawing>
          </mc:Choice>
          <mc:Fallback>
            <w:pict>
              <v:rect id="Rectangle 12"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O9zJj1wAAAAkBAAAPAAAA&#10;AAAAAAEAIAAAACIAAABkcnMvZG93bnJldi54bWxQSwECFAAUAAAACACHTuJAhs7dLhYCAABQBAAA&#10;DgAAAAAAAAABACAAAAAmAQAAZHJzL2Uyb0RvYy54bWxQSwUGAAAAAAYABgBZAQAArgUAAAAA&#10;">
                <v:fill on="t" focussize="0,0"/>
                <v:stroke color="#000000" joinstyle="miter"/>
                <v:imagedata o:title=""/>
                <o:lock v:ext="edit" aspectratio="f"/>
                <v:textbox>
                  <w:txbxContent>
                    <w:p w14:paraId="24016268">
                      <w:pPr>
                        <w:jc w:val="center"/>
                      </w:pPr>
                    </w:p>
                    <w:p w14:paraId="60075E77">
                      <w:pPr>
                        <w:jc w:val="center"/>
                        <w:rPr>
                          <w:szCs w:val="21"/>
                        </w:rPr>
                      </w:pPr>
                      <w:r>
                        <w:rPr>
                          <w:rFonts w:hint="eastAsia"/>
                          <w:szCs w:val="21"/>
                        </w:rPr>
                        <w:t>法定代表人</w:t>
                      </w:r>
                    </w:p>
                    <w:p w14:paraId="50F3E1F0">
                      <w:pPr>
                        <w:jc w:val="center"/>
                        <w:rPr>
                          <w:szCs w:val="21"/>
                        </w:rPr>
                      </w:pPr>
                      <w:r>
                        <w:rPr>
                          <w:rFonts w:hint="eastAsia"/>
                          <w:b/>
                          <w:szCs w:val="21"/>
                          <w:u w:val="single"/>
                        </w:rPr>
                        <w:t>有效期内的</w:t>
                      </w:r>
                      <w:r>
                        <w:rPr>
                          <w:rFonts w:hint="eastAsia"/>
                          <w:szCs w:val="21"/>
                        </w:rPr>
                        <w:t>居民身份证复印件（正面）粘贴处</w:t>
                      </w:r>
                    </w:p>
                    <w:p w14:paraId="5EAFBF2E">
                      <w:pPr>
                        <w:jc w:val="center"/>
                        <w:rPr>
                          <w:szCs w:val="21"/>
                        </w:rPr>
                      </w:pPr>
                    </w:p>
                  </w:txbxContent>
                </v:textbox>
              </v:rect>
            </w:pict>
          </mc:Fallback>
        </mc:AlternateContent>
      </w:r>
    </w:p>
    <w:p w14:paraId="04670C6B">
      <w:pPr>
        <w:pStyle w:val="16"/>
        <w:rPr>
          <w:rFonts w:hAnsi="宋体"/>
          <w:b/>
          <w:bCs/>
          <w:color w:val="auto"/>
          <w:sz w:val="21"/>
          <w:highlight w:val="none"/>
        </w:rPr>
      </w:pPr>
    </w:p>
    <w:p w14:paraId="466B7D62">
      <w:pPr>
        <w:pStyle w:val="8"/>
        <w:spacing w:line="360" w:lineRule="auto"/>
        <w:jc w:val="center"/>
        <w:rPr>
          <w:rFonts w:ascii="宋体" w:hAnsi="宋体"/>
          <w:b/>
          <w:bCs/>
          <w:color w:val="auto"/>
          <w:highlight w:val="none"/>
        </w:rPr>
      </w:pPr>
      <w:r>
        <w:rPr>
          <w:rFonts w:ascii="宋体" w:hAnsi="宋体"/>
          <w:b/>
          <w:bCs/>
          <w:color w:val="auto"/>
          <w:highlight w:val="none"/>
        </w:rPr>
        <w:br w:type="page"/>
      </w:r>
    </w:p>
    <w:p w14:paraId="090143FE">
      <w:pPr>
        <w:pStyle w:val="8"/>
        <w:spacing w:line="360" w:lineRule="auto"/>
        <w:jc w:val="center"/>
        <w:rPr>
          <w:rFonts w:ascii="宋体" w:hAnsi="宋体"/>
          <w:b/>
          <w:color w:val="auto"/>
          <w:szCs w:val="21"/>
          <w:highlight w:val="none"/>
        </w:rPr>
      </w:pPr>
      <w:r>
        <w:rPr>
          <w:rFonts w:hint="eastAsia" w:ascii="宋体" w:hAnsi="宋体"/>
          <w:b/>
          <w:color w:val="auto"/>
          <w:szCs w:val="21"/>
          <w:highlight w:val="none"/>
        </w:rPr>
        <w:t>法定代表人授权书</w:t>
      </w:r>
    </w:p>
    <w:p w14:paraId="77002342">
      <w:pPr>
        <w:pStyle w:val="16"/>
        <w:rPr>
          <w:rFonts w:hAnsi="宋体"/>
          <w:b/>
          <w:bCs/>
          <w:color w:val="auto"/>
          <w:sz w:val="21"/>
          <w:highlight w:val="none"/>
        </w:rPr>
      </w:pPr>
    </w:p>
    <w:p w14:paraId="2AF88453">
      <w:pPr>
        <w:pStyle w:val="16"/>
        <w:rPr>
          <w:rFonts w:hint="eastAsia" w:hAnsi="宋体" w:eastAsia="宋体"/>
          <w:color w:val="auto"/>
          <w:sz w:val="21"/>
          <w:highlight w:val="none"/>
          <w:lang w:eastAsia="zh-CN"/>
        </w:rPr>
      </w:pPr>
      <w:r>
        <w:rPr>
          <w:rFonts w:hint="eastAsia" w:hAnsi="宋体"/>
          <w:b/>
          <w:bCs/>
          <w:color w:val="auto"/>
          <w:sz w:val="21"/>
          <w:highlight w:val="none"/>
        </w:rPr>
        <w:t>致:</w:t>
      </w:r>
      <w:r>
        <w:rPr>
          <w:rFonts w:hint="eastAsia" w:hAnsi="宋体"/>
          <w:b/>
          <w:bCs/>
          <w:color w:val="auto"/>
          <w:sz w:val="21"/>
          <w:highlight w:val="none"/>
          <w:lang w:eastAsia="zh-CN"/>
        </w:rPr>
        <w:t>广州中天项目管理咨询有限公司</w:t>
      </w:r>
    </w:p>
    <w:p w14:paraId="72E220B8">
      <w:pPr>
        <w:spacing w:line="360" w:lineRule="auto"/>
        <w:ind w:firstLine="420" w:firstLineChars="200"/>
        <w:rPr>
          <w:rFonts w:ascii="宋体" w:hAnsi="宋体"/>
          <w:color w:val="auto"/>
          <w:highlight w:val="none"/>
        </w:rPr>
      </w:pPr>
      <w:r>
        <w:rPr>
          <w:rFonts w:hint="eastAsia" w:ascii="宋体" w:hAnsi="宋体"/>
          <w:color w:val="auto"/>
          <w:highlight w:val="none"/>
        </w:rPr>
        <w:t>本授权书声明：注册于（国家或地区）的（供应商名称）的在下面签字的 （法定代表人姓名、职务）代表本单位授权在下面签字（或盖印鉴）的（被授权人的姓名、职务）为本单位的合法代表人，就</w:t>
      </w:r>
      <w:r>
        <w:rPr>
          <w:rFonts w:hint="eastAsia" w:ascii="宋体" w:hAnsi="宋体"/>
          <w:color w:val="auto"/>
          <w:highlight w:val="none"/>
          <w:u w:val="single"/>
          <w:lang w:eastAsia="zh-CN"/>
        </w:rPr>
        <w:t>2025年万顷沙镇生活垃圾分类督导服务项目</w:t>
      </w:r>
      <w:r>
        <w:rPr>
          <w:rFonts w:hint="eastAsia" w:ascii="宋体" w:hAnsi="宋体"/>
          <w:bCs/>
          <w:color w:val="auto"/>
          <w:kern w:val="28"/>
          <w:highlight w:val="none"/>
        </w:rPr>
        <w:t>（项目编号</w:t>
      </w:r>
      <w:r>
        <w:rPr>
          <w:rFonts w:hint="eastAsia" w:ascii="宋体" w:hAnsi="宋体"/>
          <w:color w:val="auto"/>
          <w:highlight w:val="none"/>
        </w:rPr>
        <w:t>：</w:t>
      </w:r>
      <w:r>
        <w:rPr>
          <w:rFonts w:hint="eastAsia" w:ascii="宋体" w:hAnsi="宋体"/>
          <w:color w:val="auto"/>
          <w:highlight w:val="none"/>
          <w:lang w:eastAsia="zh-CN"/>
        </w:rPr>
        <w:t> GZZT2024CSCG-024</w:t>
      </w:r>
      <w:r>
        <w:rPr>
          <w:rFonts w:hint="eastAsia" w:ascii="宋体" w:hAnsi="宋体"/>
          <w:bCs/>
          <w:color w:val="auto"/>
          <w:kern w:val="28"/>
          <w:highlight w:val="none"/>
        </w:rPr>
        <w:t>）</w:t>
      </w:r>
      <w:r>
        <w:rPr>
          <w:rFonts w:hint="eastAsia" w:ascii="宋体" w:hAnsi="宋体"/>
          <w:color w:val="auto"/>
          <w:highlight w:val="none"/>
        </w:rPr>
        <w:t>的磋商和合同执行，以我方的名义处理一切与之有关的事宜。</w:t>
      </w:r>
    </w:p>
    <w:p w14:paraId="4AEF699F">
      <w:pPr>
        <w:spacing w:line="360" w:lineRule="auto"/>
        <w:ind w:firstLine="570"/>
        <w:rPr>
          <w:rFonts w:ascii="宋体" w:hAnsi="宋体"/>
          <w:color w:val="auto"/>
          <w:highlight w:val="none"/>
        </w:rPr>
      </w:pPr>
      <w:r>
        <w:rPr>
          <w:rFonts w:hint="eastAsia" w:ascii="宋体" w:hAnsi="宋体"/>
          <w:color w:val="auto"/>
          <w:highlight w:val="none"/>
        </w:rPr>
        <w:t>本授权书于 年月日签字（或盖印鉴）生效，特此声明。</w:t>
      </w:r>
    </w:p>
    <w:p w14:paraId="1A4093B5">
      <w:pPr>
        <w:spacing w:line="360" w:lineRule="auto"/>
        <w:rPr>
          <w:rFonts w:ascii="宋体" w:hAnsi="宋体"/>
          <w:color w:val="auto"/>
          <w:highlight w:val="none"/>
        </w:rPr>
      </w:pPr>
    </w:p>
    <w:p w14:paraId="6215B8BD">
      <w:pPr>
        <w:spacing w:line="360" w:lineRule="auto"/>
        <w:rPr>
          <w:rFonts w:ascii="宋体" w:hAnsi="宋体"/>
          <w:color w:val="auto"/>
          <w:highlight w:val="none"/>
        </w:rPr>
      </w:pPr>
    </w:p>
    <w:p w14:paraId="3F20C562">
      <w:pPr>
        <w:widowControl/>
        <w:autoSpaceDE w:val="0"/>
        <w:autoSpaceDN w:val="0"/>
        <w:spacing w:line="360" w:lineRule="auto"/>
        <w:ind w:right="893" w:firstLine="424" w:firstLineChars="202"/>
        <w:textAlignment w:val="bottom"/>
        <w:rPr>
          <w:rFonts w:ascii="宋体" w:hAnsi="宋体" w:cs="Arial"/>
          <w:color w:val="auto"/>
          <w:highlight w:val="none"/>
        </w:rPr>
      </w:pPr>
      <w:r>
        <w:rPr>
          <w:rFonts w:hint="eastAsia" w:ascii="宋体" w:hAnsi="宋体" w:cs="Arial"/>
          <w:color w:val="auto"/>
          <w:highlight w:val="none"/>
        </w:rPr>
        <w:t>供应商名称(并加盖公章)：</w:t>
      </w:r>
    </w:p>
    <w:p w14:paraId="06E0AE11">
      <w:pPr>
        <w:tabs>
          <w:tab w:val="left" w:pos="3885"/>
        </w:tabs>
        <w:spacing w:line="360" w:lineRule="auto"/>
        <w:ind w:firstLine="424" w:firstLineChars="202"/>
        <w:rPr>
          <w:rFonts w:ascii="宋体" w:hAnsi="宋体" w:cs="Arial"/>
          <w:color w:val="auto"/>
          <w:szCs w:val="21"/>
          <w:highlight w:val="none"/>
        </w:rPr>
      </w:pPr>
      <w:r>
        <w:rPr>
          <w:rFonts w:hint="eastAsia" w:ascii="宋体" w:hAnsi="宋体" w:cs="Arial"/>
          <w:color w:val="auto"/>
          <w:szCs w:val="21"/>
          <w:highlight w:val="none"/>
        </w:rPr>
        <w:t>地        址：</w:t>
      </w:r>
    </w:p>
    <w:p w14:paraId="1BAFD7D5">
      <w:pPr>
        <w:tabs>
          <w:tab w:val="left" w:pos="3780"/>
        </w:tabs>
        <w:spacing w:line="360" w:lineRule="auto"/>
        <w:ind w:firstLine="424" w:firstLineChars="202"/>
        <w:rPr>
          <w:rFonts w:ascii="宋体" w:hAnsi="宋体" w:cs="Arial"/>
          <w:color w:val="auto"/>
          <w:szCs w:val="21"/>
          <w:highlight w:val="none"/>
        </w:rPr>
      </w:pPr>
      <w:r>
        <w:rPr>
          <w:rFonts w:hint="eastAsia" w:ascii="宋体" w:hAnsi="宋体" w:cs="Arial"/>
          <w:color w:val="auto"/>
          <w:szCs w:val="21"/>
          <w:highlight w:val="none"/>
        </w:rPr>
        <w:t xml:space="preserve">法定代表人（签名或印鉴）： </w:t>
      </w:r>
    </w:p>
    <w:p w14:paraId="1BCDD3C5">
      <w:pPr>
        <w:tabs>
          <w:tab w:val="left" w:pos="3780"/>
        </w:tabs>
        <w:spacing w:line="360" w:lineRule="auto"/>
        <w:ind w:firstLine="424" w:firstLineChars="202"/>
        <w:rPr>
          <w:rFonts w:ascii="宋体" w:hAnsi="宋体" w:cs="Arial"/>
          <w:color w:val="auto"/>
          <w:szCs w:val="21"/>
          <w:highlight w:val="none"/>
        </w:rPr>
      </w:pPr>
      <w:r>
        <w:rPr>
          <w:rFonts w:hint="eastAsia" w:ascii="宋体" w:hAnsi="宋体" w:cs="Arial"/>
          <w:color w:val="auto"/>
          <w:szCs w:val="21"/>
          <w:highlight w:val="none"/>
        </w:rPr>
        <w:t>职        务：</w:t>
      </w:r>
    </w:p>
    <w:p w14:paraId="1A6CE5A1">
      <w:pPr>
        <w:spacing w:line="360" w:lineRule="auto"/>
        <w:ind w:firstLine="424" w:firstLineChars="202"/>
        <w:rPr>
          <w:rFonts w:ascii="宋体" w:hAnsi="宋体" w:cs="Arial"/>
          <w:color w:val="auto"/>
          <w:szCs w:val="21"/>
          <w:highlight w:val="none"/>
        </w:rPr>
      </w:pPr>
      <w:r>
        <w:rPr>
          <w:rFonts w:hint="eastAsia" w:ascii="宋体" w:hAnsi="宋体" w:cs="Arial"/>
          <w:color w:val="auto"/>
          <w:szCs w:val="21"/>
          <w:highlight w:val="none"/>
        </w:rPr>
        <w:t>被授权人（签名或印鉴）：</w:t>
      </w:r>
    </w:p>
    <w:p w14:paraId="389FF35E">
      <w:pPr>
        <w:tabs>
          <w:tab w:val="left" w:pos="2041"/>
          <w:tab w:val="left" w:pos="3600"/>
          <w:tab w:val="left" w:pos="3780"/>
        </w:tabs>
        <w:spacing w:line="360" w:lineRule="auto"/>
        <w:ind w:firstLine="424" w:firstLineChars="202"/>
        <w:rPr>
          <w:rFonts w:ascii="宋体" w:hAnsi="宋体" w:cs="Arial"/>
          <w:color w:val="auto"/>
          <w:szCs w:val="21"/>
          <w:highlight w:val="none"/>
        </w:rPr>
      </w:pPr>
      <w:r>
        <w:rPr>
          <w:rFonts w:hint="eastAsia" w:ascii="宋体" w:hAnsi="宋体" w:cs="Arial"/>
          <w:color w:val="auto"/>
          <w:szCs w:val="21"/>
          <w:highlight w:val="none"/>
        </w:rPr>
        <w:t>职        务：</w:t>
      </w:r>
    </w:p>
    <w:p w14:paraId="5F891B92">
      <w:pPr>
        <w:tabs>
          <w:tab w:val="left" w:pos="2041"/>
          <w:tab w:val="left" w:pos="3600"/>
          <w:tab w:val="left" w:pos="3780"/>
        </w:tabs>
        <w:spacing w:line="360" w:lineRule="auto"/>
        <w:ind w:firstLine="424" w:firstLineChars="202"/>
        <w:rPr>
          <w:rFonts w:ascii="宋体" w:hAnsi="宋体" w:cs="Arial"/>
          <w:color w:val="auto"/>
          <w:szCs w:val="21"/>
          <w:highlight w:val="none"/>
        </w:rPr>
      </w:pPr>
      <w:r>
        <w:rPr>
          <w:rFonts w:ascii="宋体" w:hAnsi="宋体" w:cs="Arial"/>
          <w:color w:val="auto"/>
          <w:szCs w:val="21"/>
          <w:highlight w:val="none"/>
        </w:rPr>
        <mc:AlternateContent>
          <mc:Choice Requires="wps">
            <w:drawing>
              <wp:anchor distT="0" distB="0" distL="0" distR="0" simplePos="0" relativeHeight="251659264"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1030" name="Rectangle 15"/>
                <wp:cNvGraphicFramePr/>
                <a:graphic xmlns:a="http://schemas.openxmlformats.org/drawingml/2006/main">
                  <a:graphicData uri="http://schemas.microsoft.com/office/word/2010/wordprocessingShape">
                    <wps:wsp>
                      <wps:cNvSpPr/>
                      <wps:spPr>
                        <a:xfrm>
                          <a:off x="0" y="0"/>
                          <a:ext cx="2491739" cy="1596390"/>
                        </a:xfrm>
                        <a:prstGeom prst="rect">
                          <a:avLst/>
                        </a:prstGeom>
                        <a:solidFill>
                          <a:srgbClr val="FFFFFF"/>
                        </a:solidFill>
                        <a:ln w="9525" cap="flat" cmpd="sng">
                          <a:solidFill>
                            <a:srgbClr val="000000"/>
                          </a:solidFill>
                          <a:prstDash val="solid"/>
                          <a:miter/>
                        </a:ln>
                      </wps:spPr>
                      <wps:txbx>
                        <w:txbxContent>
                          <w:p w14:paraId="2E27DFA6">
                            <w:pPr>
                              <w:jc w:val="center"/>
                            </w:pPr>
                          </w:p>
                          <w:p w14:paraId="7F02931B">
                            <w:pPr>
                              <w:jc w:val="center"/>
                              <w:rPr>
                                <w:szCs w:val="21"/>
                              </w:rPr>
                            </w:pPr>
                            <w:r>
                              <w:rPr>
                                <w:rFonts w:hint="eastAsia"/>
                                <w:szCs w:val="21"/>
                              </w:rPr>
                              <w:t>被授权人（授权代表）</w:t>
                            </w:r>
                          </w:p>
                          <w:p w14:paraId="4890F572">
                            <w:pPr>
                              <w:jc w:val="center"/>
                              <w:rPr>
                                <w:szCs w:val="21"/>
                              </w:rPr>
                            </w:pPr>
                            <w:r>
                              <w:rPr>
                                <w:rFonts w:hint="eastAsia"/>
                                <w:b/>
                                <w:szCs w:val="21"/>
                                <w:u w:val="single"/>
                              </w:rPr>
                              <w:t>有效期内的</w:t>
                            </w:r>
                            <w:r>
                              <w:rPr>
                                <w:rFonts w:hint="eastAsia"/>
                                <w:szCs w:val="21"/>
                              </w:rPr>
                              <w:t>居民身份证复印件（反面）粘贴处</w:t>
                            </w:r>
                          </w:p>
                          <w:p w14:paraId="783B0587">
                            <w:pPr>
                              <w:jc w:val="center"/>
                              <w:rPr>
                                <w:szCs w:val="21"/>
                              </w:rPr>
                            </w:pPr>
                          </w:p>
                        </w:txbxContent>
                      </wps:txbx>
                      <wps:bodyPr vert="horz" wrap="square" lIns="91440" tIns="45720" rIns="91440" bIns="45720" anchor="t" upright="1">
                        <a:noAutofit/>
                      </wps:bodyPr>
                    </wps:wsp>
                  </a:graphicData>
                </a:graphic>
              </wp:anchor>
            </w:drawing>
          </mc:Choice>
          <mc:Fallback>
            <w:pict>
              <v:rect id="Rectangle 15" o:spid="_x0000_s1026" o:spt="1" style="position:absolute;left:0pt;margin-left:229.85pt;margin-top:31.35pt;height:125.7pt;width:196.2pt;z-index:251659264;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3NhQNoAAAAK&#10;AQAADwAAAAAAAAABACAAAAAiAAAAZHJzL2Rvd25yZXYueG1sUEsBAhQAFAAAAAgAh07iQKsR6SUa&#10;AgAAUAQAAA4AAAAAAAAAAQAgAAAAKQEAAGRycy9lMm9Eb2MueG1sUEsFBgAAAAAGAAYAWQEAALUF&#10;AAAAAA==&#10;">
                <v:fill on="t" focussize="0,0"/>
                <v:stroke color="#000000" joinstyle="miter"/>
                <v:imagedata o:title=""/>
                <o:lock v:ext="edit" aspectratio="f"/>
                <v:textbox>
                  <w:txbxContent>
                    <w:p w14:paraId="2E27DFA6">
                      <w:pPr>
                        <w:jc w:val="center"/>
                      </w:pPr>
                    </w:p>
                    <w:p w14:paraId="7F02931B">
                      <w:pPr>
                        <w:jc w:val="center"/>
                        <w:rPr>
                          <w:szCs w:val="21"/>
                        </w:rPr>
                      </w:pPr>
                      <w:r>
                        <w:rPr>
                          <w:rFonts w:hint="eastAsia"/>
                          <w:szCs w:val="21"/>
                        </w:rPr>
                        <w:t>被授权人（授权代表）</w:t>
                      </w:r>
                    </w:p>
                    <w:p w14:paraId="4890F572">
                      <w:pPr>
                        <w:jc w:val="center"/>
                        <w:rPr>
                          <w:szCs w:val="21"/>
                        </w:rPr>
                      </w:pPr>
                      <w:r>
                        <w:rPr>
                          <w:rFonts w:hint="eastAsia"/>
                          <w:b/>
                          <w:szCs w:val="21"/>
                          <w:u w:val="single"/>
                        </w:rPr>
                        <w:t>有效期内的</w:t>
                      </w:r>
                      <w:r>
                        <w:rPr>
                          <w:rFonts w:hint="eastAsia"/>
                          <w:szCs w:val="21"/>
                        </w:rPr>
                        <w:t>居民身份证复印件（反面）粘贴处</w:t>
                      </w:r>
                    </w:p>
                    <w:p w14:paraId="783B0587">
                      <w:pPr>
                        <w:jc w:val="center"/>
                        <w:rPr>
                          <w:szCs w:val="21"/>
                        </w:rPr>
                      </w:pPr>
                    </w:p>
                  </w:txbxContent>
                </v:textbox>
              </v:rect>
            </w:pict>
          </mc:Fallback>
        </mc:AlternateContent>
      </w:r>
      <w:r>
        <w:rPr>
          <w:rFonts w:ascii="宋体" w:hAnsi="宋体" w:cs="Arial"/>
          <w:color w:val="auto"/>
          <w:szCs w:val="21"/>
          <w:highlight w:val="none"/>
        </w:rPr>
        <mc:AlternateContent>
          <mc:Choice Requires="wps">
            <w:drawing>
              <wp:anchor distT="0" distB="0" distL="0" distR="0" simplePos="0" relativeHeight="251659264"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1031" name="Rectangle 14"/>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ln>
                      </wps:spPr>
                      <wps:txbx>
                        <w:txbxContent>
                          <w:p w14:paraId="66E21A30">
                            <w:pPr>
                              <w:jc w:val="center"/>
                            </w:pPr>
                          </w:p>
                          <w:p w14:paraId="3B4E7140">
                            <w:pPr>
                              <w:jc w:val="center"/>
                              <w:rPr>
                                <w:szCs w:val="21"/>
                              </w:rPr>
                            </w:pPr>
                            <w:r>
                              <w:rPr>
                                <w:rFonts w:hint="eastAsia"/>
                                <w:szCs w:val="21"/>
                              </w:rPr>
                              <w:t>被授权人（授权代表）</w:t>
                            </w:r>
                          </w:p>
                          <w:p w14:paraId="1E5092D0">
                            <w:pPr>
                              <w:jc w:val="center"/>
                              <w:rPr>
                                <w:szCs w:val="21"/>
                              </w:rPr>
                            </w:pPr>
                            <w:r>
                              <w:rPr>
                                <w:rFonts w:hint="eastAsia"/>
                                <w:b/>
                                <w:szCs w:val="21"/>
                                <w:u w:val="single"/>
                              </w:rPr>
                              <w:t>有效期内的</w:t>
                            </w:r>
                            <w:r>
                              <w:rPr>
                                <w:rFonts w:hint="eastAsia"/>
                                <w:szCs w:val="21"/>
                              </w:rPr>
                              <w:t>居民身份证复印件（正面）粘贴处</w:t>
                            </w:r>
                          </w:p>
                          <w:p w14:paraId="73E615CA">
                            <w:pPr>
                              <w:jc w:val="center"/>
                              <w:rPr>
                                <w:szCs w:val="21"/>
                              </w:rPr>
                            </w:pPr>
                          </w:p>
                        </w:txbxContent>
                      </wps:txbx>
                      <wps:bodyPr vert="horz" wrap="square" lIns="91440" tIns="45720" rIns="91440" bIns="45720" anchor="t" upright="1">
                        <a:noAutofit/>
                      </wps:bodyPr>
                    </wps:wsp>
                  </a:graphicData>
                </a:graphic>
              </wp:anchor>
            </w:drawing>
          </mc:Choice>
          <mc:Fallback>
            <w:pict>
              <v:rect id="Rectangle 14" o:spid="_x0000_s1026" o:spt="1" style="position:absolute;left:0pt;margin-left:18.95pt;margin-top:31.35pt;height:125.7pt;width:195.25pt;z-index:251659264;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eNmX9gAAAAJAQAA&#10;DwAAAAAAAAABACAAAAAiAAAAZHJzL2Rvd25yZXYueG1sUEsBAhQAFAAAAAgAh07iQNFWbX8ZAgAA&#10;UAQAAA4AAAAAAAAAAQAgAAAAJwEAAGRycy9lMm9Eb2MueG1sUEsFBgAAAAAGAAYAWQEAALIFAAAA&#10;AA==&#10;">
                <v:fill on="t" focussize="0,0"/>
                <v:stroke color="#000000" joinstyle="miter"/>
                <v:imagedata o:title=""/>
                <o:lock v:ext="edit" aspectratio="f"/>
                <v:textbox>
                  <w:txbxContent>
                    <w:p w14:paraId="66E21A30">
                      <w:pPr>
                        <w:jc w:val="center"/>
                      </w:pPr>
                    </w:p>
                    <w:p w14:paraId="3B4E7140">
                      <w:pPr>
                        <w:jc w:val="center"/>
                        <w:rPr>
                          <w:szCs w:val="21"/>
                        </w:rPr>
                      </w:pPr>
                      <w:r>
                        <w:rPr>
                          <w:rFonts w:hint="eastAsia"/>
                          <w:szCs w:val="21"/>
                        </w:rPr>
                        <w:t>被授权人（授权代表）</w:t>
                      </w:r>
                    </w:p>
                    <w:p w14:paraId="1E5092D0">
                      <w:pPr>
                        <w:jc w:val="center"/>
                        <w:rPr>
                          <w:szCs w:val="21"/>
                        </w:rPr>
                      </w:pPr>
                      <w:r>
                        <w:rPr>
                          <w:rFonts w:hint="eastAsia"/>
                          <w:b/>
                          <w:szCs w:val="21"/>
                          <w:u w:val="single"/>
                        </w:rPr>
                        <w:t>有效期内的</w:t>
                      </w:r>
                      <w:r>
                        <w:rPr>
                          <w:rFonts w:hint="eastAsia"/>
                          <w:szCs w:val="21"/>
                        </w:rPr>
                        <w:t>居民身份证复印件（正面）粘贴处</w:t>
                      </w:r>
                    </w:p>
                    <w:p w14:paraId="73E615CA">
                      <w:pPr>
                        <w:jc w:val="center"/>
                        <w:rPr>
                          <w:szCs w:val="21"/>
                        </w:rPr>
                      </w:pPr>
                    </w:p>
                  </w:txbxContent>
                </v:textbox>
              </v:rect>
            </w:pict>
          </mc:Fallback>
        </mc:AlternateContent>
      </w:r>
    </w:p>
    <w:p w14:paraId="0D0E739F">
      <w:pPr>
        <w:tabs>
          <w:tab w:val="left" w:pos="2041"/>
          <w:tab w:val="left" w:pos="3600"/>
          <w:tab w:val="left" w:pos="3780"/>
        </w:tabs>
        <w:spacing w:line="360" w:lineRule="auto"/>
        <w:ind w:firstLine="424" w:firstLineChars="202"/>
        <w:rPr>
          <w:rFonts w:ascii="宋体" w:hAnsi="宋体" w:cs="Arial"/>
          <w:color w:val="auto"/>
          <w:szCs w:val="21"/>
          <w:highlight w:val="none"/>
        </w:rPr>
      </w:pPr>
    </w:p>
    <w:p w14:paraId="116FF400">
      <w:pPr>
        <w:tabs>
          <w:tab w:val="left" w:pos="2041"/>
          <w:tab w:val="left" w:pos="3600"/>
          <w:tab w:val="left" w:pos="3780"/>
        </w:tabs>
        <w:spacing w:line="360" w:lineRule="auto"/>
        <w:ind w:firstLine="424" w:firstLineChars="202"/>
        <w:rPr>
          <w:rFonts w:ascii="宋体" w:hAnsi="宋体" w:cs="Arial"/>
          <w:color w:val="auto"/>
          <w:szCs w:val="21"/>
          <w:highlight w:val="none"/>
        </w:rPr>
      </w:pPr>
    </w:p>
    <w:p w14:paraId="4CAA947E">
      <w:pPr>
        <w:pStyle w:val="3"/>
        <w:keepNext w:val="0"/>
        <w:keepLines w:val="0"/>
        <w:tabs>
          <w:tab w:val="left" w:pos="567"/>
        </w:tabs>
        <w:ind w:firstLine="0"/>
        <w:jc w:val="center"/>
        <w:rPr>
          <w:rFonts w:hAnsi="宋体" w:cs="Arial"/>
          <w:color w:val="auto"/>
          <w:sz w:val="28"/>
          <w:highlight w:val="none"/>
        </w:rPr>
      </w:pPr>
      <w:r>
        <w:rPr>
          <w:rFonts w:hAnsi="宋体" w:cs="Arial"/>
          <w:color w:val="auto"/>
          <w:szCs w:val="21"/>
          <w:highlight w:val="none"/>
        </w:rPr>
        <w:br w:type="page"/>
      </w:r>
      <w:bookmarkStart w:id="260" w:name="_Toc14204"/>
      <w:bookmarkStart w:id="261" w:name="_Toc67046899"/>
      <w:bookmarkStart w:id="262" w:name="_Toc362945034"/>
      <w:bookmarkStart w:id="263" w:name="_Toc367012690"/>
      <w:bookmarkStart w:id="264" w:name="_Toc368513949"/>
      <w:bookmarkStart w:id="265" w:name="_Toc367012688"/>
      <w:bookmarkStart w:id="266" w:name="_Toc275865623"/>
      <w:r>
        <w:rPr>
          <w:rFonts w:hint="eastAsia" w:hAnsi="宋体"/>
          <w:color w:val="auto"/>
          <w:sz w:val="21"/>
          <w:szCs w:val="21"/>
          <w:highlight w:val="none"/>
          <w:lang w:val="en-US"/>
        </w:rPr>
        <w:t>4-3 磋商</w:t>
      </w:r>
      <w:r>
        <w:rPr>
          <w:rFonts w:hint="eastAsia" w:hAnsi="宋体"/>
          <w:color w:val="auto"/>
          <w:sz w:val="21"/>
          <w:szCs w:val="21"/>
          <w:highlight w:val="none"/>
        </w:rPr>
        <w:t>首次报价一览表</w:t>
      </w:r>
      <w:bookmarkEnd w:id="260"/>
      <w:bookmarkEnd w:id="261"/>
    </w:p>
    <w:p w14:paraId="3E2C52C3">
      <w:pPr>
        <w:spacing w:before="120" w:after="120" w:line="360" w:lineRule="auto"/>
        <w:ind w:left="123" w:leftChars="59"/>
        <w:rPr>
          <w:rFonts w:ascii="宋体" w:hAnsi="宋体" w:cs="Arial"/>
          <w:color w:val="auto"/>
          <w:szCs w:val="21"/>
          <w:highlight w:val="none"/>
        </w:rPr>
      </w:pPr>
      <w:r>
        <w:rPr>
          <w:rFonts w:hint="eastAsia" w:ascii="宋体" w:hAnsi="宋体" w:cs="Arial"/>
          <w:color w:val="auto"/>
          <w:szCs w:val="21"/>
          <w:highlight w:val="none"/>
        </w:rPr>
        <w:t>项目编号：                                               金额单位：元（人民币）</w:t>
      </w:r>
    </w:p>
    <w:tbl>
      <w:tblPr>
        <w:tblStyle w:val="3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4862"/>
        <w:gridCol w:w="1715"/>
      </w:tblGrid>
      <w:tr w14:paraId="2C08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542" w:type="dxa"/>
            <w:vAlign w:val="center"/>
          </w:tcPr>
          <w:p w14:paraId="243CC8C8">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4862" w:type="dxa"/>
            <w:vAlign w:val="center"/>
          </w:tcPr>
          <w:p w14:paraId="7E05F162">
            <w:pPr>
              <w:spacing w:line="360" w:lineRule="auto"/>
              <w:jc w:val="center"/>
              <w:rPr>
                <w:rFonts w:ascii="宋体" w:hAnsi="宋体" w:cs="宋体"/>
                <w:b/>
                <w:color w:val="auto"/>
                <w:kern w:val="0"/>
                <w:szCs w:val="21"/>
                <w:highlight w:val="none"/>
              </w:rPr>
            </w:pPr>
            <w:r>
              <w:rPr>
                <w:rFonts w:hint="eastAsia" w:ascii="宋体" w:hAnsi="宋体" w:cs="仿宋"/>
                <w:b/>
                <w:bCs/>
                <w:color w:val="auto"/>
                <w:sz w:val="24"/>
                <w:highlight w:val="none"/>
              </w:rPr>
              <w:t>首次投标报价（总价）</w:t>
            </w:r>
          </w:p>
        </w:tc>
        <w:tc>
          <w:tcPr>
            <w:tcW w:w="1715" w:type="dxa"/>
            <w:vAlign w:val="center"/>
          </w:tcPr>
          <w:p w14:paraId="31D3D2CE">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服务期</w:t>
            </w:r>
          </w:p>
        </w:tc>
      </w:tr>
      <w:tr w14:paraId="4D64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542" w:type="dxa"/>
            <w:vMerge w:val="restart"/>
            <w:vAlign w:val="center"/>
          </w:tcPr>
          <w:p w14:paraId="72BBA150">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s="仿宋"/>
                <w:color w:val="auto"/>
                <w:szCs w:val="21"/>
                <w:highlight w:val="none"/>
                <w:lang w:eastAsia="zh-CN"/>
              </w:rPr>
              <w:t>2025年万顷沙镇生活垃圾分类督导服务项目</w:t>
            </w:r>
          </w:p>
        </w:tc>
        <w:tc>
          <w:tcPr>
            <w:tcW w:w="4862" w:type="dxa"/>
            <w:vAlign w:val="center"/>
          </w:tcPr>
          <w:p w14:paraId="6B13FCD0">
            <w:pPr>
              <w:spacing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大写：人民币          元</w:t>
            </w:r>
          </w:p>
        </w:tc>
        <w:tc>
          <w:tcPr>
            <w:tcW w:w="1715" w:type="dxa"/>
            <w:vMerge w:val="restart"/>
            <w:vAlign w:val="center"/>
          </w:tcPr>
          <w:p w14:paraId="2E972158">
            <w:pPr>
              <w:spacing w:line="360" w:lineRule="auto"/>
              <w:ind w:left="225"/>
              <w:jc w:val="center"/>
              <w:rPr>
                <w:rFonts w:ascii="宋体" w:hAnsi="宋体" w:cs="宋体"/>
                <w:color w:val="auto"/>
                <w:kern w:val="0"/>
                <w:szCs w:val="21"/>
                <w:highlight w:val="none"/>
              </w:rPr>
            </w:pPr>
          </w:p>
        </w:tc>
      </w:tr>
      <w:tr w14:paraId="3B81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542" w:type="dxa"/>
            <w:vMerge w:val="continue"/>
            <w:vAlign w:val="center"/>
          </w:tcPr>
          <w:p w14:paraId="6ECF9A1B">
            <w:pPr>
              <w:spacing w:line="360" w:lineRule="auto"/>
              <w:jc w:val="left"/>
              <w:rPr>
                <w:rFonts w:ascii="宋体" w:hAnsi="宋体" w:cs="宋体"/>
                <w:color w:val="auto"/>
                <w:kern w:val="0"/>
                <w:szCs w:val="21"/>
                <w:highlight w:val="none"/>
              </w:rPr>
            </w:pPr>
          </w:p>
        </w:tc>
        <w:tc>
          <w:tcPr>
            <w:tcW w:w="4862" w:type="dxa"/>
            <w:vAlign w:val="center"/>
          </w:tcPr>
          <w:p w14:paraId="39239676">
            <w:pPr>
              <w:spacing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 xml:space="preserve">小写：¥    </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 xml:space="preserve"> 元</w:t>
            </w:r>
          </w:p>
        </w:tc>
        <w:tc>
          <w:tcPr>
            <w:tcW w:w="1715" w:type="dxa"/>
            <w:vMerge w:val="continue"/>
          </w:tcPr>
          <w:p w14:paraId="2A829DD5">
            <w:pPr>
              <w:spacing w:line="360" w:lineRule="auto"/>
              <w:jc w:val="left"/>
              <w:rPr>
                <w:rFonts w:ascii="宋体" w:hAnsi="宋体" w:cs="宋体"/>
                <w:color w:val="auto"/>
                <w:kern w:val="0"/>
                <w:szCs w:val="21"/>
                <w:highlight w:val="none"/>
              </w:rPr>
            </w:pPr>
          </w:p>
        </w:tc>
      </w:tr>
    </w:tbl>
    <w:p w14:paraId="46630B08">
      <w:pPr>
        <w:pStyle w:val="16"/>
        <w:snapToGrid w:val="0"/>
        <w:ind w:right="119" w:rightChars="57"/>
        <w:jc w:val="left"/>
        <w:rPr>
          <w:rFonts w:hAnsi="宋体" w:cs="Arial"/>
          <w:color w:val="auto"/>
          <w:sz w:val="21"/>
          <w:highlight w:val="none"/>
        </w:rPr>
      </w:pPr>
    </w:p>
    <w:p w14:paraId="44CB75BF">
      <w:pPr>
        <w:spacing w:line="360" w:lineRule="auto"/>
        <w:rPr>
          <w:rFonts w:ascii="宋体" w:hAnsi="宋体" w:cs="Arial"/>
          <w:color w:val="auto"/>
          <w:highlight w:val="none"/>
        </w:rPr>
      </w:pPr>
      <w:r>
        <w:rPr>
          <w:rFonts w:hint="eastAsia" w:ascii="宋体" w:hAnsi="宋体"/>
          <w:color w:val="auto"/>
          <w:highlight w:val="none"/>
        </w:rPr>
        <w:t>注：1.</w:t>
      </w:r>
      <w:r>
        <w:rPr>
          <w:rFonts w:hint="eastAsia" w:ascii="宋体" w:hAnsi="宋体" w:cs="Arial"/>
          <w:color w:val="auto"/>
          <w:highlight w:val="none"/>
        </w:rPr>
        <w:t>报价应包含材料费、人工费以及履行合同所需的费用、所有风险、责任、税金等其他一切隐含及不可预见的费用。</w:t>
      </w:r>
    </w:p>
    <w:p w14:paraId="7F340856">
      <w:pPr>
        <w:spacing w:line="360" w:lineRule="auto"/>
        <w:ind w:firstLine="840" w:firstLineChars="400"/>
        <w:rPr>
          <w:rFonts w:ascii="宋体" w:hAnsi="宋体"/>
          <w:color w:val="auto"/>
          <w:highlight w:val="none"/>
        </w:rPr>
      </w:pPr>
    </w:p>
    <w:p w14:paraId="388EE875">
      <w:pPr>
        <w:spacing w:line="360" w:lineRule="auto"/>
        <w:ind w:firstLine="840" w:firstLineChars="400"/>
        <w:rPr>
          <w:rFonts w:ascii="宋体" w:hAnsi="宋体"/>
          <w:color w:val="auto"/>
          <w:highlight w:val="none"/>
        </w:rPr>
      </w:pPr>
    </w:p>
    <w:p w14:paraId="0E221F31">
      <w:pPr>
        <w:spacing w:line="360" w:lineRule="auto"/>
        <w:ind w:firstLine="840" w:firstLineChars="400"/>
        <w:rPr>
          <w:rFonts w:ascii="宋体" w:hAnsi="宋体"/>
          <w:color w:val="auto"/>
          <w:szCs w:val="21"/>
          <w:highlight w:val="none"/>
        </w:rPr>
      </w:pPr>
    </w:p>
    <w:p w14:paraId="1A94E1AE">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供应商名称(并加盖公章)：</w:t>
      </w:r>
    </w:p>
    <w:p w14:paraId="19D02D86">
      <w:pPr>
        <w:widowControl/>
        <w:autoSpaceDE w:val="0"/>
        <w:autoSpaceDN w:val="0"/>
        <w:spacing w:line="360" w:lineRule="auto"/>
        <w:ind w:right="893"/>
        <w:textAlignment w:val="bottom"/>
        <w:rPr>
          <w:rFonts w:ascii="宋体" w:hAnsi="宋体" w:cs="Arial"/>
          <w:color w:val="auto"/>
          <w:highlight w:val="none"/>
        </w:rPr>
      </w:pPr>
    </w:p>
    <w:p w14:paraId="75798FCC">
      <w:pPr>
        <w:widowControl/>
        <w:autoSpaceDE w:val="0"/>
        <w:autoSpaceDN w:val="0"/>
        <w:spacing w:line="360" w:lineRule="auto"/>
        <w:ind w:right="893"/>
        <w:textAlignment w:val="bottom"/>
        <w:rPr>
          <w:rFonts w:ascii="宋体" w:hAnsi="宋体"/>
          <w:color w:val="auto"/>
          <w:highlight w:val="none"/>
        </w:rPr>
      </w:pPr>
      <w:r>
        <w:rPr>
          <w:rFonts w:hint="eastAsia" w:ascii="宋体" w:hAnsi="宋体" w:cs="Arial"/>
          <w:color w:val="auto"/>
          <w:highlight w:val="none"/>
        </w:rPr>
        <w:t>供应商法定代表人或其委托人签名或印鉴：</w:t>
      </w:r>
    </w:p>
    <w:p w14:paraId="55F282A4">
      <w:pPr>
        <w:widowControl/>
        <w:autoSpaceDE w:val="0"/>
        <w:autoSpaceDN w:val="0"/>
        <w:spacing w:line="360" w:lineRule="auto"/>
        <w:ind w:right="893"/>
        <w:textAlignment w:val="bottom"/>
        <w:rPr>
          <w:rFonts w:ascii="宋体" w:hAnsi="宋体"/>
          <w:color w:val="auto"/>
          <w:highlight w:val="none"/>
        </w:rPr>
      </w:pPr>
    </w:p>
    <w:p w14:paraId="08C41D06">
      <w:pPr>
        <w:widowControl/>
        <w:autoSpaceDE w:val="0"/>
        <w:autoSpaceDN w:val="0"/>
        <w:spacing w:line="360" w:lineRule="auto"/>
        <w:ind w:right="893"/>
        <w:textAlignment w:val="bottom"/>
        <w:rPr>
          <w:rFonts w:ascii="宋体" w:hAnsi="宋体"/>
          <w:b/>
          <w:color w:val="auto"/>
          <w:sz w:val="32"/>
          <w:highlight w:val="none"/>
        </w:rPr>
      </w:pPr>
      <w:r>
        <w:rPr>
          <w:rFonts w:hint="eastAsia" w:ascii="宋体" w:hAnsi="宋体"/>
          <w:color w:val="auto"/>
          <w:highlight w:val="none"/>
        </w:rPr>
        <w:t>日期：</w:t>
      </w:r>
    </w:p>
    <w:p w14:paraId="1D975673">
      <w:pPr>
        <w:pStyle w:val="3"/>
        <w:keepNext w:val="0"/>
        <w:keepLines w:val="0"/>
        <w:tabs>
          <w:tab w:val="left" w:pos="567"/>
        </w:tabs>
        <w:ind w:firstLine="0"/>
        <w:jc w:val="center"/>
        <w:rPr>
          <w:rFonts w:hAnsi="宋体" w:cs="Arial"/>
          <w:color w:val="auto"/>
          <w:sz w:val="28"/>
          <w:highlight w:val="none"/>
        </w:rPr>
      </w:pPr>
      <w:r>
        <w:rPr>
          <w:rFonts w:hAnsi="宋体" w:cs="Arial"/>
          <w:color w:val="auto"/>
          <w:szCs w:val="21"/>
          <w:highlight w:val="none"/>
        </w:rPr>
        <w:br w:type="page"/>
      </w:r>
      <w:bookmarkStart w:id="267" w:name="_Toc26945"/>
      <w:bookmarkStart w:id="268" w:name="_Toc511808509"/>
      <w:bookmarkStart w:id="269" w:name="_Toc67046900"/>
      <w:r>
        <w:rPr>
          <w:rFonts w:hint="eastAsia" w:hAnsi="宋体"/>
          <w:color w:val="auto"/>
          <w:sz w:val="21"/>
          <w:szCs w:val="21"/>
          <w:highlight w:val="none"/>
          <w:lang w:val="en-US"/>
        </w:rPr>
        <w:t xml:space="preserve">4-4 </w:t>
      </w:r>
      <w:r>
        <w:rPr>
          <w:rFonts w:hint="eastAsia" w:hAnsi="宋体"/>
          <w:color w:val="auto"/>
          <w:sz w:val="21"/>
          <w:szCs w:val="21"/>
          <w:highlight w:val="none"/>
        </w:rPr>
        <w:t>首次报价</w:t>
      </w:r>
      <w:r>
        <w:rPr>
          <w:rFonts w:hint="eastAsia" w:hAnsi="宋体"/>
          <w:color w:val="auto"/>
          <w:sz w:val="21"/>
          <w:szCs w:val="21"/>
          <w:highlight w:val="none"/>
          <w:lang w:val="en-US"/>
        </w:rPr>
        <w:t>分项</w:t>
      </w:r>
      <w:r>
        <w:rPr>
          <w:rFonts w:hint="eastAsia" w:hAnsi="宋体"/>
          <w:color w:val="auto"/>
          <w:sz w:val="21"/>
          <w:szCs w:val="21"/>
          <w:highlight w:val="none"/>
        </w:rPr>
        <w:t>报价表</w:t>
      </w:r>
      <w:bookmarkEnd w:id="267"/>
      <w:bookmarkEnd w:id="268"/>
      <w:bookmarkEnd w:id="269"/>
    </w:p>
    <w:p w14:paraId="3436544D">
      <w:pPr>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项目编号：</w:t>
      </w:r>
      <w:r>
        <w:rPr>
          <w:rFonts w:hint="eastAsia" w:ascii="宋体" w:hAnsi="宋体" w:cs="仿宋"/>
          <w:color w:val="auto"/>
          <w:szCs w:val="21"/>
          <w:highlight w:val="none"/>
          <w:lang w:eastAsia="zh-CN"/>
        </w:rPr>
        <w:t> GZZT2024CSCG-024</w:t>
      </w:r>
    </w:p>
    <w:p w14:paraId="7C3E0841">
      <w:pPr>
        <w:rPr>
          <w:rFonts w:ascii="宋体" w:hAnsi="宋体" w:cs="仿宋"/>
          <w:color w:val="auto"/>
          <w:szCs w:val="21"/>
          <w:highlight w:val="none"/>
        </w:rPr>
      </w:pPr>
    </w:p>
    <w:p w14:paraId="69F39C52">
      <w:pPr>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项目名称：</w:t>
      </w:r>
      <w:r>
        <w:rPr>
          <w:rFonts w:hint="eastAsia" w:ascii="宋体" w:hAnsi="宋体" w:cs="仿宋"/>
          <w:color w:val="auto"/>
          <w:szCs w:val="21"/>
          <w:highlight w:val="none"/>
          <w:lang w:eastAsia="zh-CN"/>
        </w:rPr>
        <w:t>2025年万顷沙镇生活垃圾分类督导服务项目</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4284"/>
        <w:gridCol w:w="1116"/>
        <w:gridCol w:w="734"/>
        <w:gridCol w:w="716"/>
        <w:gridCol w:w="1534"/>
      </w:tblGrid>
      <w:tr w14:paraId="0C0D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746DE4FC">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序号</w:t>
            </w:r>
          </w:p>
        </w:tc>
        <w:tc>
          <w:tcPr>
            <w:tcW w:w="4284" w:type="dxa"/>
            <w:vAlign w:val="center"/>
          </w:tcPr>
          <w:p w14:paraId="1291C4EA">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项目</w:t>
            </w:r>
          </w:p>
        </w:tc>
        <w:tc>
          <w:tcPr>
            <w:tcW w:w="1116" w:type="dxa"/>
            <w:vAlign w:val="center"/>
          </w:tcPr>
          <w:p w14:paraId="5E1AD9D3">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点位数量</w:t>
            </w:r>
          </w:p>
        </w:tc>
        <w:tc>
          <w:tcPr>
            <w:tcW w:w="734" w:type="dxa"/>
            <w:vAlign w:val="center"/>
          </w:tcPr>
          <w:p w14:paraId="76486298">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单位</w:t>
            </w:r>
          </w:p>
        </w:tc>
        <w:tc>
          <w:tcPr>
            <w:tcW w:w="716" w:type="dxa"/>
            <w:vAlign w:val="center"/>
          </w:tcPr>
          <w:p w14:paraId="20AE1353">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周期</w:t>
            </w:r>
          </w:p>
        </w:tc>
        <w:tc>
          <w:tcPr>
            <w:tcW w:w="1534" w:type="dxa"/>
            <w:vAlign w:val="center"/>
          </w:tcPr>
          <w:p w14:paraId="707996B3">
            <w:pPr>
              <w:numPr>
                <w:ilvl w:val="-1"/>
                <w:numId w:val="0"/>
              </w:numPr>
              <w:spacing w:line="360" w:lineRule="auto"/>
              <w:jc w:val="center"/>
              <w:rPr>
                <w:rFonts w:hint="eastAsia" w:ascii="宋体" w:hAnsi="宋体" w:cs="宋体"/>
                <w:b w:val="0"/>
                <w:bCs/>
                <w:color w:val="auto"/>
                <w:szCs w:val="21"/>
                <w:highlight w:val="none"/>
                <w:vertAlign w:val="baseline"/>
                <w:lang w:val="en-US" w:eastAsia="zh-CN"/>
              </w:rPr>
            </w:pPr>
            <w:r>
              <w:rPr>
                <w:rFonts w:hint="eastAsia" w:ascii="宋体" w:hAnsi="宋体" w:cs="宋体"/>
                <w:b w:val="0"/>
                <w:bCs/>
                <w:color w:val="auto"/>
                <w:szCs w:val="21"/>
                <w:highlight w:val="none"/>
                <w:vertAlign w:val="baseline"/>
                <w:lang w:val="en-US" w:eastAsia="zh-CN"/>
              </w:rPr>
              <w:t>每月费用</w:t>
            </w:r>
          </w:p>
          <w:p w14:paraId="0C6962B4">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cs="宋体"/>
                <w:b w:val="0"/>
                <w:bCs/>
                <w:color w:val="auto"/>
                <w:szCs w:val="21"/>
                <w:highlight w:val="none"/>
                <w:vertAlign w:val="baseline"/>
                <w:lang w:val="en-US" w:eastAsia="zh-CN"/>
              </w:rPr>
              <w:t>报</w:t>
            </w:r>
            <w:r>
              <w:rPr>
                <w:rFonts w:hint="eastAsia" w:ascii="宋体" w:hAnsi="宋体" w:eastAsia="宋体" w:cs="宋体"/>
                <w:b w:val="0"/>
                <w:bCs/>
                <w:color w:val="auto"/>
                <w:szCs w:val="21"/>
                <w:highlight w:val="none"/>
                <w:vertAlign w:val="baseline"/>
                <w:lang w:val="en-US" w:eastAsia="zh-CN"/>
              </w:rPr>
              <w:t>价</w:t>
            </w:r>
          </w:p>
        </w:tc>
      </w:tr>
      <w:tr w14:paraId="681F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5605B411">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w:t>
            </w:r>
          </w:p>
        </w:tc>
        <w:tc>
          <w:tcPr>
            <w:tcW w:w="4284" w:type="dxa"/>
          </w:tcPr>
          <w:p w14:paraId="0872A7D1">
            <w:pPr>
              <w:numPr>
                <w:ilvl w:val="-1"/>
                <w:numId w:val="0"/>
              </w:numPr>
              <w:spacing w:line="360" w:lineRule="auto"/>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color w:val="auto"/>
                <w:sz w:val="21"/>
                <w:szCs w:val="21"/>
                <w:highlight w:val="none"/>
              </w:rPr>
              <w:t>实地工作检查与指导</w:t>
            </w:r>
          </w:p>
        </w:tc>
        <w:tc>
          <w:tcPr>
            <w:tcW w:w="1116" w:type="dxa"/>
            <w:vAlign w:val="center"/>
          </w:tcPr>
          <w:p w14:paraId="7E4E08F3">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350</w:t>
            </w:r>
          </w:p>
        </w:tc>
        <w:tc>
          <w:tcPr>
            <w:tcW w:w="734" w:type="dxa"/>
            <w:vAlign w:val="center"/>
          </w:tcPr>
          <w:p w14:paraId="28A0FB32">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月</w:t>
            </w:r>
          </w:p>
        </w:tc>
        <w:tc>
          <w:tcPr>
            <w:tcW w:w="716" w:type="dxa"/>
            <w:vAlign w:val="center"/>
          </w:tcPr>
          <w:p w14:paraId="755F2281">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12</w:t>
            </w:r>
          </w:p>
        </w:tc>
        <w:tc>
          <w:tcPr>
            <w:tcW w:w="1534" w:type="dxa"/>
            <w:vAlign w:val="center"/>
          </w:tcPr>
          <w:p w14:paraId="26A719A0">
            <w:pPr>
              <w:keepNext w:val="0"/>
              <w:keepLines w:val="0"/>
              <w:widowControl/>
              <w:suppressLineNumbers w:val="0"/>
              <w:jc w:val="center"/>
              <w:textAlignment w:val="center"/>
              <w:rPr>
                <w:rFonts w:hint="eastAsia" w:ascii="宋体" w:hAnsi="宋体" w:eastAsia="宋体" w:cs="宋体"/>
                <w:b w:val="0"/>
                <w:bCs/>
                <w:color w:val="auto"/>
                <w:szCs w:val="21"/>
                <w:highlight w:val="none"/>
                <w:vertAlign w:val="baseline"/>
                <w:lang w:val="en-US" w:eastAsia="zh-CN"/>
              </w:rPr>
            </w:pPr>
          </w:p>
        </w:tc>
      </w:tr>
      <w:tr w14:paraId="5599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7495BBF5">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2</w:t>
            </w:r>
          </w:p>
        </w:tc>
        <w:tc>
          <w:tcPr>
            <w:tcW w:w="4284" w:type="dxa"/>
          </w:tcPr>
          <w:p w14:paraId="0BF6F23F">
            <w:pPr>
              <w:numPr>
                <w:ilvl w:val="-1"/>
                <w:numId w:val="0"/>
              </w:numPr>
              <w:spacing w:line="360" w:lineRule="auto"/>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color w:val="auto"/>
                <w:sz w:val="21"/>
                <w:szCs w:val="21"/>
                <w:highlight w:val="none"/>
              </w:rPr>
              <w:t>台帐资料检查与指导</w:t>
            </w:r>
          </w:p>
        </w:tc>
        <w:tc>
          <w:tcPr>
            <w:tcW w:w="1116" w:type="dxa"/>
            <w:vAlign w:val="center"/>
          </w:tcPr>
          <w:p w14:paraId="7D460C29">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16</w:t>
            </w:r>
          </w:p>
        </w:tc>
        <w:tc>
          <w:tcPr>
            <w:tcW w:w="734" w:type="dxa"/>
            <w:vAlign w:val="center"/>
          </w:tcPr>
          <w:p w14:paraId="60AE72E2">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月</w:t>
            </w:r>
          </w:p>
        </w:tc>
        <w:tc>
          <w:tcPr>
            <w:tcW w:w="716" w:type="dxa"/>
            <w:vAlign w:val="center"/>
          </w:tcPr>
          <w:p w14:paraId="520A9427">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12</w:t>
            </w:r>
          </w:p>
        </w:tc>
        <w:tc>
          <w:tcPr>
            <w:tcW w:w="1534" w:type="dxa"/>
            <w:vAlign w:val="center"/>
          </w:tcPr>
          <w:p w14:paraId="5B190010">
            <w:pPr>
              <w:keepNext w:val="0"/>
              <w:keepLines w:val="0"/>
              <w:widowControl/>
              <w:suppressLineNumbers w:val="0"/>
              <w:jc w:val="center"/>
              <w:textAlignment w:val="center"/>
              <w:rPr>
                <w:rFonts w:hint="eastAsia" w:ascii="宋体" w:hAnsi="宋体" w:eastAsia="宋体" w:cs="宋体"/>
                <w:b w:val="0"/>
                <w:bCs/>
                <w:color w:val="auto"/>
                <w:szCs w:val="21"/>
                <w:highlight w:val="none"/>
                <w:vertAlign w:val="baseline"/>
                <w:lang w:val="en-US" w:eastAsia="zh-CN"/>
              </w:rPr>
            </w:pPr>
          </w:p>
        </w:tc>
      </w:tr>
      <w:tr w14:paraId="39CB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1EECD411">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3</w:t>
            </w:r>
          </w:p>
        </w:tc>
        <w:tc>
          <w:tcPr>
            <w:tcW w:w="4284" w:type="dxa"/>
          </w:tcPr>
          <w:p w14:paraId="386FA912">
            <w:pPr>
              <w:numPr>
                <w:ilvl w:val="-1"/>
                <w:numId w:val="0"/>
              </w:numPr>
              <w:spacing w:line="360" w:lineRule="auto"/>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color w:val="auto"/>
                <w:sz w:val="21"/>
                <w:szCs w:val="21"/>
                <w:highlight w:val="none"/>
              </w:rPr>
              <w:t>开展分类宣传和培训</w:t>
            </w:r>
          </w:p>
        </w:tc>
        <w:tc>
          <w:tcPr>
            <w:tcW w:w="1116" w:type="dxa"/>
            <w:vAlign w:val="center"/>
          </w:tcPr>
          <w:p w14:paraId="0F2190F9">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i w:val="0"/>
                <w:iCs w:val="0"/>
                <w:color w:val="auto"/>
                <w:kern w:val="0"/>
                <w:sz w:val="21"/>
                <w:szCs w:val="21"/>
                <w:highlight w:val="none"/>
                <w:u w:val="none"/>
                <w:lang w:val="en-US" w:eastAsia="zh-CN" w:bidi="ar"/>
              </w:rPr>
              <w:t>25</w:t>
            </w:r>
          </w:p>
        </w:tc>
        <w:tc>
          <w:tcPr>
            <w:tcW w:w="734" w:type="dxa"/>
            <w:vAlign w:val="center"/>
          </w:tcPr>
          <w:p w14:paraId="236D2333">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i w:val="0"/>
                <w:iCs w:val="0"/>
                <w:color w:val="auto"/>
                <w:kern w:val="0"/>
                <w:sz w:val="21"/>
                <w:szCs w:val="21"/>
                <w:highlight w:val="none"/>
                <w:u w:val="none"/>
                <w:lang w:val="en-US" w:eastAsia="zh-CN" w:bidi="ar"/>
              </w:rPr>
              <w:t>月</w:t>
            </w:r>
          </w:p>
        </w:tc>
        <w:tc>
          <w:tcPr>
            <w:tcW w:w="716" w:type="dxa"/>
            <w:vAlign w:val="center"/>
          </w:tcPr>
          <w:p w14:paraId="72F79419">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12</w:t>
            </w:r>
          </w:p>
        </w:tc>
        <w:tc>
          <w:tcPr>
            <w:tcW w:w="1534" w:type="dxa"/>
            <w:vAlign w:val="center"/>
          </w:tcPr>
          <w:p w14:paraId="521E7B97">
            <w:pPr>
              <w:keepNext w:val="0"/>
              <w:keepLines w:val="0"/>
              <w:widowControl/>
              <w:suppressLineNumbers w:val="0"/>
              <w:jc w:val="center"/>
              <w:textAlignment w:val="center"/>
              <w:rPr>
                <w:rFonts w:hint="eastAsia" w:ascii="宋体" w:hAnsi="宋体" w:eastAsia="宋体" w:cs="宋体"/>
                <w:b w:val="0"/>
                <w:bCs/>
                <w:color w:val="auto"/>
                <w:szCs w:val="21"/>
                <w:highlight w:val="none"/>
                <w:vertAlign w:val="baseline"/>
                <w:lang w:val="en-US" w:eastAsia="zh-CN"/>
              </w:rPr>
            </w:pPr>
          </w:p>
        </w:tc>
      </w:tr>
      <w:tr w14:paraId="543F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25CF1F62">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4</w:t>
            </w:r>
          </w:p>
        </w:tc>
        <w:tc>
          <w:tcPr>
            <w:tcW w:w="4284" w:type="dxa"/>
          </w:tcPr>
          <w:p w14:paraId="0BA67182">
            <w:pPr>
              <w:numPr>
                <w:ilvl w:val="-1"/>
                <w:numId w:val="0"/>
              </w:numPr>
              <w:spacing w:line="360" w:lineRule="auto"/>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color w:val="auto"/>
                <w:sz w:val="21"/>
                <w:szCs w:val="21"/>
                <w:highlight w:val="none"/>
              </w:rPr>
              <w:t>媒体报道（央/省级）</w:t>
            </w:r>
          </w:p>
        </w:tc>
        <w:tc>
          <w:tcPr>
            <w:tcW w:w="1116" w:type="dxa"/>
            <w:vAlign w:val="center"/>
          </w:tcPr>
          <w:p w14:paraId="46B26B1C">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4</w:t>
            </w:r>
          </w:p>
        </w:tc>
        <w:tc>
          <w:tcPr>
            <w:tcW w:w="734" w:type="dxa"/>
            <w:vAlign w:val="center"/>
          </w:tcPr>
          <w:p w14:paraId="2AE634D8">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i w:val="0"/>
                <w:iCs w:val="0"/>
                <w:color w:val="auto"/>
                <w:kern w:val="0"/>
                <w:sz w:val="21"/>
                <w:szCs w:val="21"/>
                <w:highlight w:val="none"/>
                <w:u w:val="none"/>
                <w:lang w:val="en-US" w:eastAsia="zh-CN" w:bidi="ar"/>
              </w:rPr>
              <w:t>月</w:t>
            </w:r>
          </w:p>
        </w:tc>
        <w:tc>
          <w:tcPr>
            <w:tcW w:w="716" w:type="dxa"/>
            <w:vAlign w:val="center"/>
          </w:tcPr>
          <w:p w14:paraId="7A600165">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12</w:t>
            </w:r>
          </w:p>
        </w:tc>
        <w:tc>
          <w:tcPr>
            <w:tcW w:w="1534" w:type="dxa"/>
            <w:vAlign w:val="center"/>
          </w:tcPr>
          <w:p w14:paraId="189290F6">
            <w:pPr>
              <w:keepNext w:val="0"/>
              <w:keepLines w:val="0"/>
              <w:widowControl/>
              <w:suppressLineNumbers w:val="0"/>
              <w:jc w:val="center"/>
              <w:textAlignment w:val="center"/>
              <w:rPr>
                <w:rFonts w:hint="eastAsia" w:ascii="宋体" w:hAnsi="宋体" w:eastAsia="宋体" w:cs="宋体"/>
                <w:b w:val="0"/>
                <w:bCs/>
                <w:color w:val="auto"/>
                <w:szCs w:val="21"/>
                <w:highlight w:val="none"/>
                <w:vertAlign w:val="baseline"/>
                <w:lang w:val="en-US" w:eastAsia="zh-CN"/>
              </w:rPr>
            </w:pPr>
          </w:p>
        </w:tc>
      </w:tr>
      <w:tr w14:paraId="32DC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2410782E">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5</w:t>
            </w:r>
          </w:p>
        </w:tc>
        <w:tc>
          <w:tcPr>
            <w:tcW w:w="4284" w:type="dxa"/>
          </w:tcPr>
          <w:p w14:paraId="2A165973">
            <w:pPr>
              <w:numPr>
                <w:ilvl w:val="-1"/>
                <w:numId w:val="0"/>
              </w:numPr>
              <w:spacing w:line="360" w:lineRule="auto"/>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color w:val="auto"/>
                <w:sz w:val="21"/>
                <w:szCs w:val="21"/>
                <w:highlight w:val="none"/>
              </w:rPr>
              <w:t>信息化维护</w:t>
            </w:r>
          </w:p>
        </w:tc>
        <w:tc>
          <w:tcPr>
            <w:tcW w:w="1116" w:type="dxa"/>
            <w:vAlign w:val="center"/>
          </w:tcPr>
          <w:p w14:paraId="795EB665">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w:t>
            </w:r>
          </w:p>
        </w:tc>
        <w:tc>
          <w:tcPr>
            <w:tcW w:w="734" w:type="dxa"/>
            <w:vAlign w:val="center"/>
          </w:tcPr>
          <w:p w14:paraId="4EA1C5F3">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i w:val="0"/>
                <w:iCs w:val="0"/>
                <w:color w:val="auto"/>
                <w:kern w:val="0"/>
                <w:sz w:val="21"/>
                <w:szCs w:val="21"/>
                <w:highlight w:val="none"/>
                <w:u w:val="none"/>
                <w:lang w:val="en-US" w:eastAsia="zh-CN" w:bidi="ar"/>
              </w:rPr>
              <w:t>月</w:t>
            </w:r>
          </w:p>
        </w:tc>
        <w:tc>
          <w:tcPr>
            <w:tcW w:w="716" w:type="dxa"/>
            <w:vAlign w:val="center"/>
          </w:tcPr>
          <w:p w14:paraId="13BE7122">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12</w:t>
            </w:r>
          </w:p>
        </w:tc>
        <w:tc>
          <w:tcPr>
            <w:tcW w:w="1534" w:type="dxa"/>
            <w:vAlign w:val="center"/>
          </w:tcPr>
          <w:p w14:paraId="07DB0B42">
            <w:pPr>
              <w:keepNext w:val="0"/>
              <w:keepLines w:val="0"/>
              <w:widowControl/>
              <w:suppressLineNumbers w:val="0"/>
              <w:jc w:val="center"/>
              <w:textAlignment w:val="center"/>
              <w:rPr>
                <w:rFonts w:hint="eastAsia" w:ascii="宋体" w:hAnsi="宋体" w:eastAsia="宋体" w:cs="宋体"/>
                <w:b w:val="0"/>
                <w:bCs/>
                <w:color w:val="auto"/>
                <w:szCs w:val="21"/>
                <w:highlight w:val="none"/>
                <w:vertAlign w:val="baseline"/>
                <w:lang w:val="en-US" w:eastAsia="zh-CN"/>
              </w:rPr>
            </w:pPr>
          </w:p>
        </w:tc>
      </w:tr>
      <w:tr w14:paraId="51DA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14:paraId="51B3549A">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6</w:t>
            </w:r>
          </w:p>
        </w:tc>
        <w:tc>
          <w:tcPr>
            <w:tcW w:w="4284" w:type="dxa"/>
          </w:tcPr>
          <w:p w14:paraId="24C5FC97">
            <w:pPr>
              <w:numPr>
                <w:ilvl w:val="-1"/>
                <w:numId w:val="0"/>
              </w:numPr>
              <w:spacing w:line="360" w:lineRule="auto"/>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color w:val="auto"/>
                <w:sz w:val="21"/>
                <w:szCs w:val="21"/>
                <w:highlight w:val="none"/>
              </w:rPr>
              <w:t>餐厨垃圾（含废弃食用油脂）收运处置工作</w:t>
            </w:r>
          </w:p>
        </w:tc>
        <w:tc>
          <w:tcPr>
            <w:tcW w:w="1116" w:type="dxa"/>
            <w:vAlign w:val="center"/>
          </w:tcPr>
          <w:p w14:paraId="0635E133">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w:t>
            </w:r>
          </w:p>
        </w:tc>
        <w:tc>
          <w:tcPr>
            <w:tcW w:w="734" w:type="dxa"/>
            <w:vAlign w:val="center"/>
          </w:tcPr>
          <w:p w14:paraId="3677D275">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Cs/>
                <w:i w:val="0"/>
                <w:iCs w:val="0"/>
                <w:color w:val="auto"/>
                <w:kern w:val="0"/>
                <w:sz w:val="21"/>
                <w:szCs w:val="21"/>
                <w:highlight w:val="none"/>
                <w:u w:val="none"/>
                <w:lang w:val="en-US" w:eastAsia="zh-CN" w:bidi="ar"/>
              </w:rPr>
              <w:t>月</w:t>
            </w:r>
          </w:p>
        </w:tc>
        <w:tc>
          <w:tcPr>
            <w:tcW w:w="716" w:type="dxa"/>
            <w:vAlign w:val="center"/>
          </w:tcPr>
          <w:p w14:paraId="0D2A7FBD">
            <w:pPr>
              <w:numPr>
                <w:ilvl w:val="-1"/>
                <w:numId w:val="0"/>
              </w:numPr>
              <w:spacing w:line="360" w:lineRule="auto"/>
              <w:jc w:val="center"/>
              <w:rPr>
                <w:rFonts w:hint="eastAsia" w:ascii="宋体" w:hAnsi="宋体" w:eastAsia="宋体" w:cs="宋体"/>
                <w:b w:val="0"/>
                <w:bCs/>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12</w:t>
            </w:r>
          </w:p>
        </w:tc>
        <w:tc>
          <w:tcPr>
            <w:tcW w:w="1534" w:type="dxa"/>
            <w:vAlign w:val="center"/>
          </w:tcPr>
          <w:p w14:paraId="4D88590F">
            <w:pPr>
              <w:keepNext w:val="0"/>
              <w:keepLines w:val="0"/>
              <w:widowControl/>
              <w:suppressLineNumbers w:val="0"/>
              <w:jc w:val="center"/>
              <w:textAlignment w:val="center"/>
              <w:rPr>
                <w:rFonts w:hint="eastAsia" w:ascii="宋体" w:hAnsi="宋体" w:eastAsia="宋体" w:cs="宋体"/>
                <w:b w:val="0"/>
                <w:bCs/>
                <w:color w:val="auto"/>
                <w:szCs w:val="21"/>
                <w:highlight w:val="none"/>
                <w:vertAlign w:val="baseline"/>
                <w:lang w:val="en-US" w:eastAsia="zh-CN"/>
              </w:rPr>
            </w:pPr>
          </w:p>
        </w:tc>
      </w:tr>
      <w:tr w14:paraId="382E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6" w:type="dxa"/>
            <w:gridSpan w:val="4"/>
            <w:vAlign w:val="center"/>
          </w:tcPr>
          <w:p w14:paraId="36D05064">
            <w:pPr>
              <w:pStyle w:val="13"/>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合计</w:t>
            </w:r>
          </w:p>
        </w:tc>
        <w:tc>
          <w:tcPr>
            <w:tcW w:w="2250" w:type="dxa"/>
            <w:gridSpan w:val="2"/>
            <w:vAlign w:val="center"/>
          </w:tcPr>
          <w:p w14:paraId="527F36B0">
            <w:pPr>
              <w:pStyle w:val="13"/>
              <w:jc w:val="center"/>
              <w:rPr>
                <w:rFonts w:ascii="宋体" w:hAnsi="宋体"/>
                <w:color w:val="auto"/>
                <w:sz w:val="21"/>
                <w:szCs w:val="21"/>
                <w:highlight w:val="none"/>
              </w:rPr>
            </w:pPr>
          </w:p>
        </w:tc>
      </w:tr>
    </w:tbl>
    <w:p w14:paraId="0629240D">
      <w:pPr>
        <w:pStyle w:val="13"/>
        <w:rPr>
          <w:rFonts w:ascii="宋体" w:hAnsi="宋体"/>
          <w:color w:val="auto"/>
          <w:highlight w:val="none"/>
        </w:rPr>
      </w:pPr>
    </w:p>
    <w:p w14:paraId="1DEE79A7">
      <w:pPr>
        <w:spacing w:line="360" w:lineRule="auto"/>
        <w:rPr>
          <w:rFonts w:ascii="宋体" w:hAnsi="宋体" w:cs="仿宋"/>
          <w:color w:val="auto"/>
          <w:spacing w:val="4"/>
          <w:sz w:val="24"/>
          <w:highlight w:val="none"/>
        </w:rPr>
      </w:pPr>
    </w:p>
    <w:p w14:paraId="15FBA527">
      <w:pPr>
        <w:spacing w:line="360" w:lineRule="auto"/>
        <w:rPr>
          <w:rFonts w:ascii="宋体" w:hAnsi="宋体"/>
          <w:color w:val="auto"/>
          <w:szCs w:val="21"/>
          <w:highlight w:val="none"/>
        </w:rPr>
      </w:pPr>
    </w:p>
    <w:p w14:paraId="32E67D0D">
      <w:pPr>
        <w:spacing w:line="360" w:lineRule="auto"/>
        <w:rPr>
          <w:rFonts w:ascii="宋体" w:hAnsi="宋体"/>
          <w:color w:val="auto"/>
          <w:szCs w:val="21"/>
          <w:highlight w:val="none"/>
        </w:rPr>
      </w:pPr>
      <w:r>
        <w:rPr>
          <w:rFonts w:hint="eastAsia" w:ascii="宋体" w:hAnsi="宋体"/>
          <w:color w:val="auto"/>
          <w:szCs w:val="21"/>
          <w:highlight w:val="none"/>
        </w:rPr>
        <w:t>（此表可延长）</w:t>
      </w:r>
    </w:p>
    <w:p w14:paraId="6A0CA5E0">
      <w:pPr>
        <w:spacing w:line="360" w:lineRule="auto"/>
        <w:rPr>
          <w:rFonts w:ascii="宋体" w:hAnsi="宋体"/>
          <w:color w:val="auto"/>
          <w:szCs w:val="21"/>
          <w:highlight w:val="none"/>
        </w:rPr>
      </w:pPr>
    </w:p>
    <w:p w14:paraId="52ECC470">
      <w:pPr>
        <w:pStyle w:val="16"/>
        <w:snapToGrid w:val="0"/>
        <w:ind w:left="360" w:right="119" w:rightChars="57"/>
        <w:jc w:val="left"/>
        <w:rPr>
          <w:rFonts w:hAnsi="宋体" w:cs="Arial"/>
          <w:color w:val="auto"/>
          <w:sz w:val="21"/>
          <w:highlight w:val="none"/>
        </w:rPr>
      </w:pPr>
    </w:p>
    <w:p w14:paraId="4BC27795">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供应商名称(并加盖公章)：</w:t>
      </w:r>
    </w:p>
    <w:p w14:paraId="14D371DF">
      <w:pPr>
        <w:widowControl/>
        <w:autoSpaceDE w:val="0"/>
        <w:autoSpaceDN w:val="0"/>
        <w:spacing w:line="360" w:lineRule="auto"/>
        <w:ind w:right="893"/>
        <w:textAlignment w:val="bottom"/>
        <w:rPr>
          <w:rFonts w:ascii="宋体" w:hAnsi="宋体"/>
          <w:color w:val="auto"/>
          <w:highlight w:val="none"/>
        </w:rPr>
      </w:pPr>
      <w:r>
        <w:rPr>
          <w:rFonts w:hint="eastAsia" w:ascii="宋体" w:hAnsi="宋体" w:cs="Arial"/>
          <w:color w:val="auto"/>
          <w:highlight w:val="none"/>
        </w:rPr>
        <w:t>供应商法定代表人或其委托人签名或印鉴：</w:t>
      </w:r>
    </w:p>
    <w:p w14:paraId="05D00FC1">
      <w:pPr>
        <w:spacing w:line="360" w:lineRule="auto"/>
        <w:rPr>
          <w:rFonts w:ascii="宋体" w:hAnsi="宋体"/>
          <w:color w:val="auto"/>
          <w:highlight w:val="none"/>
        </w:rPr>
      </w:pPr>
      <w:r>
        <w:rPr>
          <w:rFonts w:hint="eastAsia" w:ascii="宋体" w:hAnsi="宋体"/>
          <w:color w:val="auto"/>
          <w:highlight w:val="none"/>
        </w:rPr>
        <w:t>日期：</w:t>
      </w:r>
    </w:p>
    <w:p w14:paraId="68C2367F">
      <w:pPr>
        <w:pStyle w:val="3"/>
        <w:keepNext w:val="0"/>
        <w:keepLines w:val="0"/>
        <w:tabs>
          <w:tab w:val="left" w:pos="567"/>
        </w:tabs>
        <w:ind w:firstLine="0"/>
        <w:jc w:val="center"/>
        <w:rPr>
          <w:rFonts w:hAnsi="宋体"/>
          <w:color w:val="auto"/>
          <w:sz w:val="21"/>
          <w:szCs w:val="21"/>
          <w:highlight w:val="none"/>
        </w:rPr>
      </w:pPr>
      <w:r>
        <w:rPr>
          <w:rFonts w:hAnsi="宋体"/>
          <w:color w:val="auto"/>
          <w:highlight w:val="none"/>
        </w:rPr>
        <w:br w:type="page"/>
      </w:r>
      <w:bookmarkStart w:id="270" w:name="_Toc29091"/>
      <w:bookmarkStart w:id="271" w:name="_Toc35596140"/>
      <w:bookmarkStart w:id="272" w:name="_Toc67046901"/>
      <w:bookmarkStart w:id="273" w:name="_Toc35593669"/>
      <w:bookmarkStart w:id="274" w:name="_Toc35596332"/>
      <w:r>
        <w:rPr>
          <w:rFonts w:hint="eastAsia" w:hAnsi="宋体"/>
          <w:color w:val="auto"/>
          <w:sz w:val="21"/>
          <w:szCs w:val="21"/>
          <w:highlight w:val="none"/>
          <w:lang w:val="en-US"/>
        </w:rPr>
        <w:t xml:space="preserve">4-5 </w:t>
      </w:r>
      <w:r>
        <w:rPr>
          <w:rFonts w:hint="eastAsia" w:hAnsi="宋体"/>
          <w:color w:val="auto"/>
          <w:sz w:val="21"/>
          <w:szCs w:val="21"/>
          <w:highlight w:val="none"/>
        </w:rPr>
        <w:t>政策适用性说明</w:t>
      </w:r>
      <w:bookmarkEnd w:id="270"/>
      <w:bookmarkEnd w:id="271"/>
      <w:bookmarkEnd w:id="272"/>
      <w:bookmarkEnd w:id="273"/>
      <w:bookmarkEnd w:id="274"/>
    </w:p>
    <w:p w14:paraId="6BBCEA03">
      <w:pPr>
        <w:jc w:val="center"/>
        <w:rPr>
          <w:color w:val="auto"/>
          <w:highlight w:val="none"/>
        </w:rPr>
      </w:pPr>
      <w:r>
        <w:rPr>
          <w:b/>
          <w:color w:val="auto"/>
          <w:sz w:val="24"/>
          <w:highlight w:val="none"/>
        </w:rPr>
        <w:t>政策适用性说明</w:t>
      </w:r>
    </w:p>
    <w:p w14:paraId="1E613212">
      <w:pPr>
        <w:spacing w:line="360" w:lineRule="auto"/>
        <w:ind w:firstLine="480"/>
        <w:rPr>
          <w:color w:val="auto"/>
          <w:highlight w:val="none"/>
        </w:rPr>
      </w:pPr>
      <w:r>
        <w:rPr>
          <w:color w:val="auto"/>
          <w:highlight w:val="none"/>
        </w:rPr>
        <w:t>按照政府采购有关政策的要求，在本次的技术方案中，采用符合政策的小型或微型企业产品、节能产品、环保标志产品，主要产品与核心技术介绍说明如下：</w:t>
      </w:r>
    </w:p>
    <w:tbl>
      <w:tblPr>
        <w:tblStyle w:val="33"/>
        <w:tblW w:w="951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2"/>
        <w:gridCol w:w="1232"/>
        <w:gridCol w:w="1232"/>
        <w:gridCol w:w="1232"/>
        <w:gridCol w:w="1232"/>
        <w:gridCol w:w="1232"/>
        <w:gridCol w:w="1232"/>
        <w:gridCol w:w="892"/>
      </w:tblGrid>
      <w:tr w14:paraId="69E28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21" w:hRule="atLeast"/>
        </w:trPr>
        <w:tc>
          <w:tcPr>
            <w:tcW w:w="1232" w:type="dxa"/>
          </w:tcPr>
          <w:p w14:paraId="0B121FEB">
            <w:pPr>
              <w:spacing w:line="360" w:lineRule="auto"/>
              <w:rPr>
                <w:color w:val="auto"/>
                <w:highlight w:val="none"/>
              </w:rPr>
            </w:pPr>
            <w:r>
              <w:rPr>
                <w:color w:val="auto"/>
                <w:highlight w:val="none"/>
              </w:rPr>
              <w:t>序号</w:t>
            </w:r>
          </w:p>
        </w:tc>
        <w:tc>
          <w:tcPr>
            <w:tcW w:w="1232" w:type="dxa"/>
          </w:tcPr>
          <w:p w14:paraId="39BDEE13">
            <w:pPr>
              <w:spacing w:line="360" w:lineRule="auto"/>
              <w:rPr>
                <w:color w:val="auto"/>
                <w:highlight w:val="none"/>
              </w:rPr>
            </w:pPr>
            <w:r>
              <w:rPr>
                <w:color w:val="auto"/>
                <w:highlight w:val="none"/>
              </w:rPr>
              <w:t>主要产品/技术名称（规格型号、注册商标）</w:t>
            </w:r>
          </w:p>
        </w:tc>
        <w:tc>
          <w:tcPr>
            <w:tcW w:w="1232" w:type="dxa"/>
          </w:tcPr>
          <w:p w14:paraId="1FC11B79">
            <w:pPr>
              <w:spacing w:line="360" w:lineRule="auto"/>
              <w:rPr>
                <w:color w:val="auto"/>
                <w:highlight w:val="none"/>
              </w:rPr>
            </w:pPr>
            <w:r>
              <w:rPr>
                <w:color w:val="auto"/>
                <w:highlight w:val="none"/>
              </w:rPr>
              <w:t>制造商(开发商)</w:t>
            </w:r>
          </w:p>
        </w:tc>
        <w:tc>
          <w:tcPr>
            <w:tcW w:w="1232" w:type="dxa"/>
          </w:tcPr>
          <w:p w14:paraId="0125DDAB">
            <w:pPr>
              <w:spacing w:line="360" w:lineRule="auto"/>
              <w:rPr>
                <w:color w:val="auto"/>
                <w:highlight w:val="none"/>
              </w:rPr>
            </w:pPr>
            <w:r>
              <w:rPr>
                <w:color w:val="auto"/>
                <w:highlight w:val="none"/>
              </w:rPr>
              <w:t>制造商企业类型</w:t>
            </w:r>
          </w:p>
        </w:tc>
        <w:tc>
          <w:tcPr>
            <w:tcW w:w="1232" w:type="dxa"/>
          </w:tcPr>
          <w:p w14:paraId="294DAA2C">
            <w:pPr>
              <w:spacing w:line="360" w:lineRule="auto"/>
              <w:rPr>
                <w:color w:val="auto"/>
                <w:highlight w:val="none"/>
              </w:rPr>
            </w:pPr>
            <w:r>
              <w:rPr>
                <w:color w:val="auto"/>
                <w:highlight w:val="none"/>
              </w:rPr>
              <w:t>节能产品</w:t>
            </w:r>
          </w:p>
        </w:tc>
        <w:tc>
          <w:tcPr>
            <w:tcW w:w="1232" w:type="dxa"/>
          </w:tcPr>
          <w:p w14:paraId="0AC94420">
            <w:pPr>
              <w:spacing w:line="360" w:lineRule="auto"/>
              <w:rPr>
                <w:color w:val="auto"/>
                <w:highlight w:val="none"/>
              </w:rPr>
            </w:pPr>
            <w:r>
              <w:rPr>
                <w:color w:val="auto"/>
                <w:highlight w:val="none"/>
              </w:rPr>
              <w:t>环保标志产品</w:t>
            </w:r>
          </w:p>
        </w:tc>
        <w:tc>
          <w:tcPr>
            <w:tcW w:w="1232" w:type="dxa"/>
          </w:tcPr>
          <w:p w14:paraId="6A47AA86">
            <w:pPr>
              <w:spacing w:line="360" w:lineRule="auto"/>
              <w:rPr>
                <w:color w:val="auto"/>
                <w:highlight w:val="none"/>
              </w:rPr>
            </w:pPr>
            <w:r>
              <w:rPr>
                <w:color w:val="auto"/>
                <w:highlight w:val="none"/>
              </w:rPr>
              <w:t>认证证书编号</w:t>
            </w:r>
          </w:p>
        </w:tc>
        <w:tc>
          <w:tcPr>
            <w:tcW w:w="892" w:type="dxa"/>
          </w:tcPr>
          <w:p w14:paraId="0B21EFDC">
            <w:pPr>
              <w:spacing w:line="360" w:lineRule="auto"/>
              <w:rPr>
                <w:color w:val="auto"/>
                <w:highlight w:val="none"/>
              </w:rPr>
            </w:pPr>
            <w:r>
              <w:rPr>
                <w:color w:val="auto"/>
                <w:highlight w:val="none"/>
              </w:rPr>
              <w:t>该产品报价在总报价中占比（%）</w:t>
            </w:r>
          </w:p>
        </w:tc>
      </w:tr>
      <w:tr w14:paraId="5DFF6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1" w:hRule="atLeast"/>
        </w:trPr>
        <w:tc>
          <w:tcPr>
            <w:tcW w:w="1232" w:type="dxa"/>
          </w:tcPr>
          <w:p w14:paraId="2BFD47D7">
            <w:pPr>
              <w:spacing w:line="360" w:lineRule="auto"/>
              <w:jc w:val="center"/>
              <w:rPr>
                <w:color w:val="auto"/>
                <w:highlight w:val="none"/>
              </w:rPr>
            </w:pPr>
            <w:r>
              <w:rPr>
                <w:color w:val="auto"/>
                <w:highlight w:val="none"/>
              </w:rPr>
              <w:t>1</w:t>
            </w:r>
          </w:p>
        </w:tc>
        <w:tc>
          <w:tcPr>
            <w:tcW w:w="1232" w:type="dxa"/>
          </w:tcPr>
          <w:p w14:paraId="4C5F78CD">
            <w:pPr>
              <w:spacing w:line="360" w:lineRule="auto"/>
              <w:rPr>
                <w:color w:val="auto"/>
                <w:highlight w:val="none"/>
              </w:rPr>
            </w:pPr>
          </w:p>
        </w:tc>
        <w:tc>
          <w:tcPr>
            <w:tcW w:w="1232" w:type="dxa"/>
          </w:tcPr>
          <w:p w14:paraId="44D09C70">
            <w:pPr>
              <w:spacing w:line="360" w:lineRule="auto"/>
              <w:rPr>
                <w:color w:val="auto"/>
                <w:highlight w:val="none"/>
              </w:rPr>
            </w:pPr>
          </w:p>
        </w:tc>
        <w:tc>
          <w:tcPr>
            <w:tcW w:w="1232" w:type="dxa"/>
          </w:tcPr>
          <w:p w14:paraId="73980984">
            <w:pPr>
              <w:spacing w:line="360" w:lineRule="auto"/>
              <w:rPr>
                <w:color w:val="auto"/>
                <w:highlight w:val="none"/>
              </w:rPr>
            </w:pPr>
          </w:p>
        </w:tc>
        <w:tc>
          <w:tcPr>
            <w:tcW w:w="1232" w:type="dxa"/>
          </w:tcPr>
          <w:p w14:paraId="62137DE1">
            <w:pPr>
              <w:spacing w:line="360" w:lineRule="auto"/>
              <w:rPr>
                <w:color w:val="auto"/>
                <w:highlight w:val="none"/>
              </w:rPr>
            </w:pPr>
          </w:p>
        </w:tc>
        <w:tc>
          <w:tcPr>
            <w:tcW w:w="1232" w:type="dxa"/>
          </w:tcPr>
          <w:p w14:paraId="6DD3C0F2">
            <w:pPr>
              <w:spacing w:line="360" w:lineRule="auto"/>
              <w:rPr>
                <w:color w:val="auto"/>
                <w:highlight w:val="none"/>
              </w:rPr>
            </w:pPr>
          </w:p>
        </w:tc>
        <w:tc>
          <w:tcPr>
            <w:tcW w:w="1232" w:type="dxa"/>
          </w:tcPr>
          <w:p w14:paraId="6A1FA208">
            <w:pPr>
              <w:spacing w:line="360" w:lineRule="auto"/>
              <w:rPr>
                <w:color w:val="auto"/>
                <w:highlight w:val="none"/>
              </w:rPr>
            </w:pPr>
          </w:p>
        </w:tc>
        <w:tc>
          <w:tcPr>
            <w:tcW w:w="892" w:type="dxa"/>
          </w:tcPr>
          <w:p w14:paraId="2CDBC87A">
            <w:pPr>
              <w:spacing w:line="360" w:lineRule="auto"/>
              <w:rPr>
                <w:color w:val="auto"/>
                <w:highlight w:val="none"/>
              </w:rPr>
            </w:pPr>
          </w:p>
        </w:tc>
      </w:tr>
      <w:tr w14:paraId="2FE89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1" w:hRule="atLeast"/>
        </w:trPr>
        <w:tc>
          <w:tcPr>
            <w:tcW w:w="1232" w:type="dxa"/>
          </w:tcPr>
          <w:p w14:paraId="6FCEF6CD">
            <w:pPr>
              <w:spacing w:line="360" w:lineRule="auto"/>
              <w:jc w:val="center"/>
              <w:rPr>
                <w:color w:val="auto"/>
                <w:highlight w:val="none"/>
              </w:rPr>
            </w:pPr>
            <w:r>
              <w:rPr>
                <w:color w:val="auto"/>
                <w:highlight w:val="none"/>
              </w:rPr>
              <w:t>2</w:t>
            </w:r>
          </w:p>
        </w:tc>
        <w:tc>
          <w:tcPr>
            <w:tcW w:w="1232" w:type="dxa"/>
          </w:tcPr>
          <w:p w14:paraId="75ACB9AD">
            <w:pPr>
              <w:spacing w:line="360" w:lineRule="auto"/>
              <w:rPr>
                <w:color w:val="auto"/>
                <w:highlight w:val="none"/>
              </w:rPr>
            </w:pPr>
          </w:p>
        </w:tc>
        <w:tc>
          <w:tcPr>
            <w:tcW w:w="1232" w:type="dxa"/>
          </w:tcPr>
          <w:p w14:paraId="30892550">
            <w:pPr>
              <w:spacing w:line="360" w:lineRule="auto"/>
              <w:rPr>
                <w:color w:val="auto"/>
                <w:highlight w:val="none"/>
              </w:rPr>
            </w:pPr>
          </w:p>
        </w:tc>
        <w:tc>
          <w:tcPr>
            <w:tcW w:w="1232" w:type="dxa"/>
          </w:tcPr>
          <w:p w14:paraId="0CCC9DEE">
            <w:pPr>
              <w:spacing w:line="360" w:lineRule="auto"/>
              <w:rPr>
                <w:color w:val="auto"/>
                <w:highlight w:val="none"/>
              </w:rPr>
            </w:pPr>
          </w:p>
        </w:tc>
        <w:tc>
          <w:tcPr>
            <w:tcW w:w="1232" w:type="dxa"/>
          </w:tcPr>
          <w:p w14:paraId="1639AF2C">
            <w:pPr>
              <w:spacing w:line="360" w:lineRule="auto"/>
              <w:rPr>
                <w:color w:val="auto"/>
                <w:highlight w:val="none"/>
              </w:rPr>
            </w:pPr>
          </w:p>
        </w:tc>
        <w:tc>
          <w:tcPr>
            <w:tcW w:w="1232" w:type="dxa"/>
          </w:tcPr>
          <w:p w14:paraId="39DFE52D">
            <w:pPr>
              <w:spacing w:line="360" w:lineRule="auto"/>
              <w:rPr>
                <w:color w:val="auto"/>
                <w:highlight w:val="none"/>
              </w:rPr>
            </w:pPr>
          </w:p>
        </w:tc>
        <w:tc>
          <w:tcPr>
            <w:tcW w:w="1232" w:type="dxa"/>
          </w:tcPr>
          <w:p w14:paraId="2616B665">
            <w:pPr>
              <w:spacing w:line="360" w:lineRule="auto"/>
              <w:rPr>
                <w:color w:val="auto"/>
                <w:highlight w:val="none"/>
              </w:rPr>
            </w:pPr>
          </w:p>
        </w:tc>
        <w:tc>
          <w:tcPr>
            <w:tcW w:w="892" w:type="dxa"/>
          </w:tcPr>
          <w:p w14:paraId="27E7AA4C">
            <w:pPr>
              <w:spacing w:line="360" w:lineRule="auto"/>
              <w:rPr>
                <w:color w:val="auto"/>
                <w:highlight w:val="none"/>
              </w:rPr>
            </w:pPr>
          </w:p>
        </w:tc>
      </w:tr>
      <w:tr w14:paraId="36791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1" w:hRule="atLeast"/>
        </w:trPr>
        <w:tc>
          <w:tcPr>
            <w:tcW w:w="1232" w:type="dxa"/>
          </w:tcPr>
          <w:p w14:paraId="30189CBB">
            <w:pPr>
              <w:spacing w:line="360" w:lineRule="auto"/>
              <w:jc w:val="center"/>
              <w:rPr>
                <w:color w:val="auto"/>
                <w:highlight w:val="none"/>
              </w:rPr>
            </w:pPr>
            <w:r>
              <w:rPr>
                <w:color w:val="auto"/>
                <w:highlight w:val="none"/>
              </w:rPr>
              <w:t>3</w:t>
            </w:r>
          </w:p>
        </w:tc>
        <w:tc>
          <w:tcPr>
            <w:tcW w:w="1232" w:type="dxa"/>
          </w:tcPr>
          <w:p w14:paraId="39AFEA3A">
            <w:pPr>
              <w:spacing w:line="360" w:lineRule="auto"/>
              <w:rPr>
                <w:color w:val="auto"/>
                <w:highlight w:val="none"/>
              </w:rPr>
            </w:pPr>
          </w:p>
        </w:tc>
        <w:tc>
          <w:tcPr>
            <w:tcW w:w="1232" w:type="dxa"/>
          </w:tcPr>
          <w:p w14:paraId="6203D559">
            <w:pPr>
              <w:spacing w:line="360" w:lineRule="auto"/>
              <w:rPr>
                <w:color w:val="auto"/>
                <w:highlight w:val="none"/>
              </w:rPr>
            </w:pPr>
          </w:p>
        </w:tc>
        <w:tc>
          <w:tcPr>
            <w:tcW w:w="1232" w:type="dxa"/>
          </w:tcPr>
          <w:p w14:paraId="4D4FA897">
            <w:pPr>
              <w:spacing w:line="360" w:lineRule="auto"/>
              <w:rPr>
                <w:color w:val="auto"/>
                <w:highlight w:val="none"/>
              </w:rPr>
            </w:pPr>
          </w:p>
        </w:tc>
        <w:tc>
          <w:tcPr>
            <w:tcW w:w="1232" w:type="dxa"/>
          </w:tcPr>
          <w:p w14:paraId="341D8863">
            <w:pPr>
              <w:spacing w:line="360" w:lineRule="auto"/>
              <w:rPr>
                <w:color w:val="auto"/>
                <w:highlight w:val="none"/>
              </w:rPr>
            </w:pPr>
          </w:p>
        </w:tc>
        <w:tc>
          <w:tcPr>
            <w:tcW w:w="1232" w:type="dxa"/>
          </w:tcPr>
          <w:p w14:paraId="76FE2DA5">
            <w:pPr>
              <w:spacing w:line="360" w:lineRule="auto"/>
              <w:rPr>
                <w:color w:val="auto"/>
                <w:highlight w:val="none"/>
              </w:rPr>
            </w:pPr>
          </w:p>
        </w:tc>
        <w:tc>
          <w:tcPr>
            <w:tcW w:w="1232" w:type="dxa"/>
          </w:tcPr>
          <w:p w14:paraId="78135DF3">
            <w:pPr>
              <w:spacing w:line="360" w:lineRule="auto"/>
              <w:rPr>
                <w:color w:val="auto"/>
                <w:highlight w:val="none"/>
              </w:rPr>
            </w:pPr>
          </w:p>
        </w:tc>
        <w:tc>
          <w:tcPr>
            <w:tcW w:w="892" w:type="dxa"/>
          </w:tcPr>
          <w:p w14:paraId="52FF3CCF">
            <w:pPr>
              <w:spacing w:line="360" w:lineRule="auto"/>
              <w:rPr>
                <w:color w:val="auto"/>
                <w:highlight w:val="none"/>
              </w:rPr>
            </w:pPr>
          </w:p>
        </w:tc>
      </w:tr>
      <w:tr w14:paraId="64CE6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1" w:hRule="atLeast"/>
        </w:trPr>
        <w:tc>
          <w:tcPr>
            <w:tcW w:w="1232" w:type="dxa"/>
          </w:tcPr>
          <w:p w14:paraId="266E20E6">
            <w:pPr>
              <w:spacing w:line="360" w:lineRule="auto"/>
              <w:jc w:val="center"/>
              <w:rPr>
                <w:color w:val="auto"/>
                <w:highlight w:val="none"/>
              </w:rPr>
            </w:pPr>
            <w:r>
              <w:rPr>
                <w:color w:val="auto"/>
                <w:highlight w:val="none"/>
              </w:rPr>
              <w:t>4</w:t>
            </w:r>
          </w:p>
        </w:tc>
        <w:tc>
          <w:tcPr>
            <w:tcW w:w="1232" w:type="dxa"/>
          </w:tcPr>
          <w:p w14:paraId="6678268B">
            <w:pPr>
              <w:spacing w:line="360" w:lineRule="auto"/>
              <w:rPr>
                <w:color w:val="auto"/>
                <w:highlight w:val="none"/>
              </w:rPr>
            </w:pPr>
          </w:p>
        </w:tc>
        <w:tc>
          <w:tcPr>
            <w:tcW w:w="1232" w:type="dxa"/>
          </w:tcPr>
          <w:p w14:paraId="3469343D">
            <w:pPr>
              <w:spacing w:line="360" w:lineRule="auto"/>
              <w:rPr>
                <w:color w:val="auto"/>
                <w:highlight w:val="none"/>
              </w:rPr>
            </w:pPr>
          </w:p>
        </w:tc>
        <w:tc>
          <w:tcPr>
            <w:tcW w:w="1232" w:type="dxa"/>
          </w:tcPr>
          <w:p w14:paraId="1B12A821">
            <w:pPr>
              <w:spacing w:line="360" w:lineRule="auto"/>
              <w:rPr>
                <w:color w:val="auto"/>
                <w:highlight w:val="none"/>
              </w:rPr>
            </w:pPr>
          </w:p>
        </w:tc>
        <w:tc>
          <w:tcPr>
            <w:tcW w:w="1232" w:type="dxa"/>
          </w:tcPr>
          <w:p w14:paraId="08586C97">
            <w:pPr>
              <w:spacing w:line="360" w:lineRule="auto"/>
              <w:rPr>
                <w:color w:val="auto"/>
                <w:highlight w:val="none"/>
              </w:rPr>
            </w:pPr>
          </w:p>
        </w:tc>
        <w:tc>
          <w:tcPr>
            <w:tcW w:w="1232" w:type="dxa"/>
          </w:tcPr>
          <w:p w14:paraId="156AF1A5">
            <w:pPr>
              <w:spacing w:line="360" w:lineRule="auto"/>
              <w:rPr>
                <w:color w:val="auto"/>
                <w:highlight w:val="none"/>
              </w:rPr>
            </w:pPr>
          </w:p>
        </w:tc>
        <w:tc>
          <w:tcPr>
            <w:tcW w:w="1232" w:type="dxa"/>
          </w:tcPr>
          <w:p w14:paraId="0E9F7D82">
            <w:pPr>
              <w:spacing w:line="360" w:lineRule="auto"/>
              <w:rPr>
                <w:color w:val="auto"/>
                <w:highlight w:val="none"/>
              </w:rPr>
            </w:pPr>
          </w:p>
        </w:tc>
        <w:tc>
          <w:tcPr>
            <w:tcW w:w="892" w:type="dxa"/>
          </w:tcPr>
          <w:p w14:paraId="02183E68">
            <w:pPr>
              <w:spacing w:line="360" w:lineRule="auto"/>
              <w:rPr>
                <w:color w:val="auto"/>
                <w:highlight w:val="none"/>
              </w:rPr>
            </w:pPr>
          </w:p>
        </w:tc>
      </w:tr>
      <w:tr w14:paraId="4C705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1" w:hRule="atLeast"/>
        </w:trPr>
        <w:tc>
          <w:tcPr>
            <w:tcW w:w="1232" w:type="dxa"/>
          </w:tcPr>
          <w:p w14:paraId="0B2291B8">
            <w:pPr>
              <w:spacing w:line="360" w:lineRule="auto"/>
              <w:jc w:val="center"/>
              <w:rPr>
                <w:color w:val="auto"/>
                <w:highlight w:val="none"/>
              </w:rPr>
            </w:pPr>
            <w:r>
              <w:rPr>
                <w:color w:val="auto"/>
                <w:highlight w:val="none"/>
              </w:rPr>
              <w:t>5</w:t>
            </w:r>
          </w:p>
        </w:tc>
        <w:tc>
          <w:tcPr>
            <w:tcW w:w="1232" w:type="dxa"/>
          </w:tcPr>
          <w:p w14:paraId="3755C589">
            <w:pPr>
              <w:spacing w:line="360" w:lineRule="auto"/>
              <w:rPr>
                <w:color w:val="auto"/>
                <w:highlight w:val="none"/>
              </w:rPr>
            </w:pPr>
          </w:p>
        </w:tc>
        <w:tc>
          <w:tcPr>
            <w:tcW w:w="1232" w:type="dxa"/>
          </w:tcPr>
          <w:p w14:paraId="01B93479">
            <w:pPr>
              <w:spacing w:line="360" w:lineRule="auto"/>
              <w:rPr>
                <w:color w:val="auto"/>
                <w:highlight w:val="none"/>
              </w:rPr>
            </w:pPr>
          </w:p>
        </w:tc>
        <w:tc>
          <w:tcPr>
            <w:tcW w:w="1232" w:type="dxa"/>
          </w:tcPr>
          <w:p w14:paraId="135F50B7">
            <w:pPr>
              <w:spacing w:line="360" w:lineRule="auto"/>
              <w:rPr>
                <w:color w:val="auto"/>
                <w:highlight w:val="none"/>
              </w:rPr>
            </w:pPr>
          </w:p>
        </w:tc>
        <w:tc>
          <w:tcPr>
            <w:tcW w:w="1232" w:type="dxa"/>
          </w:tcPr>
          <w:p w14:paraId="44542230">
            <w:pPr>
              <w:spacing w:line="360" w:lineRule="auto"/>
              <w:rPr>
                <w:color w:val="auto"/>
                <w:highlight w:val="none"/>
              </w:rPr>
            </w:pPr>
          </w:p>
        </w:tc>
        <w:tc>
          <w:tcPr>
            <w:tcW w:w="1232" w:type="dxa"/>
          </w:tcPr>
          <w:p w14:paraId="4D2CBF0E">
            <w:pPr>
              <w:spacing w:line="360" w:lineRule="auto"/>
              <w:rPr>
                <w:color w:val="auto"/>
                <w:highlight w:val="none"/>
              </w:rPr>
            </w:pPr>
          </w:p>
        </w:tc>
        <w:tc>
          <w:tcPr>
            <w:tcW w:w="1232" w:type="dxa"/>
          </w:tcPr>
          <w:p w14:paraId="23A2C71C">
            <w:pPr>
              <w:spacing w:line="360" w:lineRule="auto"/>
              <w:rPr>
                <w:color w:val="auto"/>
                <w:highlight w:val="none"/>
              </w:rPr>
            </w:pPr>
          </w:p>
        </w:tc>
        <w:tc>
          <w:tcPr>
            <w:tcW w:w="892" w:type="dxa"/>
          </w:tcPr>
          <w:p w14:paraId="04654501">
            <w:pPr>
              <w:spacing w:line="360" w:lineRule="auto"/>
              <w:rPr>
                <w:color w:val="auto"/>
                <w:highlight w:val="none"/>
              </w:rPr>
            </w:pPr>
          </w:p>
        </w:tc>
      </w:tr>
      <w:tr w14:paraId="1CDB2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6" w:hRule="atLeast"/>
        </w:trPr>
        <w:tc>
          <w:tcPr>
            <w:tcW w:w="1232" w:type="dxa"/>
          </w:tcPr>
          <w:p w14:paraId="32A9BC0F">
            <w:pPr>
              <w:spacing w:line="360" w:lineRule="auto"/>
              <w:rPr>
                <w:color w:val="auto"/>
                <w:highlight w:val="none"/>
              </w:rPr>
            </w:pPr>
            <w:r>
              <w:rPr>
                <w:color w:val="auto"/>
                <w:highlight w:val="none"/>
              </w:rPr>
              <w:t>...</w:t>
            </w:r>
          </w:p>
        </w:tc>
        <w:tc>
          <w:tcPr>
            <w:tcW w:w="1232" w:type="dxa"/>
          </w:tcPr>
          <w:p w14:paraId="430BBB8E">
            <w:pPr>
              <w:spacing w:line="360" w:lineRule="auto"/>
              <w:rPr>
                <w:color w:val="auto"/>
                <w:highlight w:val="none"/>
              </w:rPr>
            </w:pPr>
          </w:p>
        </w:tc>
        <w:tc>
          <w:tcPr>
            <w:tcW w:w="1232" w:type="dxa"/>
          </w:tcPr>
          <w:p w14:paraId="0469C0E1">
            <w:pPr>
              <w:spacing w:line="360" w:lineRule="auto"/>
              <w:rPr>
                <w:color w:val="auto"/>
                <w:highlight w:val="none"/>
              </w:rPr>
            </w:pPr>
          </w:p>
        </w:tc>
        <w:tc>
          <w:tcPr>
            <w:tcW w:w="1232" w:type="dxa"/>
          </w:tcPr>
          <w:p w14:paraId="65C1EF86">
            <w:pPr>
              <w:spacing w:line="360" w:lineRule="auto"/>
              <w:rPr>
                <w:color w:val="auto"/>
                <w:highlight w:val="none"/>
              </w:rPr>
            </w:pPr>
          </w:p>
        </w:tc>
        <w:tc>
          <w:tcPr>
            <w:tcW w:w="1232" w:type="dxa"/>
          </w:tcPr>
          <w:p w14:paraId="35067FB7">
            <w:pPr>
              <w:spacing w:line="360" w:lineRule="auto"/>
              <w:rPr>
                <w:color w:val="auto"/>
                <w:highlight w:val="none"/>
              </w:rPr>
            </w:pPr>
          </w:p>
        </w:tc>
        <w:tc>
          <w:tcPr>
            <w:tcW w:w="1232" w:type="dxa"/>
          </w:tcPr>
          <w:p w14:paraId="6BB49D72">
            <w:pPr>
              <w:spacing w:line="360" w:lineRule="auto"/>
              <w:rPr>
                <w:color w:val="auto"/>
                <w:highlight w:val="none"/>
              </w:rPr>
            </w:pPr>
          </w:p>
        </w:tc>
        <w:tc>
          <w:tcPr>
            <w:tcW w:w="1232" w:type="dxa"/>
          </w:tcPr>
          <w:p w14:paraId="7F55C883">
            <w:pPr>
              <w:spacing w:line="360" w:lineRule="auto"/>
              <w:rPr>
                <w:color w:val="auto"/>
                <w:highlight w:val="none"/>
              </w:rPr>
            </w:pPr>
          </w:p>
        </w:tc>
        <w:tc>
          <w:tcPr>
            <w:tcW w:w="892" w:type="dxa"/>
          </w:tcPr>
          <w:p w14:paraId="7063CDF6">
            <w:pPr>
              <w:spacing w:line="360" w:lineRule="auto"/>
              <w:rPr>
                <w:color w:val="auto"/>
                <w:highlight w:val="none"/>
              </w:rPr>
            </w:pPr>
          </w:p>
        </w:tc>
      </w:tr>
    </w:tbl>
    <w:p w14:paraId="4B26A003">
      <w:pPr>
        <w:spacing w:line="360" w:lineRule="auto"/>
        <w:ind w:firstLine="480"/>
        <w:rPr>
          <w:color w:val="auto"/>
          <w:highlight w:val="none"/>
        </w:rPr>
      </w:pPr>
      <w:r>
        <w:rPr>
          <w:color w:val="auto"/>
          <w:highlight w:val="none"/>
        </w:rPr>
        <w:t>注：</w:t>
      </w:r>
    </w:p>
    <w:p w14:paraId="7794E086">
      <w:pPr>
        <w:spacing w:line="360" w:lineRule="auto"/>
        <w:ind w:firstLine="480"/>
        <w:rPr>
          <w:color w:val="auto"/>
          <w:highlight w:val="none"/>
        </w:rPr>
      </w:pPr>
      <w:r>
        <w:rPr>
          <w:color w:val="auto"/>
          <w:highlight w:val="none"/>
        </w:rPr>
        <w:t>1.制造商为小型或微型企业时才需要填“制造商企业类型”栏,填写内容为“小型”或“微型”；</w:t>
      </w:r>
    </w:p>
    <w:p w14:paraId="7654CADE">
      <w:pPr>
        <w:spacing w:line="360" w:lineRule="auto"/>
        <w:ind w:firstLine="480"/>
        <w:rPr>
          <w:rFonts w:ascii="宋体" w:hAnsi="宋体"/>
          <w:color w:val="auto"/>
          <w:szCs w:val="21"/>
          <w:highlight w:val="none"/>
        </w:rPr>
      </w:pPr>
      <w:r>
        <w:rPr>
          <w:color w:val="auto"/>
          <w:highlight w:val="none"/>
        </w:rPr>
        <w:t>2.“节能产品、环保标志产品”须填写认证证书编号，并在对应“节能产品”、“环保标志产品”栏中勾选，同时提供有效期内的证书复印件（加盖供应商公章）</w:t>
      </w:r>
      <w:r>
        <w:rPr>
          <w:rFonts w:hint="eastAsia" w:ascii="宋体" w:hAnsi="宋体"/>
          <w:color w:val="auto"/>
          <w:szCs w:val="21"/>
          <w:highlight w:val="none"/>
          <w:lang w:val="en-GB"/>
        </w:rPr>
        <w:t>。</w:t>
      </w:r>
    </w:p>
    <w:p w14:paraId="65A12A5B">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供应商名称(并加盖公章)：</w:t>
      </w:r>
    </w:p>
    <w:p w14:paraId="100A6C76">
      <w:pPr>
        <w:widowControl/>
        <w:autoSpaceDE w:val="0"/>
        <w:autoSpaceDN w:val="0"/>
        <w:spacing w:line="360" w:lineRule="auto"/>
        <w:ind w:right="893"/>
        <w:textAlignment w:val="bottom"/>
        <w:rPr>
          <w:rFonts w:ascii="宋体" w:hAnsi="宋体"/>
          <w:color w:val="auto"/>
          <w:highlight w:val="none"/>
        </w:rPr>
      </w:pPr>
      <w:r>
        <w:rPr>
          <w:rFonts w:hint="eastAsia" w:ascii="宋体" w:hAnsi="宋体" w:cs="Arial"/>
          <w:color w:val="auto"/>
          <w:highlight w:val="none"/>
        </w:rPr>
        <w:t>供应商法定代表人或其委托人签名或印鉴：</w:t>
      </w:r>
    </w:p>
    <w:p w14:paraId="064E0880">
      <w:pPr>
        <w:spacing w:line="360" w:lineRule="auto"/>
        <w:rPr>
          <w:rFonts w:ascii="宋体" w:hAnsi="宋体"/>
          <w:color w:val="auto"/>
          <w:highlight w:val="none"/>
        </w:rPr>
      </w:pPr>
      <w:r>
        <w:rPr>
          <w:rFonts w:hint="eastAsia" w:ascii="宋体" w:hAnsi="宋体" w:cs="Arial"/>
          <w:color w:val="auto"/>
          <w:highlight w:val="none"/>
        </w:rPr>
        <w:t>日期：</w:t>
      </w:r>
    </w:p>
    <w:p w14:paraId="49CCD05C">
      <w:pPr>
        <w:pStyle w:val="3"/>
        <w:keepNext w:val="0"/>
        <w:keepLines w:val="0"/>
        <w:tabs>
          <w:tab w:val="left" w:pos="567"/>
        </w:tabs>
        <w:ind w:firstLine="0"/>
        <w:jc w:val="left"/>
        <w:rPr>
          <w:rFonts w:hAnsi="宋体"/>
          <w:color w:val="auto"/>
          <w:sz w:val="21"/>
          <w:szCs w:val="21"/>
          <w:highlight w:val="none"/>
        </w:rPr>
      </w:pPr>
      <w:r>
        <w:rPr>
          <w:rFonts w:hAnsi="宋体"/>
          <w:color w:val="auto"/>
          <w:sz w:val="21"/>
          <w:szCs w:val="21"/>
          <w:highlight w:val="none"/>
        </w:rPr>
        <w:br w:type="page"/>
      </w:r>
      <w:bookmarkStart w:id="275" w:name="_Toc511812834"/>
      <w:bookmarkStart w:id="276" w:name="_Toc29597"/>
      <w:bookmarkStart w:id="277" w:name="_Toc67046902"/>
      <w:bookmarkStart w:id="278" w:name="_Toc511808510"/>
      <w:r>
        <w:rPr>
          <w:rFonts w:hint="eastAsia" w:hAnsi="宋体"/>
          <w:color w:val="auto"/>
          <w:sz w:val="21"/>
          <w:szCs w:val="21"/>
          <w:highlight w:val="none"/>
        </w:rPr>
        <w:t>附表1：中小企业声明函（中小微型企业适用；事业单位、民办非企业单位参与磋商的，其本身不作为扶持对象）</w:t>
      </w:r>
      <w:bookmarkEnd w:id="275"/>
      <w:bookmarkEnd w:id="276"/>
      <w:bookmarkEnd w:id="277"/>
      <w:bookmarkEnd w:id="278"/>
    </w:p>
    <w:p w14:paraId="1AA81A74">
      <w:pPr>
        <w:autoSpaceDE w:val="0"/>
        <w:autoSpaceDN w:val="0"/>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中小企业声明函</w:t>
      </w:r>
    </w:p>
    <w:p w14:paraId="40402BEF">
      <w:pPr>
        <w:spacing w:line="300" w:lineRule="auto"/>
        <w:ind w:firstLine="444" w:firstLineChars="200"/>
        <w:rPr>
          <w:rFonts w:ascii="宋体" w:hAnsi="宋体"/>
          <w:color w:val="auto"/>
          <w:spacing w:val="6"/>
          <w:highlight w:val="none"/>
        </w:rPr>
      </w:pPr>
      <w:r>
        <w:rPr>
          <w:rFonts w:hint="eastAsia" w:ascii="宋体" w:hAnsi="宋体"/>
          <w:color w:val="auto"/>
          <w:spacing w:val="6"/>
          <w:highlight w:val="none"/>
        </w:rPr>
        <w:t>本公司（联合体）郑重声明，根据《政府采购促进中小企业发展管理办法》（财库﹝2020﹞46</w:t>
      </w:r>
      <w:r>
        <w:rPr>
          <w:rFonts w:hint="eastAsia" w:ascii="宋体" w:hAnsi="宋体"/>
          <w:color w:val="auto"/>
          <w:spacing w:val="6"/>
          <w:highlight w:val="none"/>
        </w:rPr>
        <w:tab/>
      </w:r>
      <w:r>
        <w:rPr>
          <w:rFonts w:hint="eastAsia" w:ascii="宋体" w:hAnsi="宋体"/>
          <w:color w:val="auto"/>
          <w:spacing w:val="6"/>
          <w:highlight w:val="none"/>
        </w:rPr>
        <w:tab/>
      </w:r>
      <w:r>
        <w:rPr>
          <w:rFonts w:hint="eastAsia" w:ascii="宋体" w:hAnsi="宋体"/>
          <w:color w:val="auto"/>
          <w:spacing w:val="6"/>
          <w:highlight w:val="none"/>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13A5CE3">
      <w:pPr>
        <w:spacing w:line="300" w:lineRule="auto"/>
        <w:ind w:firstLine="444" w:firstLineChars="200"/>
        <w:rPr>
          <w:rFonts w:ascii="宋体" w:hAnsi="宋体"/>
          <w:color w:val="auto"/>
          <w:spacing w:val="6"/>
          <w:highlight w:val="none"/>
        </w:rPr>
      </w:pPr>
      <w:r>
        <w:rPr>
          <w:rFonts w:hint="eastAsia" w:ascii="宋体" w:hAnsi="宋体"/>
          <w:color w:val="auto"/>
          <w:spacing w:val="6"/>
          <w:highlight w:val="none"/>
        </w:rPr>
        <w:t>1.</w:t>
      </w:r>
      <w:r>
        <w:rPr>
          <w:rFonts w:hint="eastAsia" w:ascii="宋体" w:hAnsi="宋体"/>
          <w:color w:val="auto"/>
          <w:spacing w:val="6"/>
          <w:highlight w:val="none"/>
          <w:u w:val="single"/>
        </w:rPr>
        <w:t>（</w:t>
      </w:r>
      <w:r>
        <w:rPr>
          <w:rFonts w:hint="eastAsia" w:ascii="宋体" w:hAnsi="宋体"/>
          <w:color w:val="auto"/>
          <w:spacing w:val="6"/>
          <w:highlight w:val="none"/>
          <w:u w:val="single"/>
          <w:lang w:eastAsia="zh-CN"/>
        </w:rPr>
        <w:t>2025年万顷沙镇生活垃圾分类督导服务项目</w:t>
      </w:r>
      <w:r>
        <w:rPr>
          <w:rFonts w:hint="eastAsia" w:ascii="宋体" w:hAnsi="宋体"/>
          <w:color w:val="auto"/>
          <w:spacing w:val="6"/>
          <w:highlight w:val="none"/>
          <w:u w:val="single"/>
        </w:rPr>
        <w:t>）</w:t>
      </w:r>
      <w:r>
        <w:rPr>
          <w:rFonts w:hint="eastAsia" w:ascii="宋体" w:hAnsi="宋体"/>
          <w:color w:val="auto"/>
          <w:spacing w:val="6"/>
          <w:highlight w:val="none"/>
        </w:rPr>
        <w:t>，属于</w:t>
      </w:r>
      <w:r>
        <w:rPr>
          <w:rFonts w:hint="eastAsia" w:ascii="宋体" w:hAnsi="宋体"/>
          <w:color w:val="auto"/>
          <w:spacing w:val="6"/>
          <w:highlight w:val="none"/>
          <w:u w:val="single"/>
        </w:rPr>
        <w:t>（其他未列明）</w:t>
      </w:r>
      <w:r>
        <w:rPr>
          <w:rFonts w:hint="eastAsia" w:ascii="宋体" w:hAnsi="宋体"/>
          <w:color w:val="auto"/>
          <w:spacing w:val="6"/>
          <w:highlight w:val="none"/>
        </w:rPr>
        <w:t>行业；承建（承接）企业为</w:t>
      </w:r>
      <w:r>
        <w:rPr>
          <w:rFonts w:hint="eastAsia" w:ascii="宋体" w:hAnsi="宋体"/>
          <w:color w:val="auto"/>
          <w:spacing w:val="6"/>
          <w:highlight w:val="none"/>
          <w:u w:val="single"/>
        </w:rPr>
        <w:t>（企业名称）</w:t>
      </w:r>
      <w:r>
        <w:rPr>
          <w:rFonts w:hint="eastAsia" w:ascii="宋体" w:hAnsi="宋体"/>
          <w:color w:val="auto"/>
          <w:spacing w:val="6"/>
          <w:highlight w:val="none"/>
        </w:rPr>
        <w:t>，从业人员__________________人，营业收入为__________________万元，资产总额为__________________万元1，属于（中型企业、小型企业、微型企业）；</w:t>
      </w:r>
    </w:p>
    <w:p w14:paraId="1E74CE2E">
      <w:pPr>
        <w:spacing w:line="300" w:lineRule="auto"/>
        <w:ind w:firstLine="444" w:firstLineChars="200"/>
        <w:rPr>
          <w:rFonts w:ascii="宋体" w:hAnsi="宋体"/>
          <w:color w:val="auto"/>
          <w:spacing w:val="6"/>
          <w:highlight w:val="none"/>
        </w:rPr>
      </w:pPr>
      <w:r>
        <w:rPr>
          <w:rFonts w:hint="eastAsia" w:ascii="宋体" w:hAnsi="宋体"/>
          <w:color w:val="auto"/>
          <w:spacing w:val="6"/>
          <w:highlight w:val="none"/>
        </w:rPr>
        <w:t>2.（标的名称），属于（磋商文件中明确的所属行业）行业；承建（承接）企业为（企业名称），从业人员__________________人，营业收入为__________________万元，资产总额为__________________万元1，属于（中型企业、小型企业、微型企业）；</w:t>
      </w:r>
    </w:p>
    <w:p w14:paraId="347DD31F">
      <w:pPr>
        <w:spacing w:line="300" w:lineRule="auto"/>
        <w:ind w:firstLine="444" w:firstLineChars="200"/>
        <w:rPr>
          <w:rFonts w:ascii="宋体" w:hAnsi="宋体"/>
          <w:color w:val="auto"/>
          <w:spacing w:val="6"/>
          <w:highlight w:val="none"/>
        </w:rPr>
      </w:pPr>
      <w:r>
        <w:rPr>
          <w:rFonts w:hint="eastAsia" w:ascii="宋体" w:hAnsi="宋体"/>
          <w:color w:val="auto"/>
          <w:spacing w:val="6"/>
          <w:highlight w:val="none"/>
        </w:rPr>
        <w:t>……</w:t>
      </w:r>
    </w:p>
    <w:p w14:paraId="58BED3B7">
      <w:pPr>
        <w:spacing w:line="300" w:lineRule="auto"/>
        <w:ind w:firstLine="444" w:firstLineChars="200"/>
        <w:rPr>
          <w:rFonts w:ascii="宋体" w:hAnsi="宋体"/>
          <w:color w:val="auto"/>
          <w:spacing w:val="6"/>
          <w:highlight w:val="none"/>
        </w:rPr>
      </w:pPr>
      <w:r>
        <w:rPr>
          <w:rFonts w:hint="eastAsia" w:ascii="宋体" w:hAnsi="宋体"/>
          <w:color w:val="auto"/>
          <w:spacing w:val="6"/>
          <w:highlight w:val="none"/>
        </w:rPr>
        <w:t>以上企业，不属于大企业的分支机构，不存在控股股东为大企业的情形，也不存在与大企业的负责人为同一人的情形。</w:t>
      </w:r>
    </w:p>
    <w:p w14:paraId="64268FE8">
      <w:pPr>
        <w:spacing w:line="300" w:lineRule="auto"/>
        <w:ind w:firstLine="444" w:firstLineChars="200"/>
        <w:rPr>
          <w:rFonts w:ascii="宋体" w:hAnsi="宋体"/>
          <w:color w:val="auto"/>
          <w:spacing w:val="6"/>
          <w:highlight w:val="none"/>
        </w:rPr>
      </w:pPr>
      <w:r>
        <w:rPr>
          <w:rFonts w:hint="eastAsia" w:ascii="宋体" w:hAnsi="宋体"/>
          <w:color w:val="auto"/>
          <w:spacing w:val="6"/>
          <w:highlight w:val="none"/>
        </w:rPr>
        <w:t>本企业对上述声明内容的真实性负责。如有虚假，将依法承担相应责任。</w:t>
      </w:r>
    </w:p>
    <w:p w14:paraId="7D56420C">
      <w:pPr>
        <w:spacing w:line="300" w:lineRule="auto"/>
        <w:ind w:firstLine="444" w:firstLineChars="200"/>
        <w:rPr>
          <w:rFonts w:ascii="宋体" w:hAnsi="宋体"/>
          <w:color w:val="auto"/>
          <w:spacing w:val="6"/>
          <w:highlight w:val="none"/>
        </w:rPr>
      </w:pPr>
      <w:r>
        <w:rPr>
          <w:rFonts w:hint="eastAsia" w:ascii="宋体" w:hAnsi="宋体"/>
          <w:color w:val="auto"/>
          <w:spacing w:val="6"/>
          <w:highlight w:val="none"/>
        </w:rPr>
        <w:t xml:space="preserve"> 企业名称（盖章）：__________________</w:t>
      </w:r>
    </w:p>
    <w:p w14:paraId="5BABE734">
      <w:pPr>
        <w:spacing w:line="300" w:lineRule="auto"/>
        <w:ind w:firstLine="444" w:firstLineChars="200"/>
        <w:rPr>
          <w:rFonts w:ascii="宋体" w:hAnsi="宋体"/>
          <w:color w:val="auto"/>
          <w:spacing w:val="6"/>
          <w:highlight w:val="none"/>
        </w:rPr>
      </w:pPr>
      <w:r>
        <w:rPr>
          <w:rFonts w:hint="eastAsia" w:ascii="宋体" w:hAnsi="宋体"/>
          <w:color w:val="auto"/>
          <w:spacing w:val="6"/>
          <w:highlight w:val="none"/>
        </w:rPr>
        <w:t xml:space="preserve"> 日  期：__________________</w:t>
      </w:r>
    </w:p>
    <w:p w14:paraId="627B9503">
      <w:pPr>
        <w:spacing w:line="300" w:lineRule="auto"/>
        <w:ind w:firstLine="444" w:firstLineChars="200"/>
        <w:rPr>
          <w:rFonts w:ascii="宋体" w:hAnsi="宋体"/>
          <w:color w:val="auto"/>
          <w:spacing w:val="6"/>
          <w:highlight w:val="none"/>
        </w:rPr>
      </w:pPr>
      <w:r>
        <w:rPr>
          <w:rFonts w:hint="eastAsia" w:ascii="宋体" w:hAnsi="宋体"/>
          <w:color w:val="auto"/>
          <w:spacing w:val="6"/>
          <w:highlight w:val="none"/>
        </w:rPr>
        <w:t>1：从业人员、营业收入、资产总额填报上一年度数据，无上一年度数据的新成立企业可不填报。</w:t>
      </w:r>
    </w:p>
    <w:p w14:paraId="0CC1E52E">
      <w:pPr>
        <w:spacing w:line="300" w:lineRule="auto"/>
        <w:ind w:firstLine="444" w:firstLineChars="200"/>
        <w:rPr>
          <w:rFonts w:ascii="宋体" w:hAnsi="宋体"/>
          <w:color w:val="auto"/>
          <w:spacing w:val="6"/>
          <w:highlight w:val="none"/>
        </w:rPr>
      </w:pPr>
      <w:r>
        <w:rPr>
          <w:rFonts w:hint="eastAsia" w:ascii="宋体" w:hAnsi="宋体"/>
          <w:color w:val="auto"/>
          <w:spacing w:val="6"/>
          <w:highlight w:val="none"/>
        </w:rPr>
        <w:t xml:space="preserve">2：供应商应当自行核实是否属于小微企业，并认真填写声明函，若有虚假将追究其责任。 </w:t>
      </w:r>
    </w:p>
    <w:p w14:paraId="762FC3EC">
      <w:pPr>
        <w:spacing w:line="300" w:lineRule="auto"/>
        <w:ind w:firstLine="444" w:firstLineChars="200"/>
        <w:rPr>
          <w:rFonts w:ascii="宋体" w:hAnsi="宋体"/>
          <w:color w:val="auto"/>
          <w:spacing w:val="6"/>
          <w:highlight w:val="none"/>
        </w:rPr>
      </w:pPr>
      <w:r>
        <w:rPr>
          <w:rFonts w:hint="eastAsia" w:ascii="宋体" w:hAnsi="宋体"/>
          <w:color w:val="auto"/>
          <w:spacing w:val="6"/>
          <w:highlight w:val="none"/>
        </w:rPr>
        <w:t xml:space="preserve"> </w:t>
      </w:r>
    </w:p>
    <w:p w14:paraId="7E17F4CA">
      <w:pPr>
        <w:spacing w:line="300" w:lineRule="auto"/>
        <w:ind w:firstLine="444" w:firstLineChars="200"/>
        <w:rPr>
          <w:rFonts w:ascii="宋体" w:hAnsi="宋体"/>
          <w:color w:val="auto"/>
          <w:spacing w:val="6"/>
          <w:highlight w:val="none"/>
        </w:rPr>
      </w:pPr>
      <w:r>
        <w:rPr>
          <w:rFonts w:hint="eastAsia" w:ascii="宋体" w:hAnsi="宋体"/>
          <w:color w:val="auto"/>
          <w:spacing w:val="6"/>
          <w:highlight w:val="none"/>
        </w:rPr>
        <w:t xml:space="preserve"> </w:t>
      </w:r>
    </w:p>
    <w:p w14:paraId="4AB2338C">
      <w:pPr>
        <w:spacing w:line="300" w:lineRule="auto"/>
        <w:ind w:firstLine="420" w:firstLineChars="200"/>
        <w:rPr>
          <w:rFonts w:ascii="宋体" w:hAnsi="宋体"/>
          <w:color w:val="auto"/>
          <w:spacing w:val="6"/>
          <w:highlight w:val="none"/>
        </w:rPr>
      </w:pPr>
      <w:r>
        <w:rPr>
          <w:rFonts w:hint="eastAsia" w:ascii="宋体" w:hAnsi="宋体"/>
          <w:b/>
          <w:bCs/>
          <w:color w:val="auto"/>
          <w:highlight w:val="none"/>
        </w:rPr>
        <w:t>供应商代表签字及盖公章：</w:t>
      </w:r>
    </w:p>
    <w:p w14:paraId="4B5022D1">
      <w:pPr>
        <w:spacing w:line="300" w:lineRule="auto"/>
        <w:ind w:firstLine="444" w:firstLineChars="200"/>
        <w:rPr>
          <w:rFonts w:ascii="宋体" w:hAnsi="宋体"/>
          <w:b/>
          <w:color w:val="auto"/>
          <w:spacing w:val="6"/>
          <w:highlight w:val="none"/>
        </w:rPr>
      </w:pPr>
      <w:r>
        <w:rPr>
          <w:rFonts w:hint="eastAsia" w:ascii="宋体" w:hAnsi="宋体"/>
          <w:b/>
          <w:color w:val="auto"/>
          <w:spacing w:val="6"/>
          <w:highlight w:val="none"/>
        </w:rPr>
        <w:t>日期：</w:t>
      </w:r>
    </w:p>
    <w:p w14:paraId="3850B19F">
      <w:pPr>
        <w:spacing w:line="300" w:lineRule="auto"/>
        <w:ind w:firstLine="444" w:firstLineChars="200"/>
        <w:rPr>
          <w:rFonts w:ascii="宋体" w:hAnsi="宋体"/>
          <w:b/>
          <w:color w:val="auto"/>
          <w:spacing w:val="6"/>
          <w:highlight w:val="none"/>
        </w:rPr>
      </w:pPr>
      <w:r>
        <w:rPr>
          <w:rFonts w:hint="eastAsia" w:ascii="宋体" w:hAnsi="宋体"/>
          <w:b/>
          <w:color w:val="auto"/>
          <w:spacing w:val="6"/>
          <w:highlight w:val="none"/>
        </w:rPr>
        <w:t xml:space="preserve"> </w:t>
      </w:r>
    </w:p>
    <w:p w14:paraId="2EC6F743">
      <w:pPr>
        <w:spacing w:line="300" w:lineRule="auto"/>
        <w:ind w:firstLine="444" w:firstLineChars="200"/>
        <w:rPr>
          <w:rFonts w:ascii="宋体" w:hAnsi="宋体"/>
          <w:b/>
          <w:color w:val="auto"/>
          <w:spacing w:val="6"/>
          <w:highlight w:val="none"/>
        </w:rPr>
      </w:pPr>
    </w:p>
    <w:p w14:paraId="79050145">
      <w:pPr>
        <w:spacing w:line="300" w:lineRule="auto"/>
        <w:ind w:firstLine="444" w:firstLineChars="200"/>
        <w:rPr>
          <w:rFonts w:ascii="宋体" w:hAnsi="宋体"/>
          <w:b/>
          <w:color w:val="auto"/>
          <w:spacing w:val="6"/>
          <w:highlight w:val="none"/>
        </w:rPr>
      </w:pPr>
      <w:r>
        <w:rPr>
          <w:rFonts w:hint="eastAsia" w:ascii="宋体" w:hAnsi="宋体"/>
          <w:b/>
          <w:color w:val="auto"/>
          <w:spacing w:val="6"/>
          <w:highlight w:val="none"/>
        </w:rPr>
        <w:t xml:space="preserve"> </w:t>
      </w:r>
    </w:p>
    <w:p w14:paraId="4BF55215">
      <w:pPr>
        <w:pStyle w:val="16"/>
        <w:spacing w:line="300" w:lineRule="auto"/>
        <w:ind w:firstLine="480" w:firstLineChars="200"/>
        <w:rPr>
          <w:rFonts w:hAnsi="宋体"/>
          <w:b/>
          <w:color w:val="auto"/>
          <w:highlight w:val="none"/>
        </w:rPr>
      </w:pPr>
      <w:r>
        <w:rPr>
          <w:rFonts w:hint="eastAsia" w:hAnsi="宋体"/>
          <w:b/>
          <w:color w:val="auto"/>
          <w:highlight w:val="none"/>
        </w:rPr>
        <w:t>注：1、本声明函对中小企业参与政府采购活动时适用。</w:t>
      </w:r>
    </w:p>
    <w:p w14:paraId="09C4A7B6">
      <w:pPr>
        <w:pStyle w:val="16"/>
        <w:spacing w:line="300" w:lineRule="auto"/>
        <w:ind w:firstLine="480" w:firstLineChars="200"/>
        <w:rPr>
          <w:rFonts w:hAnsi="宋体"/>
          <w:b/>
          <w:color w:val="auto"/>
          <w:highlight w:val="none"/>
        </w:rPr>
      </w:pPr>
      <w:r>
        <w:rPr>
          <w:rFonts w:hint="eastAsia" w:hAnsi="宋体"/>
          <w:b/>
          <w:color w:val="auto"/>
          <w:highlight w:val="none"/>
        </w:rPr>
        <w:tab/>
      </w:r>
      <w:r>
        <w:rPr>
          <w:rFonts w:hint="eastAsia" w:hAnsi="宋体"/>
          <w:b/>
          <w:color w:val="auto"/>
          <w:highlight w:val="none"/>
        </w:rPr>
        <w:t xml:space="preserve">2、如果供应商不是中小企业的，可不提供该中小企业声明函。 </w:t>
      </w:r>
    </w:p>
    <w:p w14:paraId="75DCB852">
      <w:pPr>
        <w:spacing w:line="360" w:lineRule="auto"/>
        <w:jc w:val="left"/>
        <w:rPr>
          <w:rFonts w:ascii="宋体" w:hAnsi="宋体"/>
          <w:color w:val="auto"/>
          <w:szCs w:val="21"/>
          <w:highlight w:val="none"/>
        </w:rPr>
      </w:pPr>
      <w:r>
        <w:rPr>
          <w:rFonts w:ascii="宋体" w:hAnsi="宋体"/>
          <w:color w:val="auto"/>
          <w:szCs w:val="21"/>
          <w:highlight w:val="none"/>
        </w:rPr>
        <w:br w:type="page"/>
      </w:r>
      <w:bookmarkStart w:id="279" w:name="_Toc511812835"/>
      <w:bookmarkStart w:id="280" w:name="_Toc511808511"/>
      <w:r>
        <w:rPr>
          <w:rFonts w:hint="eastAsia" w:ascii="宋体" w:hAnsi="宋体"/>
          <w:color w:val="auto"/>
          <w:szCs w:val="21"/>
          <w:highlight w:val="none"/>
        </w:rPr>
        <w:t>温馨提醒：</w:t>
      </w:r>
    </w:p>
    <w:p w14:paraId="42D5D3F5">
      <w:pPr>
        <w:spacing w:line="360" w:lineRule="auto"/>
        <w:jc w:val="left"/>
        <w:rPr>
          <w:rFonts w:ascii="宋体" w:hAnsi="宋体"/>
          <w:color w:val="auto"/>
          <w:szCs w:val="21"/>
          <w:highlight w:val="none"/>
        </w:rPr>
      </w:pPr>
      <w:r>
        <w:rPr>
          <w:rFonts w:hint="eastAsia" w:ascii="宋体" w:hAnsi="宋体"/>
          <w:color w:val="auto"/>
          <w:szCs w:val="21"/>
          <w:highlight w:val="none"/>
        </w:rPr>
        <w:t>1、供应商应查询具体政策规定内容,根据企业实际情况判断,如不属于法规规定的小微企业无需提供中小企业声明函。</w:t>
      </w:r>
    </w:p>
    <w:p w14:paraId="24E0528B">
      <w:pPr>
        <w:spacing w:line="360" w:lineRule="auto"/>
        <w:jc w:val="left"/>
        <w:rPr>
          <w:rFonts w:ascii="宋体" w:hAnsi="宋体"/>
          <w:color w:val="auto"/>
          <w:szCs w:val="21"/>
          <w:highlight w:val="none"/>
        </w:rPr>
      </w:pPr>
      <w:r>
        <w:rPr>
          <w:rFonts w:hint="eastAsia" w:ascii="宋体" w:hAnsi="宋体"/>
          <w:color w:val="auto"/>
          <w:szCs w:val="21"/>
          <w:highlight w:val="none"/>
        </w:rPr>
        <w:t>2、为方便广大中小企业，可参考小微企业名录(</w:t>
      </w:r>
      <w:r>
        <w:rPr>
          <w:color w:val="auto"/>
          <w:highlight w:val="none"/>
        </w:rPr>
        <w:fldChar w:fldCharType="begin"/>
      </w:r>
      <w:r>
        <w:rPr>
          <w:color w:val="auto"/>
          <w:highlight w:val="none"/>
        </w:rPr>
        <w:instrText xml:space="preserve"> HYPERLINK "http://xwqy.gsxt.gov.cn" </w:instrText>
      </w:r>
      <w:r>
        <w:rPr>
          <w:color w:val="auto"/>
          <w:highlight w:val="none"/>
        </w:rPr>
        <w:fldChar w:fldCharType="separate"/>
      </w:r>
      <w:r>
        <w:rPr>
          <w:rFonts w:hint="eastAsia" w:ascii="宋体" w:hAnsi="宋体"/>
          <w:color w:val="auto"/>
          <w:szCs w:val="21"/>
          <w:highlight w:val="none"/>
        </w:rPr>
        <w:t>http://xwqy.gsxt.gov.cn</w:t>
      </w:r>
      <w:r>
        <w:rPr>
          <w:rFonts w:hint="eastAsia" w:ascii="宋体" w:hAnsi="宋体"/>
          <w:color w:val="auto"/>
          <w:szCs w:val="21"/>
          <w:highlight w:val="none"/>
        </w:rPr>
        <w:fldChar w:fldCharType="end"/>
      </w:r>
      <w:r>
        <w:rPr>
          <w:rFonts w:hint="eastAsia" w:ascii="宋体" w:hAnsi="宋体"/>
          <w:color w:val="auto"/>
          <w:szCs w:val="21"/>
          <w:highlight w:val="none"/>
        </w:rPr>
        <w:t>)中的相关数据信息。</w:t>
      </w:r>
    </w:p>
    <w:p w14:paraId="3B3A8043">
      <w:pPr>
        <w:spacing w:line="360" w:lineRule="auto"/>
        <w:jc w:val="left"/>
        <w:rPr>
          <w:rFonts w:ascii="宋体" w:hAnsi="宋体"/>
          <w:color w:val="auto"/>
          <w:szCs w:val="21"/>
          <w:highlight w:val="none"/>
        </w:rPr>
      </w:pPr>
      <w:r>
        <w:rPr>
          <w:rFonts w:hint="eastAsia" w:ascii="宋体" w:hAnsi="宋体"/>
          <w:color w:val="auto"/>
          <w:szCs w:val="21"/>
          <w:highlight w:val="none"/>
        </w:rPr>
        <w:t>3、供应商提供声明函内容不实的，属于提供虚假材料谋取中标、成交。如被发现提供虚假声明的,采购人将上报财政监管部门,一切法律后果由供应商自行承担。</w:t>
      </w:r>
    </w:p>
    <w:p w14:paraId="413B76E5">
      <w:pPr>
        <w:pStyle w:val="3"/>
        <w:keepNext w:val="0"/>
        <w:keepLines w:val="0"/>
        <w:tabs>
          <w:tab w:val="left" w:pos="567"/>
        </w:tabs>
        <w:spacing w:before="0" w:after="0"/>
        <w:ind w:firstLine="0"/>
        <w:jc w:val="left"/>
        <w:rPr>
          <w:rFonts w:hAnsi="宋体"/>
          <w:color w:val="auto"/>
          <w:sz w:val="21"/>
          <w:szCs w:val="21"/>
          <w:highlight w:val="none"/>
        </w:rPr>
      </w:pPr>
    </w:p>
    <w:p w14:paraId="6243A3FC">
      <w:pPr>
        <w:pStyle w:val="3"/>
        <w:keepNext w:val="0"/>
        <w:keepLines w:val="0"/>
        <w:tabs>
          <w:tab w:val="left" w:pos="567"/>
        </w:tabs>
        <w:ind w:firstLine="0"/>
        <w:jc w:val="left"/>
        <w:rPr>
          <w:rFonts w:hAnsi="宋体"/>
          <w:color w:val="auto"/>
          <w:sz w:val="21"/>
          <w:szCs w:val="21"/>
          <w:highlight w:val="none"/>
        </w:rPr>
      </w:pPr>
      <w:r>
        <w:rPr>
          <w:rFonts w:hAnsi="宋体"/>
          <w:color w:val="auto"/>
          <w:sz w:val="21"/>
          <w:szCs w:val="21"/>
          <w:highlight w:val="none"/>
        </w:rPr>
        <w:br w:type="page"/>
      </w:r>
      <w:bookmarkStart w:id="281" w:name="_Toc32698"/>
      <w:bookmarkStart w:id="282" w:name="_Toc67046903"/>
      <w:r>
        <w:rPr>
          <w:rFonts w:hint="eastAsia" w:hAnsi="宋体"/>
          <w:color w:val="auto"/>
          <w:sz w:val="21"/>
          <w:szCs w:val="21"/>
          <w:highlight w:val="none"/>
        </w:rPr>
        <w:t>附表2：残疾人福利性单位声明函</w:t>
      </w:r>
      <w:bookmarkEnd w:id="279"/>
      <w:bookmarkEnd w:id="280"/>
      <w:bookmarkEnd w:id="281"/>
      <w:bookmarkEnd w:id="282"/>
    </w:p>
    <w:p w14:paraId="36FC8A48">
      <w:pPr>
        <w:spacing w:line="720" w:lineRule="auto"/>
        <w:ind w:firstLine="420" w:firstLineChars="200"/>
        <w:jc w:val="center"/>
        <w:rPr>
          <w:rFonts w:ascii="宋体" w:hAnsi="宋体"/>
          <w:color w:val="auto"/>
          <w:szCs w:val="21"/>
          <w:highlight w:val="none"/>
        </w:rPr>
      </w:pPr>
      <w:r>
        <w:rPr>
          <w:rFonts w:hint="eastAsia" w:ascii="宋体" w:hAnsi="宋体"/>
          <w:b/>
          <w:color w:val="auto"/>
          <w:szCs w:val="21"/>
          <w:highlight w:val="none"/>
        </w:rPr>
        <w:t>残疾人福利性单位声明函</w:t>
      </w:r>
    </w:p>
    <w:p w14:paraId="6C8124B7">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527367">
      <w:pPr>
        <w:spacing w:line="480" w:lineRule="auto"/>
        <w:ind w:firstLine="444" w:firstLineChars="200"/>
        <w:rPr>
          <w:rFonts w:ascii="宋体" w:hAnsi="宋体"/>
          <w:color w:val="auto"/>
          <w:szCs w:val="21"/>
          <w:highlight w:val="none"/>
        </w:rPr>
      </w:pPr>
      <w:r>
        <w:rPr>
          <w:rFonts w:hint="eastAsia" w:ascii="宋体" w:hAnsi="宋体"/>
          <w:color w:val="auto"/>
          <w:spacing w:val="6"/>
          <w:szCs w:val="21"/>
          <w:highlight w:val="none"/>
        </w:rPr>
        <w:t>本单位对上述声明的真实性负责。如有虚假，将依法承担相应责任。</w:t>
      </w:r>
    </w:p>
    <w:p w14:paraId="71D671D4">
      <w:pPr>
        <w:spacing w:line="360" w:lineRule="auto"/>
        <w:ind w:firstLine="420" w:firstLineChars="200"/>
        <w:rPr>
          <w:rFonts w:ascii="宋体" w:hAnsi="宋体"/>
          <w:color w:val="auto"/>
          <w:szCs w:val="21"/>
          <w:highlight w:val="none"/>
        </w:rPr>
      </w:pPr>
    </w:p>
    <w:p w14:paraId="02AE4A82">
      <w:pPr>
        <w:spacing w:line="360" w:lineRule="auto"/>
        <w:ind w:right="840" w:firstLine="420" w:firstLineChars="200"/>
        <w:jc w:val="center"/>
        <w:rPr>
          <w:rFonts w:ascii="宋体" w:hAnsi="宋体"/>
          <w:color w:val="auto"/>
          <w:szCs w:val="21"/>
          <w:highlight w:val="none"/>
        </w:rPr>
      </w:pPr>
      <w:r>
        <w:rPr>
          <w:rFonts w:hint="eastAsia" w:ascii="宋体" w:hAnsi="宋体"/>
          <w:color w:val="auto"/>
          <w:szCs w:val="21"/>
          <w:highlight w:val="none"/>
        </w:rPr>
        <w:t xml:space="preserve">                                   单位名称（盖章）：</w:t>
      </w:r>
    </w:p>
    <w:p w14:paraId="1148FF25">
      <w:pPr>
        <w:rPr>
          <w:rFonts w:ascii="宋体" w:hAnsi="宋体"/>
          <w:color w:val="auto"/>
          <w:highlight w:val="none"/>
        </w:rPr>
      </w:pPr>
      <w:r>
        <w:rPr>
          <w:rFonts w:hint="eastAsia" w:ascii="宋体" w:hAnsi="宋体"/>
          <w:color w:val="auto"/>
          <w:highlight w:val="none"/>
        </w:rPr>
        <w:t xml:space="preserve">                                                   日  期：</w:t>
      </w:r>
    </w:p>
    <w:p w14:paraId="0B986656">
      <w:pPr>
        <w:jc w:val="center"/>
        <w:rPr>
          <w:rFonts w:ascii="宋体" w:hAnsi="宋体"/>
          <w:color w:val="auto"/>
          <w:highlight w:val="none"/>
        </w:rPr>
      </w:pPr>
    </w:p>
    <w:p w14:paraId="5EE000F7">
      <w:pPr>
        <w:jc w:val="center"/>
        <w:rPr>
          <w:rFonts w:ascii="宋体" w:hAnsi="宋体"/>
          <w:color w:val="auto"/>
          <w:highlight w:val="none"/>
        </w:rPr>
      </w:pPr>
    </w:p>
    <w:p w14:paraId="3DBFF150">
      <w:pPr>
        <w:spacing w:line="360" w:lineRule="auto"/>
        <w:jc w:val="left"/>
        <w:rPr>
          <w:rFonts w:ascii="宋体" w:hAnsi="宋体"/>
          <w:b/>
          <w:color w:val="auto"/>
          <w:szCs w:val="21"/>
          <w:highlight w:val="none"/>
          <w:u w:val="single"/>
        </w:rPr>
      </w:pPr>
      <w:r>
        <w:rPr>
          <w:rFonts w:hint="eastAsia" w:ascii="宋体" w:hAnsi="宋体"/>
          <w:b/>
          <w:color w:val="auto"/>
          <w:szCs w:val="21"/>
          <w:highlight w:val="none"/>
          <w:u w:val="single"/>
        </w:rPr>
        <w:t>温馨提醒：</w:t>
      </w:r>
    </w:p>
    <w:p w14:paraId="01FC2FA3">
      <w:pPr>
        <w:spacing w:line="360" w:lineRule="auto"/>
        <w:jc w:val="left"/>
        <w:rPr>
          <w:rFonts w:ascii="宋体" w:hAnsi="宋体"/>
          <w:b/>
          <w:color w:val="auto"/>
          <w:szCs w:val="21"/>
          <w:highlight w:val="none"/>
          <w:u w:val="single"/>
        </w:rPr>
      </w:pPr>
      <w:r>
        <w:rPr>
          <w:rFonts w:hint="eastAsia" w:ascii="宋体" w:hAnsi="宋体"/>
          <w:b/>
          <w:color w:val="auto"/>
          <w:spacing w:val="6"/>
          <w:szCs w:val="21"/>
          <w:highlight w:val="none"/>
          <w:u w:val="single"/>
        </w:rPr>
        <w:t>1、根据《财政部 民政部 中国残疾人联合会关于促进残疾人就业政府采购政策的通知》（财库〔2017〕141号）的规定，符合条件的残疾人福利性单位在参加政府采购活动时，按以上格式提供《残疾人福利性单位声明函》，视同小型、微型企业，享受评审中价格扣除等促进中小企业发展的政府采购政策，残疾人福利性单位属于小型、微型企业的，不重复享受政策。</w:t>
      </w:r>
    </w:p>
    <w:p w14:paraId="19A0B279">
      <w:pPr>
        <w:spacing w:line="360" w:lineRule="auto"/>
        <w:jc w:val="left"/>
        <w:rPr>
          <w:rFonts w:ascii="宋体" w:hAnsi="宋体"/>
          <w:b/>
          <w:color w:val="auto"/>
          <w:szCs w:val="21"/>
          <w:highlight w:val="none"/>
          <w:u w:val="single"/>
        </w:rPr>
      </w:pPr>
      <w:r>
        <w:rPr>
          <w:rFonts w:hint="eastAsia" w:ascii="宋体" w:hAnsi="宋体"/>
          <w:b/>
          <w:color w:val="auto"/>
          <w:szCs w:val="21"/>
          <w:highlight w:val="none"/>
          <w:u w:val="single"/>
        </w:rPr>
        <w:t>2、供应商应查询具体政策规定内容,根据企业实际情况判断,如不属于法规规定的残疾人福利性单位，无需提供残疾人福利性单位声明函。</w:t>
      </w:r>
    </w:p>
    <w:p w14:paraId="6F38B2C0">
      <w:pPr>
        <w:spacing w:line="360" w:lineRule="auto"/>
        <w:jc w:val="left"/>
        <w:rPr>
          <w:rFonts w:ascii="宋体" w:hAnsi="宋体"/>
          <w:color w:val="auto"/>
          <w:szCs w:val="21"/>
          <w:highlight w:val="none"/>
        </w:rPr>
      </w:pPr>
      <w:r>
        <w:rPr>
          <w:rFonts w:hint="eastAsia" w:ascii="宋体" w:hAnsi="宋体"/>
          <w:b/>
          <w:color w:val="auto"/>
          <w:szCs w:val="21"/>
          <w:highlight w:val="none"/>
          <w:u w:val="single"/>
        </w:rPr>
        <w:t>3、如被发现提供虚假声明的,采购人将上报财政监管部门,一切法律后果自行承担。</w:t>
      </w:r>
    </w:p>
    <w:p w14:paraId="0F1859BD">
      <w:pPr>
        <w:spacing w:line="360" w:lineRule="auto"/>
        <w:rPr>
          <w:rFonts w:ascii="宋体" w:hAnsi="宋体"/>
          <w:color w:val="auto"/>
          <w:szCs w:val="21"/>
          <w:highlight w:val="none"/>
        </w:rPr>
      </w:pPr>
    </w:p>
    <w:p w14:paraId="40BEB05E">
      <w:pPr>
        <w:pStyle w:val="3"/>
        <w:keepNext w:val="0"/>
        <w:keepLines w:val="0"/>
        <w:tabs>
          <w:tab w:val="left" w:pos="567"/>
        </w:tabs>
        <w:ind w:firstLine="0"/>
        <w:jc w:val="center"/>
        <w:rPr>
          <w:rFonts w:hAnsi="宋体" w:cs="Arial"/>
          <w:color w:val="auto"/>
          <w:sz w:val="28"/>
          <w:highlight w:val="none"/>
        </w:rPr>
      </w:pPr>
      <w:r>
        <w:rPr>
          <w:rFonts w:hAnsi="宋体"/>
          <w:color w:val="auto"/>
          <w:highlight w:val="none"/>
        </w:rPr>
        <w:br w:type="page"/>
      </w:r>
      <w:bookmarkStart w:id="283" w:name="_Toc15095"/>
      <w:bookmarkStart w:id="284" w:name="_Toc67046904"/>
      <w:r>
        <w:rPr>
          <w:rFonts w:hint="eastAsia" w:hAnsi="宋体"/>
          <w:color w:val="auto"/>
          <w:sz w:val="21"/>
          <w:szCs w:val="21"/>
          <w:highlight w:val="none"/>
          <w:lang w:val="en-US"/>
        </w:rPr>
        <w:t xml:space="preserve">4-6 </w:t>
      </w:r>
      <w:r>
        <w:rPr>
          <w:rFonts w:hint="eastAsia" w:hAnsi="宋体"/>
          <w:color w:val="auto"/>
          <w:sz w:val="21"/>
          <w:szCs w:val="21"/>
          <w:highlight w:val="none"/>
        </w:rPr>
        <w:t>实质性响应一览表</w:t>
      </w:r>
      <w:bookmarkEnd w:id="283"/>
      <w:bookmarkEnd w:id="284"/>
    </w:p>
    <w:p w14:paraId="2A45BEF5">
      <w:pPr>
        <w:tabs>
          <w:tab w:val="left" w:pos="5812"/>
        </w:tabs>
        <w:spacing w:before="156" w:beforeLines="50" w:after="156" w:afterLines="50" w:line="360" w:lineRule="auto"/>
        <w:rPr>
          <w:rFonts w:ascii="宋体" w:hAnsi="宋体"/>
          <w:color w:val="auto"/>
          <w:szCs w:val="21"/>
          <w:highlight w:val="none"/>
          <w:u w:val="single"/>
        </w:rPr>
      </w:pPr>
      <w:r>
        <w:rPr>
          <w:rFonts w:hint="eastAsia" w:ascii="宋体" w:hAnsi="宋体" w:cs="Arial"/>
          <w:color w:val="auto"/>
          <w:szCs w:val="21"/>
          <w:highlight w:val="none"/>
        </w:rPr>
        <w:t>项目名称：</w:t>
      </w:r>
      <w:r>
        <w:rPr>
          <w:rFonts w:hint="eastAsia" w:ascii="宋体" w:hAnsi="宋体" w:cs="Arial"/>
          <w:color w:val="auto"/>
          <w:szCs w:val="21"/>
          <w:highlight w:val="none"/>
        </w:rPr>
        <w:tab/>
      </w:r>
      <w:r>
        <w:rPr>
          <w:rFonts w:hint="eastAsia" w:ascii="宋体" w:hAnsi="宋体" w:cs="Arial"/>
          <w:color w:val="auto"/>
          <w:szCs w:val="21"/>
          <w:highlight w:val="none"/>
        </w:rPr>
        <w:t>项目编号：</w:t>
      </w:r>
    </w:p>
    <w:tbl>
      <w:tblPr>
        <w:tblStyle w:val="33"/>
        <w:tblW w:w="5000" w:type="pct"/>
        <w:jc w:val="center"/>
        <w:tblLayout w:type="autofit"/>
        <w:tblCellMar>
          <w:top w:w="0" w:type="dxa"/>
          <w:left w:w="30" w:type="dxa"/>
          <w:bottom w:w="0" w:type="dxa"/>
          <w:right w:w="30" w:type="dxa"/>
        </w:tblCellMar>
      </w:tblPr>
      <w:tblGrid>
        <w:gridCol w:w="546"/>
        <w:gridCol w:w="4587"/>
        <w:gridCol w:w="1135"/>
        <w:gridCol w:w="1699"/>
        <w:gridCol w:w="1095"/>
      </w:tblGrid>
      <w:tr w14:paraId="504E37FE">
        <w:tblPrEx>
          <w:tblCellMar>
            <w:top w:w="0" w:type="dxa"/>
            <w:left w:w="30" w:type="dxa"/>
            <w:bottom w:w="0" w:type="dxa"/>
            <w:right w:w="30" w:type="dxa"/>
          </w:tblCellMar>
        </w:tblPrEx>
        <w:trPr>
          <w:trHeight w:val="318" w:hRule="atLeast"/>
          <w:jc w:val="center"/>
        </w:trPr>
        <w:tc>
          <w:tcPr>
            <w:tcW w:w="301" w:type="pct"/>
            <w:tcBorders>
              <w:top w:val="single" w:color="auto" w:sz="6" w:space="0"/>
              <w:left w:val="single" w:color="auto" w:sz="6" w:space="0"/>
              <w:bottom w:val="single" w:color="auto" w:sz="6" w:space="0"/>
              <w:right w:val="single" w:color="auto" w:sz="6" w:space="0"/>
            </w:tcBorders>
            <w:vAlign w:val="center"/>
          </w:tcPr>
          <w:p w14:paraId="1929186C">
            <w:pPr>
              <w:spacing w:before="50" w:after="188"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序号</w:t>
            </w:r>
          </w:p>
        </w:tc>
        <w:tc>
          <w:tcPr>
            <w:tcW w:w="2530" w:type="pct"/>
            <w:tcBorders>
              <w:top w:val="single" w:color="auto" w:sz="6" w:space="0"/>
              <w:left w:val="single" w:color="auto" w:sz="6" w:space="0"/>
              <w:bottom w:val="single" w:color="auto" w:sz="6" w:space="0"/>
              <w:right w:val="single" w:color="auto" w:sz="6" w:space="0"/>
            </w:tcBorders>
            <w:vAlign w:val="center"/>
          </w:tcPr>
          <w:p w14:paraId="32EC695C">
            <w:pPr>
              <w:spacing w:before="50" w:after="188"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磋商文件要求</w:t>
            </w:r>
          </w:p>
        </w:tc>
        <w:tc>
          <w:tcPr>
            <w:tcW w:w="626" w:type="pct"/>
            <w:tcBorders>
              <w:top w:val="single" w:color="auto" w:sz="6" w:space="0"/>
              <w:left w:val="single" w:color="auto" w:sz="6" w:space="0"/>
              <w:bottom w:val="single" w:color="auto" w:sz="6" w:space="0"/>
              <w:right w:val="single" w:color="auto" w:sz="6" w:space="0"/>
            </w:tcBorders>
            <w:vAlign w:val="center"/>
          </w:tcPr>
          <w:p w14:paraId="5F5101E7">
            <w:pPr>
              <w:spacing w:before="50" w:after="188"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供应商响应情况描述</w:t>
            </w:r>
          </w:p>
        </w:tc>
        <w:tc>
          <w:tcPr>
            <w:tcW w:w="937" w:type="pct"/>
            <w:tcBorders>
              <w:top w:val="single" w:color="auto" w:sz="6" w:space="0"/>
              <w:left w:val="single" w:color="auto" w:sz="6" w:space="0"/>
              <w:bottom w:val="single" w:color="auto" w:sz="6" w:space="0"/>
              <w:right w:val="single" w:color="auto" w:sz="6" w:space="0"/>
            </w:tcBorders>
            <w:vAlign w:val="center"/>
          </w:tcPr>
          <w:p w14:paraId="360F5648">
            <w:pPr>
              <w:spacing w:before="50" w:after="188"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供应商应答（完全响应/正偏离/负偏离）</w:t>
            </w:r>
          </w:p>
        </w:tc>
        <w:tc>
          <w:tcPr>
            <w:tcW w:w="604" w:type="pct"/>
            <w:tcBorders>
              <w:top w:val="single" w:color="auto" w:sz="6" w:space="0"/>
              <w:left w:val="single" w:color="auto" w:sz="6" w:space="0"/>
              <w:bottom w:val="single" w:color="auto" w:sz="6" w:space="0"/>
              <w:right w:val="single" w:color="auto" w:sz="6" w:space="0"/>
            </w:tcBorders>
            <w:vAlign w:val="center"/>
          </w:tcPr>
          <w:p w14:paraId="3B1F8285">
            <w:pPr>
              <w:spacing w:before="50" w:after="188"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对应响应文件位置及页码</w:t>
            </w:r>
          </w:p>
        </w:tc>
      </w:tr>
      <w:tr w14:paraId="7C8F58F5">
        <w:tblPrEx>
          <w:tblCellMar>
            <w:top w:w="0" w:type="dxa"/>
            <w:left w:w="30" w:type="dxa"/>
            <w:bottom w:w="0" w:type="dxa"/>
            <w:right w:w="30" w:type="dxa"/>
          </w:tblCellMar>
        </w:tblPrEx>
        <w:trPr>
          <w:trHeight w:val="503" w:hRule="atLeast"/>
          <w:jc w:val="center"/>
        </w:trPr>
        <w:tc>
          <w:tcPr>
            <w:tcW w:w="301" w:type="pct"/>
            <w:tcBorders>
              <w:top w:val="single" w:color="auto" w:sz="6" w:space="0"/>
              <w:left w:val="single" w:color="auto" w:sz="6" w:space="0"/>
              <w:bottom w:val="single" w:color="auto" w:sz="6" w:space="0"/>
              <w:right w:val="single" w:color="auto" w:sz="6" w:space="0"/>
            </w:tcBorders>
            <w:vAlign w:val="center"/>
          </w:tcPr>
          <w:p w14:paraId="3DA95B3E">
            <w:pPr>
              <w:spacing w:before="50" w:after="188" w:line="360" w:lineRule="auto"/>
              <w:jc w:val="center"/>
              <w:rPr>
                <w:rFonts w:ascii="宋体" w:hAnsi="宋体"/>
                <w:color w:val="auto"/>
                <w:highlight w:val="none"/>
              </w:rPr>
            </w:pPr>
            <w:r>
              <w:rPr>
                <w:rFonts w:hint="eastAsia" w:ascii="宋体" w:hAnsi="宋体" w:cs="Arial"/>
                <w:bCs/>
                <w:color w:val="auto"/>
                <w:szCs w:val="21"/>
                <w:highlight w:val="none"/>
              </w:rPr>
              <w:t>1</w:t>
            </w:r>
          </w:p>
        </w:tc>
        <w:tc>
          <w:tcPr>
            <w:tcW w:w="2530" w:type="pct"/>
            <w:tcBorders>
              <w:top w:val="single" w:color="auto" w:sz="6" w:space="0"/>
              <w:left w:val="single" w:color="auto" w:sz="6" w:space="0"/>
              <w:bottom w:val="single" w:color="auto" w:sz="6" w:space="0"/>
              <w:right w:val="single" w:color="auto" w:sz="6" w:space="0"/>
            </w:tcBorders>
            <w:vAlign w:val="center"/>
          </w:tcPr>
          <w:p w14:paraId="0973D8C1">
            <w:pPr>
              <w:spacing w:before="50" w:after="188" w:line="360" w:lineRule="auto"/>
              <w:rPr>
                <w:rFonts w:ascii="宋体" w:hAnsi="宋体" w:cs="Arial"/>
                <w:b/>
                <w:bCs/>
                <w:color w:val="auto"/>
                <w:szCs w:val="21"/>
                <w:highlight w:val="none"/>
              </w:rPr>
            </w:pPr>
            <w:r>
              <w:rPr>
                <w:rFonts w:hint="eastAsia" w:ascii="宋体" w:hAnsi="宋体" w:cs="宋体"/>
                <w:color w:val="auto"/>
                <w:szCs w:val="21"/>
                <w:highlight w:val="none"/>
              </w:rPr>
              <w:t>最高限价：</w:t>
            </w:r>
            <w:r>
              <w:rPr>
                <w:rFonts w:ascii="宋体" w:hAnsi="宋体" w:cs="宋体"/>
                <w:color w:val="auto"/>
                <w:szCs w:val="21"/>
                <w:highlight w:val="none"/>
              </w:rPr>
              <w:t>如有，详见</w:t>
            </w:r>
            <w:r>
              <w:rPr>
                <w:rFonts w:hint="eastAsia" w:ascii="宋体" w:hAnsi="宋体" w:cs="宋体"/>
                <w:color w:val="auto"/>
                <w:szCs w:val="21"/>
                <w:highlight w:val="none"/>
              </w:rPr>
              <w:t>磋商</w:t>
            </w:r>
            <w:r>
              <w:rPr>
                <w:rFonts w:ascii="宋体" w:hAnsi="宋体" w:cs="宋体"/>
                <w:color w:val="auto"/>
                <w:szCs w:val="21"/>
                <w:highlight w:val="none"/>
              </w:rPr>
              <w:t>公告</w:t>
            </w:r>
          </w:p>
        </w:tc>
        <w:tc>
          <w:tcPr>
            <w:tcW w:w="626" w:type="pct"/>
            <w:tcBorders>
              <w:top w:val="single" w:color="auto" w:sz="6" w:space="0"/>
              <w:left w:val="single" w:color="auto" w:sz="6" w:space="0"/>
              <w:bottom w:val="single" w:color="auto" w:sz="6" w:space="0"/>
              <w:right w:val="single" w:color="auto" w:sz="6" w:space="0"/>
            </w:tcBorders>
            <w:vAlign w:val="center"/>
          </w:tcPr>
          <w:p w14:paraId="503FF8B5">
            <w:pPr>
              <w:spacing w:before="50" w:after="188" w:line="360" w:lineRule="auto"/>
              <w:jc w:val="center"/>
              <w:rPr>
                <w:rFonts w:ascii="宋体" w:hAnsi="宋体" w:cs="Arial"/>
                <w:b/>
                <w:bCs/>
                <w:color w:val="auto"/>
                <w:szCs w:val="21"/>
                <w:highlight w:val="none"/>
              </w:rPr>
            </w:pPr>
          </w:p>
        </w:tc>
        <w:tc>
          <w:tcPr>
            <w:tcW w:w="937" w:type="pct"/>
            <w:tcBorders>
              <w:top w:val="single" w:color="auto" w:sz="6" w:space="0"/>
              <w:left w:val="single" w:color="auto" w:sz="6" w:space="0"/>
              <w:bottom w:val="single" w:color="auto" w:sz="6" w:space="0"/>
              <w:right w:val="single" w:color="auto" w:sz="6" w:space="0"/>
            </w:tcBorders>
            <w:vAlign w:val="center"/>
          </w:tcPr>
          <w:p w14:paraId="0A335164">
            <w:pPr>
              <w:spacing w:before="50" w:after="188" w:line="360" w:lineRule="auto"/>
              <w:jc w:val="center"/>
              <w:rPr>
                <w:rFonts w:ascii="宋体" w:hAnsi="宋体" w:cs="Arial"/>
                <w:b/>
                <w:bCs/>
                <w:color w:val="auto"/>
                <w:szCs w:val="21"/>
                <w:highlight w:val="none"/>
              </w:rPr>
            </w:pPr>
          </w:p>
        </w:tc>
        <w:tc>
          <w:tcPr>
            <w:tcW w:w="604" w:type="pct"/>
            <w:tcBorders>
              <w:top w:val="single" w:color="auto" w:sz="6" w:space="0"/>
              <w:left w:val="single" w:color="auto" w:sz="6" w:space="0"/>
              <w:bottom w:val="single" w:color="auto" w:sz="6" w:space="0"/>
              <w:right w:val="single" w:color="auto" w:sz="6" w:space="0"/>
            </w:tcBorders>
            <w:vAlign w:val="center"/>
          </w:tcPr>
          <w:p w14:paraId="5E8A54BE">
            <w:pPr>
              <w:spacing w:before="50" w:after="188" w:line="360" w:lineRule="auto"/>
              <w:jc w:val="center"/>
              <w:rPr>
                <w:rFonts w:ascii="宋体" w:hAnsi="宋体" w:cs="Arial"/>
                <w:b/>
                <w:bCs/>
                <w:color w:val="auto"/>
                <w:szCs w:val="21"/>
                <w:highlight w:val="none"/>
              </w:rPr>
            </w:pPr>
          </w:p>
        </w:tc>
      </w:tr>
      <w:tr w14:paraId="54A7F8A1">
        <w:tblPrEx>
          <w:tblCellMar>
            <w:top w:w="0" w:type="dxa"/>
            <w:left w:w="30" w:type="dxa"/>
            <w:bottom w:w="0" w:type="dxa"/>
            <w:right w:w="30" w:type="dxa"/>
          </w:tblCellMar>
        </w:tblPrEx>
        <w:trPr>
          <w:trHeight w:val="318" w:hRule="atLeast"/>
          <w:jc w:val="center"/>
        </w:trPr>
        <w:tc>
          <w:tcPr>
            <w:tcW w:w="301" w:type="pct"/>
            <w:tcBorders>
              <w:top w:val="single" w:color="auto" w:sz="6" w:space="0"/>
              <w:left w:val="single" w:color="auto" w:sz="6" w:space="0"/>
              <w:bottom w:val="single" w:color="auto" w:sz="6" w:space="0"/>
              <w:right w:val="single" w:color="auto" w:sz="6" w:space="0"/>
            </w:tcBorders>
            <w:vAlign w:val="center"/>
          </w:tcPr>
          <w:p w14:paraId="3BF1CED2">
            <w:pPr>
              <w:spacing w:before="50" w:after="188" w:line="360" w:lineRule="auto"/>
              <w:jc w:val="center"/>
              <w:rPr>
                <w:rFonts w:ascii="宋体" w:hAnsi="宋体" w:cs="Arial"/>
                <w:bCs/>
                <w:color w:val="auto"/>
                <w:szCs w:val="21"/>
                <w:highlight w:val="none"/>
              </w:rPr>
            </w:pPr>
            <w:r>
              <w:rPr>
                <w:rFonts w:hint="eastAsia" w:ascii="宋体" w:hAnsi="宋体" w:cs="Arial"/>
                <w:bCs/>
                <w:color w:val="auto"/>
                <w:szCs w:val="21"/>
                <w:highlight w:val="none"/>
              </w:rPr>
              <w:t>2</w:t>
            </w:r>
          </w:p>
        </w:tc>
        <w:tc>
          <w:tcPr>
            <w:tcW w:w="2530" w:type="pct"/>
            <w:tcBorders>
              <w:top w:val="single" w:color="auto" w:sz="6" w:space="0"/>
              <w:left w:val="single" w:color="auto" w:sz="6" w:space="0"/>
              <w:bottom w:val="single" w:color="auto" w:sz="6" w:space="0"/>
              <w:right w:val="single" w:color="auto" w:sz="6" w:space="0"/>
            </w:tcBorders>
            <w:vAlign w:val="center"/>
          </w:tcPr>
          <w:p w14:paraId="4A8D5BE3">
            <w:pPr>
              <w:tabs>
                <w:tab w:val="left" w:pos="709"/>
              </w:tabs>
              <w:spacing w:line="440" w:lineRule="exact"/>
              <w:rPr>
                <w:rFonts w:ascii="宋体" w:hAnsi="宋体" w:cs="宋体"/>
                <w:color w:val="auto"/>
                <w:szCs w:val="21"/>
                <w:highlight w:val="none"/>
              </w:rPr>
            </w:pPr>
            <w:r>
              <w:rPr>
                <w:rFonts w:hint="eastAsia" w:ascii="宋体" w:hAnsi="宋体" w:cs="宋体"/>
                <w:color w:val="auto"/>
                <w:szCs w:val="21"/>
                <w:highlight w:val="none"/>
              </w:rPr>
              <w:t>磋商有效期：从磋商截止之日起 90 日内</w:t>
            </w:r>
          </w:p>
        </w:tc>
        <w:tc>
          <w:tcPr>
            <w:tcW w:w="626" w:type="pct"/>
            <w:tcBorders>
              <w:top w:val="single" w:color="auto" w:sz="6" w:space="0"/>
              <w:left w:val="single" w:color="auto" w:sz="6" w:space="0"/>
              <w:bottom w:val="single" w:color="auto" w:sz="6" w:space="0"/>
              <w:right w:val="single" w:color="auto" w:sz="6" w:space="0"/>
            </w:tcBorders>
            <w:vAlign w:val="center"/>
          </w:tcPr>
          <w:p w14:paraId="31475D75">
            <w:pPr>
              <w:spacing w:before="50" w:after="188" w:line="360" w:lineRule="auto"/>
              <w:jc w:val="center"/>
              <w:rPr>
                <w:rFonts w:ascii="宋体" w:hAnsi="宋体" w:cs="Arial"/>
                <w:b/>
                <w:bCs/>
                <w:color w:val="auto"/>
                <w:szCs w:val="21"/>
                <w:highlight w:val="none"/>
              </w:rPr>
            </w:pPr>
          </w:p>
        </w:tc>
        <w:tc>
          <w:tcPr>
            <w:tcW w:w="937" w:type="pct"/>
            <w:tcBorders>
              <w:top w:val="single" w:color="auto" w:sz="6" w:space="0"/>
              <w:left w:val="single" w:color="auto" w:sz="6" w:space="0"/>
              <w:bottom w:val="single" w:color="auto" w:sz="6" w:space="0"/>
              <w:right w:val="single" w:color="auto" w:sz="6" w:space="0"/>
            </w:tcBorders>
            <w:vAlign w:val="center"/>
          </w:tcPr>
          <w:p w14:paraId="5D91C52F">
            <w:pPr>
              <w:spacing w:before="50" w:after="188" w:line="360" w:lineRule="auto"/>
              <w:jc w:val="center"/>
              <w:rPr>
                <w:rFonts w:ascii="宋体" w:hAnsi="宋体" w:cs="Arial"/>
                <w:b/>
                <w:bCs/>
                <w:color w:val="auto"/>
                <w:szCs w:val="21"/>
                <w:highlight w:val="none"/>
              </w:rPr>
            </w:pPr>
          </w:p>
        </w:tc>
        <w:tc>
          <w:tcPr>
            <w:tcW w:w="604" w:type="pct"/>
            <w:tcBorders>
              <w:top w:val="single" w:color="auto" w:sz="6" w:space="0"/>
              <w:left w:val="single" w:color="auto" w:sz="6" w:space="0"/>
              <w:bottom w:val="single" w:color="auto" w:sz="6" w:space="0"/>
              <w:right w:val="single" w:color="auto" w:sz="6" w:space="0"/>
            </w:tcBorders>
            <w:vAlign w:val="center"/>
          </w:tcPr>
          <w:p w14:paraId="3DA90F36">
            <w:pPr>
              <w:spacing w:before="50" w:after="188" w:line="360" w:lineRule="auto"/>
              <w:jc w:val="center"/>
              <w:rPr>
                <w:rFonts w:ascii="宋体" w:hAnsi="宋体" w:cs="Arial"/>
                <w:b/>
                <w:bCs/>
                <w:color w:val="auto"/>
                <w:szCs w:val="21"/>
                <w:highlight w:val="none"/>
              </w:rPr>
            </w:pPr>
          </w:p>
        </w:tc>
      </w:tr>
      <w:tr w14:paraId="19A1AD72">
        <w:tblPrEx>
          <w:tblCellMar>
            <w:top w:w="0" w:type="dxa"/>
            <w:left w:w="30" w:type="dxa"/>
            <w:bottom w:w="0" w:type="dxa"/>
            <w:right w:w="30" w:type="dxa"/>
          </w:tblCellMar>
        </w:tblPrEx>
        <w:trPr>
          <w:trHeight w:val="318" w:hRule="atLeast"/>
          <w:jc w:val="center"/>
        </w:trPr>
        <w:tc>
          <w:tcPr>
            <w:tcW w:w="301" w:type="pct"/>
            <w:tcBorders>
              <w:top w:val="single" w:color="auto" w:sz="6" w:space="0"/>
              <w:left w:val="single" w:color="auto" w:sz="6" w:space="0"/>
              <w:bottom w:val="single" w:color="auto" w:sz="6" w:space="0"/>
              <w:right w:val="single" w:color="auto" w:sz="6" w:space="0"/>
            </w:tcBorders>
            <w:vAlign w:val="center"/>
          </w:tcPr>
          <w:p w14:paraId="00AD1805">
            <w:pPr>
              <w:spacing w:before="50" w:after="188" w:line="360" w:lineRule="auto"/>
              <w:jc w:val="center"/>
              <w:rPr>
                <w:rFonts w:ascii="宋体" w:hAnsi="宋体" w:cs="Arial"/>
                <w:bCs/>
                <w:color w:val="auto"/>
                <w:szCs w:val="21"/>
                <w:highlight w:val="none"/>
              </w:rPr>
            </w:pPr>
            <w:r>
              <w:rPr>
                <w:rFonts w:hint="eastAsia" w:ascii="宋体" w:hAnsi="宋体" w:cs="Arial"/>
                <w:bCs/>
                <w:color w:val="auto"/>
                <w:szCs w:val="21"/>
                <w:highlight w:val="none"/>
              </w:rPr>
              <w:t>3</w:t>
            </w:r>
          </w:p>
        </w:tc>
        <w:tc>
          <w:tcPr>
            <w:tcW w:w="2530" w:type="pct"/>
            <w:tcBorders>
              <w:top w:val="single" w:color="auto" w:sz="6" w:space="0"/>
              <w:left w:val="single" w:color="auto" w:sz="6" w:space="0"/>
              <w:bottom w:val="single" w:color="auto" w:sz="6" w:space="0"/>
              <w:right w:val="single" w:color="auto" w:sz="6" w:space="0"/>
            </w:tcBorders>
            <w:vAlign w:val="center"/>
          </w:tcPr>
          <w:p w14:paraId="19ABEE4C">
            <w:pPr>
              <w:tabs>
                <w:tab w:val="left" w:pos="709"/>
              </w:tabs>
              <w:spacing w:line="440" w:lineRule="exact"/>
              <w:rPr>
                <w:rFonts w:ascii="宋体" w:hAnsi="宋体" w:cs="宋体"/>
                <w:color w:val="auto"/>
                <w:szCs w:val="21"/>
                <w:highlight w:val="none"/>
              </w:rPr>
            </w:pPr>
            <w:r>
              <w:rPr>
                <w:rFonts w:hint="eastAsia" w:ascii="宋体" w:hAnsi="宋体" w:cs="宋体"/>
                <w:color w:val="auto"/>
                <w:szCs w:val="21"/>
                <w:highlight w:val="none"/>
              </w:rPr>
              <w:t>磋商文件签署和盖章符合要求</w:t>
            </w:r>
          </w:p>
        </w:tc>
        <w:tc>
          <w:tcPr>
            <w:tcW w:w="626" w:type="pct"/>
            <w:tcBorders>
              <w:top w:val="single" w:color="auto" w:sz="6" w:space="0"/>
              <w:left w:val="single" w:color="auto" w:sz="6" w:space="0"/>
              <w:bottom w:val="single" w:color="auto" w:sz="6" w:space="0"/>
              <w:right w:val="single" w:color="auto" w:sz="6" w:space="0"/>
            </w:tcBorders>
            <w:vAlign w:val="center"/>
          </w:tcPr>
          <w:p w14:paraId="20FED713">
            <w:pPr>
              <w:spacing w:before="50" w:after="188" w:line="360" w:lineRule="auto"/>
              <w:jc w:val="center"/>
              <w:rPr>
                <w:rFonts w:ascii="宋体" w:hAnsi="宋体" w:cs="Arial"/>
                <w:b/>
                <w:bCs/>
                <w:color w:val="auto"/>
                <w:szCs w:val="21"/>
                <w:highlight w:val="none"/>
              </w:rPr>
            </w:pPr>
          </w:p>
        </w:tc>
        <w:tc>
          <w:tcPr>
            <w:tcW w:w="937" w:type="pct"/>
            <w:tcBorders>
              <w:top w:val="single" w:color="auto" w:sz="6" w:space="0"/>
              <w:left w:val="single" w:color="auto" w:sz="6" w:space="0"/>
              <w:bottom w:val="single" w:color="auto" w:sz="6" w:space="0"/>
              <w:right w:val="single" w:color="auto" w:sz="6" w:space="0"/>
            </w:tcBorders>
            <w:vAlign w:val="center"/>
          </w:tcPr>
          <w:p w14:paraId="57840212">
            <w:pPr>
              <w:spacing w:before="50" w:after="188" w:line="360" w:lineRule="auto"/>
              <w:jc w:val="center"/>
              <w:rPr>
                <w:rFonts w:ascii="宋体" w:hAnsi="宋体" w:cs="Arial"/>
                <w:b/>
                <w:bCs/>
                <w:color w:val="auto"/>
                <w:szCs w:val="21"/>
                <w:highlight w:val="none"/>
              </w:rPr>
            </w:pPr>
          </w:p>
        </w:tc>
        <w:tc>
          <w:tcPr>
            <w:tcW w:w="604" w:type="pct"/>
            <w:tcBorders>
              <w:top w:val="single" w:color="auto" w:sz="6" w:space="0"/>
              <w:left w:val="single" w:color="auto" w:sz="6" w:space="0"/>
              <w:bottom w:val="single" w:color="auto" w:sz="6" w:space="0"/>
              <w:right w:val="single" w:color="auto" w:sz="6" w:space="0"/>
            </w:tcBorders>
            <w:vAlign w:val="center"/>
          </w:tcPr>
          <w:p w14:paraId="2933E51E">
            <w:pPr>
              <w:spacing w:before="50" w:after="188" w:line="360" w:lineRule="auto"/>
              <w:jc w:val="center"/>
              <w:rPr>
                <w:rFonts w:ascii="宋体" w:hAnsi="宋体" w:cs="Arial"/>
                <w:b/>
                <w:bCs/>
                <w:color w:val="auto"/>
                <w:szCs w:val="21"/>
                <w:highlight w:val="none"/>
              </w:rPr>
            </w:pPr>
          </w:p>
        </w:tc>
      </w:tr>
      <w:tr w14:paraId="26A1DDFA">
        <w:tblPrEx>
          <w:tblCellMar>
            <w:top w:w="0" w:type="dxa"/>
            <w:left w:w="30" w:type="dxa"/>
            <w:bottom w:w="0" w:type="dxa"/>
            <w:right w:w="30" w:type="dxa"/>
          </w:tblCellMar>
        </w:tblPrEx>
        <w:trPr>
          <w:trHeight w:val="318" w:hRule="atLeast"/>
          <w:jc w:val="center"/>
        </w:trPr>
        <w:tc>
          <w:tcPr>
            <w:tcW w:w="301" w:type="pct"/>
            <w:tcBorders>
              <w:top w:val="single" w:color="auto" w:sz="6" w:space="0"/>
              <w:left w:val="single" w:color="auto" w:sz="6" w:space="0"/>
              <w:bottom w:val="single" w:color="auto" w:sz="6" w:space="0"/>
              <w:right w:val="single" w:color="auto" w:sz="6" w:space="0"/>
            </w:tcBorders>
            <w:vAlign w:val="center"/>
          </w:tcPr>
          <w:p w14:paraId="1A58A014">
            <w:pPr>
              <w:spacing w:before="50" w:after="188" w:line="360" w:lineRule="auto"/>
              <w:jc w:val="center"/>
              <w:rPr>
                <w:rFonts w:ascii="宋体" w:hAnsi="宋体" w:cs="Arial"/>
                <w:bCs/>
                <w:color w:val="auto"/>
                <w:szCs w:val="21"/>
                <w:highlight w:val="none"/>
              </w:rPr>
            </w:pPr>
            <w:r>
              <w:rPr>
                <w:rFonts w:hint="eastAsia" w:ascii="宋体" w:hAnsi="宋体" w:cs="Arial"/>
                <w:bCs/>
                <w:color w:val="auto"/>
                <w:szCs w:val="21"/>
                <w:highlight w:val="none"/>
              </w:rPr>
              <w:t>4</w:t>
            </w:r>
          </w:p>
        </w:tc>
        <w:tc>
          <w:tcPr>
            <w:tcW w:w="2530" w:type="pct"/>
            <w:tcBorders>
              <w:top w:val="single" w:color="auto" w:sz="6" w:space="0"/>
              <w:left w:val="single" w:color="auto" w:sz="6" w:space="0"/>
              <w:bottom w:val="single" w:color="auto" w:sz="6" w:space="0"/>
              <w:right w:val="single" w:color="auto" w:sz="6" w:space="0"/>
            </w:tcBorders>
            <w:vAlign w:val="center"/>
          </w:tcPr>
          <w:p w14:paraId="68D25A97">
            <w:pPr>
              <w:tabs>
                <w:tab w:val="left" w:pos="709"/>
              </w:tabs>
              <w:spacing w:line="440" w:lineRule="exact"/>
              <w:rPr>
                <w:rFonts w:ascii="宋体" w:hAnsi="宋体" w:cs="宋体"/>
                <w:color w:val="auto"/>
                <w:szCs w:val="21"/>
                <w:highlight w:val="none"/>
              </w:rPr>
            </w:pPr>
            <w:r>
              <w:rPr>
                <w:rFonts w:hint="eastAsia" w:ascii="宋体" w:hAnsi="宋体"/>
                <w:bCs/>
                <w:color w:val="auto"/>
                <w:szCs w:val="21"/>
                <w:highlight w:val="none"/>
              </w:rPr>
              <w:t>本项目不接受备选方案，不接受有任何选择或具有附加条件的报价。否则，磋商小组将对其作无效处理。</w:t>
            </w:r>
          </w:p>
        </w:tc>
        <w:tc>
          <w:tcPr>
            <w:tcW w:w="626" w:type="pct"/>
            <w:tcBorders>
              <w:top w:val="single" w:color="auto" w:sz="6" w:space="0"/>
              <w:left w:val="single" w:color="auto" w:sz="6" w:space="0"/>
              <w:bottom w:val="single" w:color="auto" w:sz="6" w:space="0"/>
              <w:right w:val="single" w:color="auto" w:sz="6" w:space="0"/>
            </w:tcBorders>
            <w:vAlign w:val="center"/>
          </w:tcPr>
          <w:p w14:paraId="688FDEF1">
            <w:pPr>
              <w:spacing w:before="50" w:after="188" w:line="360" w:lineRule="auto"/>
              <w:jc w:val="center"/>
              <w:rPr>
                <w:rFonts w:ascii="宋体" w:hAnsi="宋体" w:cs="Arial"/>
                <w:b/>
                <w:bCs/>
                <w:color w:val="auto"/>
                <w:szCs w:val="21"/>
                <w:highlight w:val="none"/>
              </w:rPr>
            </w:pPr>
          </w:p>
        </w:tc>
        <w:tc>
          <w:tcPr>
            <w:tcW w:w="937" w:type="pct"/>
            <w:tcBorders>
              <w:top w:val="single" w:color="auto" w:sz="6" w:space="0"/>
              <w:left w:val="single" w:color="auto" w:sz="6" w:space="0"/>
              <w:bottom w:val="single" w:color="auto" w:sz="6" w:space="0"/>
              <w:right w:val="single" w:color="auto" w:sz="6" w:space="0"/>
            </w:tcBorders>
            <w:vAlign w:val="center"/>
          </w:tcPr>
          <w:p w14:paraId="70CFB697">
            <w:pPr>
              <w:spacing w:before="50" w:after="188" w:line="360" w:lineRule="auto"/>
              <w:jc w:val="center"/>
              <w:rPr>
                <w:rFonts w:ascii="宋体" w:hAnsi="宋体" w:cs="Arial"/>
                <w:b/>
                <w:bCs/>
                <w:color w:val="auto"/>
                <w:szCs w:val="21"/>
                <w:highlight w:val="none"/>
              </w:rPr>
            </w:pPr>
          </w:p>
        </w:tc>
        <w:tc>
          <w:tcPr>
            <w:tcW w:w="604" w:type="pct"/>
            <w:tcBorders>
              <w:top w:val="single" w:color="auto" w:sz="6" w:space="0"/>
              <w:left w:val="single" w:color="auto" w:sz="6" w:space="0"/>
              <w:bottom w:val="single" w:color="auto" w:sz="6" w:space="0"/>
              <w:right w:val="single" w:color="auto" w:sz="6" w:space="0"/>
            </w:tcBorders>
            <w:vAlign w:val="center"/>
          </w:tcPr>
          <w:p w14:paraId="73C93779">
            <w:pPr>
              <w:spacing w:before="50" w:after="188" w:line="360" w:lineRule="auto"/>
              <w:jc w:val="center"/>
              <w:rPr>
                <w:rFonts w:ascii="宋体" w:hAnsi="宋体" w:cs="Arial"/>
                <w:b/>
                <w:bCs/>
                <w:color w:val="auto"/>
                <w:szCs w:val="21"/>
                <w:highlight w:val="none"/>
              </w:rPr>
            </w:pPr>
          </w:p>
        </w:tc>
      </w:tr>
      <w:tr w14:paraId="2E122813">
        <w:tblPrEx>
          <w:tblCellMar>
            <w:top w:w="0" w:type="dxa"/>
            <w:left w:w="30" w:type="dxa"/>
            <w:bottom w:w="0" w:type="dxa"/>
            <w:right w:w="30" w:type="dxa"/>
          </w:tblCellMar>
        </w:tblPrEx>
        <w:trPr>
          <w:trHeight w:val="318" w:hRule="atLeast"/>
          <w:jc w:val="center"/>
        </w:trPr>
        <w:tc>
          <w:tcPr>
            <w:tcW w:w="301" w:type="pct"/>
            <w:tcBorders>
              <w:top w:val="single" w:color="auto" w:sz="6" w:space="0"/>
              <w:left w:val="single" w:color="auto" w:sz="6" w:space="0"/>
              <w:bottom w:val="single" w:color="auto" w:sz="6" w:space="0"/>
              <w:right w:val="single" w:color="auto" w:sz="6" w:space="0"/>
            </w:tcBorders>
            <w:vAlign w:val="center"/>
          </w:tcPr>
          <w:p w14:paraId="4565958F">
            <w:pPr>
              <w:spacing w:before="50" w:after="188" w:line="360" w:lineRule="auto"/>
              <w:jc w:val="center"/>
              <w:rPr>
                <w:rFonts w:ascii="宋体" w:hAnsi="宋体" w:cs="Arial"/>
                <w:bCs/>
                <w:color w:val="auto"/>
                <w:szCs w:val="21"/>
                <w:highlight w:val="none"/>
              </w:rPr>
            </w:pPr>
            <w:r>
              <w:rPr>
                <w:rFonts w:hint="eastAsia" w:ascii="宋体" w:hAnsi="宋体" w:cs="Arial"/>
                <w:bCs/>
                <w:color w:val="auto"/>
                <w:szCs w:val="21"/>
                <w:highlight w:val="none"/>
              </w:rPr>
              <w:t>5</w:t>
            </w:r>
          </w:p>
        </w:tc>
        <w:tc>
          <w:tcPr>
            <w:tcW w:w="2530" w:type="pct"/>
            <w:tcBorders>
              <w:top w:val="single" w:color="auto" w:sz="6" w:space="0"/>
              <w:left w:val="single" w:color="auto" w:sz="6" w:space="0"/>
              <w:bottom w:val="single" w:color="auto" w:sz="6" w:space="0"/>
              <w:right w:val="single" w:color="auto" w:sz="6" w:space="0"/>
            </w:tcBorders>
            <w:vAlign w:val="center"/>
          </w:tcPr>
          <w:p w14:paraId="00A8A394">
            <w:pPr>
              <w:tabs>
                <w:tab w:val="left" w:pos="709"/>
              </w:tabs>
              <w:spacing w:line="440" w:lineRule="exact"/>
              <w:rPr>
                <w:rFonts w:ascii="宋体" w:hAnsi="宋体"/>
                <w:bCs/>
                <w:color w:val="auto"/>
                <w:szCs w:val="21"/>
                <w:highlight w:val="none"/>
              </w:rPr>
            </w:pPr>
            <w:r>
              <w:rPr>
                <w:rFonts w:hint="eastAsia" w:ascii="宋体" w:hAnsi="宋体"/>
                <w:bCs/>
                <w:color w:val="auto"/>
                <w:szCs w:val="21"/>
                <w:highlight w:val="none"/>
              </w:rPr>
              <w:t>中标人未经采购人批准，不得再以任何方式转包或分包。</w:t>
            </w:r>
          </w:p>
        </w:tc>
        <w:tc>
          <w:tcPr>
            <w:tcW w:w="626" w:type="pct"/>
            <w:tcBorders>
              <w:top w:val="single" w:color="auto" w:sz="6" w:space="0"/>
              <w:left w:val="single" w:color="auto" w:sz="6" w:space="0"/>
              <w:bottom w:val="single" w:color="auto" w:sz="6" w:space="0"/>
              <w:right w:val="single" w:color="auto" w:sz="6" w:space="0"/>
            </w:tcBorders>
            <w:vAlign w:val="center"/>
          </w:tcPr>
          <w:p w14:paraId="53E967D4">
            <w:pPr>
              <w:spacing w:before="50" w:after="188" w:line="360" w:lineRule="auto"/>
              <w:jc w:val="center"/>
              <w:rPr>
                <w:rFonts w:ascii="宋体" w:hAnsi="宋体" w:cs="Arial"/>
                <w:b/>
                <w:bCs/>
                <w:color w:val="auto"/>
                <w:szCs w:val="21"/>
                <w:highlight w:val="none"/>
              </w:rPr>
            </w:pPr>
          </w:p>
        </w:tc>
        <w:tc>
          <w:tcPr>
            <w:tcW w:w="937" w:type="pct"/>
            <w:tcBorders>
              <w:top w:val="single" w:color="auto" w:sz="6" w:space="0"/>
              <w:left w:val="single" w:color="auto" w:sz="6" w:space="0"/>
              <w:bottom w:val="single" w:color="auto" w:sz="6" w:space="0"/>
              <w:right w:val="single" w:color="auto" w:sz="6" w:space="0"/>
            </w:tcBorders>
            <w:vAlign w:val="center"/>
          </w:tcPr>
          <w:p w14:paraId="6B3A2EA8">
            <w:pPr>
              <w:spacing w:before="50" w:after="188" w:line="360" w:lineRule="auto"/>
              <w:jc w:val="center"/>
              <w:rPr>
                <w:rFonts w:ascii="宋体" w:hAnsi="宋体" w:cs="Arial"/>
                <w:b/>
                <w:bCs/>
                <w:color w:val="auto"/>
                <w:szCs w:val="21"/>
                <w:highlight w:val="none"/>
              </w:rPr>
            </w:pPr>
          </w:p>
        </w:tc>
        <w:tc>
          <w:tcPr>
            <w:tcW w:w="604" w:type="pct"/>
            <w:tcBorders>
              <w:top w:val="single" w:color="auto" w:sz="6" w:space="0"/>
              <w:left w:val="single" w:color="auto" w:sz="6" w:space="0"/>
              <w:bottom w:val="single" w:color="auto" w:sz="6" w:space="0"/>
              <w:right w:val="single" w:color="auto" w:sz="6" w:space="0"/>
            </w:tcBorders>
            <w:vAlign w:val="center"/>
          </w:tcPr>
          <w:p w14:paraId="2D6236FF">
            <w:pPr>
              <w:spacing w:before="50" w:after="188" w:line="360" w:lineRule="auto"/>
              <w:jc w:val="center"/>
              <w:rPr>
                <w:rFonts w:ascii="宋体" w:hAnsi="宋体" w:cs="Arial"/>
                <w:b/>
                <w:bCs/>
                <w:color w:val="auto"/>
                <w:szCs w:val="21"/>
                <w:highlight w:val="none"/>
              </w:rPr>
            </w:pPr>
          </w:p>
        </w:tc>
      </w:tr>
    </w:tbl>
    <w:p w14:paraId="0C1AEAF5">
      <w:pPr>
        <w:pStyle w:val="8"/>
        <w:spacing w:line="360" w:lineRule="auto"/>
        <w:ind w:firstLine="310" w:firstLineChars="148"/>
        <w:rPr>
          <w:rFonts w:ascii="宋体" w:hAnsi="宋体"/>
          <w:b/>
          <w:bCs/>
          <w:color w:val="auto"/>
          <w:szCs w:val="21"/>
          <w:highlight w:val="none"/>
        </w:rPr>
      </w:pPr>
      <w:r>
        <w:rPr>
          <w:rFonts w:hint="eastAsia" w:ascii="宋体" w:hAnsi="宋体"/>
          <w:b/>
          <w:bCs/>
          <w:color w:val="auto"/>
          <w:szCs w:val="21"/>
          <w:highlight w:val="none"/>
        </w:rPr>
        <w:t>注：如磋商文件中标有“★”的内容，请在上表填写，并作出一一响应。若有一项带“★”的指标要求未响应或不满足，其响应文件作无效处理。</w:t>
      </w:r>
    </w:p>
    <w:p w14:paraId="729FAC8B">
      <w:pPr>
        <w:pStyle w:val="8"/>
        <w:spacing w:line="360" w:lineRule="auto"/>
        <w:rPr>
          <w:rFonts w:ascii="宋体" w:hAnsi="宋体" w:cs="Arial"/>
          <w:color w:val="auto"/>
          <w:highlight w:val="none"/>
        </w:rPr>
      </w:pPr>
      <w:r>
        <w:rPr>
          <w:rFonts w:hint="eastAsia" w:ascii="宋体" w:hAnsi="宋体"/>
          <w:color w:val="auto"/>
          <w:highlight w:val="none"/>
        </w:rPr>
        <w:t>（此表可延长）</w:t>
      </w:r>
    </w:p>
    <w:p w14:paraId="6DE981D6">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供应商名称(并加盖公章)：</w:t>
      </w:r>
    </w:p>
    <w:p w14:paraId="3128296D">
      <w:pPr>
        <w:widowControl/>
        <w:autoSpaceDE w:val="0"/>
        <w:autoSpaceDN w:val="0"/>
        <w:spacing w:line="360" w:lineRule="auto"/>
        <w:ind w:right="893"/>
        <w:textAlignment w:val="bottom"/>
        <w:rPr>
          <w:rFonts w:ascii="宋体" w:hAnsi="宋体" w:cs="Arial"/>
          <w:color w:val="auto"/>
          <w:highlight w:val="none"/>
        </w:rPr>
      </w:pPr>
    </w:p>
    <w:p w14:paraId="5AFA30FF">
      <w:pPr>
        <w:widowControl/>
        <w:autoSpaceDE w:val="0"/>
        <w:autoSpaceDN w:val="0"/>
        <w:spacing w:line="360" w:lineRule="auto"/>
        <w:ind w:right="893"/>
        <w:textAlignment w:val="bottom"/>
        <w:rPr>
          <w:rFonts w:ascii="宋体" w:hAnsi="宋体"/>
          <w:color w:val="auto"/>
          <w:highlight w:val="none"/>
          <w:u w:val="single"/>
        </w:rPr>
      </w:pPr>
      <w:r>
        <w:rPr>
          <w:rFonts w:hint="eastAsia" w:ascii="宋体" w:hAnsi="宋体" w:cs="Arial"/>
          <w:color w:val="auto"/>
          <w:highlight w:val="none"/>
        </w:rPr>
        <w:t>供应商法定代表人或其委托人签名或印鉴：</w:t>
      </w:r>
    </w:p>
    <w:p w14:paraId="38370B38">
      <w:pPr>
        <w:widowControl/>
        <w:autoSpaceDE w:val="0"/>
        <w:autoSpaceDN w:val="0"/>
        <w:spacing w:line="360" w:lineRule="auto"/>
        <w:ind w:right="893"/>
        <w:textAlignment w:val="bottom"/>
        <w:rPr>
          <w:rFonts w:ascii="宋体" w:hAnsi="宋体"/>
          <w:color w:val="auto"/>
          <w:highlight w:val="none"/>
        </w:rPr>
      </w:pPr>
    </w:p>
    <w:p w14:paraId="22FC41DF">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 xml:space="preserve">日期： </w:t>
      </w:r>
    </w:p>
    <w:p w14:paraId="39E31A5E">
      <w:pPr>
        <w:pStyle w:val="3"/>
        <w:keepNext w:val="0"/>
        <w:keepLines w:val="0"/>
        <w:tabs>
          <w:tab w:val="left" w:pos="567"/>
        </w:tabs>
        <w:ind w:firstLine="0"/>
        <w:jc w:val="center"/>
        <w:rPr>
          <w:rFonts w:hAnsi="宋体"/>
          <w:color w:val="auto"/>
          <w:sz w:val="21"/>
          <w:szCs w:val="21"/>
          <w:highlight w:val="none"/>
        </w:rPr>
      </w:pPr>
      <w:r>
        <w:rPr>
          <w:rFonts w:hint="eastAsia" w:hAnsi="宋体" w:cs="Arial"/>
          <w:color w:val="auto"/>
          <w:sz w:val="28"/>
          <w:highlight w:val="none"/>
        </w:rPr>
        <w:br w:type="page"/>
      </w:r>
      <w:bookmarkStart w:id="285" w:name="_Toc26997"/>
      <w:bookmarkStart w:id="286" w:name="_Toc67046905"/>
      <w:r>
        <w:rPr>
          <w:rFonts w:hint="eastAsia" w:hAnsi="宋体"/>
          <w:color w:val="auto"/>
          <w:sz w:val="21"/>
          <w:szCs w:val="21"/>
          <w:highlight w:val="none"/>
          <w:lang w:val="en-US"/>
        </w:rPr>
        <w:t xml:space="preserve">4-7 </w:t>
      </w:r>
      <w:r>
        <w:rPr>
          <w:rFonts w:hint="eastAsia" w:hAnsi="宋体"/>
          <w:color w:val="auto"/>
          <w:sz w:val="21"/>
          <w:szCs w:val="21"/>
          <w:highlight w:val="none"/>
        </w:rPr>
        <w:t>报价响应与磋商文件差异一览表</w:t>
      </w:r>
      <w:bookmarkEnd w:id="285"/>
      <w:bookmarkEnd w:id="286"/>
    </w:p>
    <w:p w14:paraId="7B6930A9">
      <w:pPr>
        <w:spacing w:before="50" w:after="188" w:line="400" w:lineRule="exact"/>
        <w:ind w:left="210" w:leftChars="100"/>
        <w:jc w:val="left"/>
        <w:rPr>
          <w:rFonts w:ascii="宋体" w:hAnsi="宋体"/>
          <w:b/>
          <w:color w:val="auto"/>
          <w:szCs w:val="21"/>
          <w:highlight w:val="none"/>
        </w:rPr>
      </w:pPr>
      <w:bookmarkStart w:id="287" w:name="_Toc108597129"/>
      <w:r>
        <w:rPr>
          <w:rFonts w:hint="eastAsia" w:ascii="宋体" w:hAnsi="宋体"/>
          <w:b/>
          <w:bCs/>
          <w:color w:val="auto"/>
          <w:szCs w:val="21"/>
          <w:highlight w:val="none"/>
        </w:rPr>
        <w:t>供应商对磋商文件中 “▲”标注条款的响应情况</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604F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01DA69DE">
            <w:pPr>
              <w:jc w:val="center"/>
              <w:rPr>
                <w:rFonts w:ascii="宋体" w:hAnsi="宋体"/>
                <w:color w:val="auto"/>
                <w:highlight w:val="none"/>
              </w:rPr>
            </w:pPr>
            <w:r>
              <w:rPr>
                <w:rFonts w:hint="eastAsia" w:ascii="宋体" w:hAnsi="宋体"/>
                <w:color w:val="auto"/>
                <w:highlight w:val="none"/>
              </w:rPr>
              <w:t>序号</w:t>
            </w:r>
          </w:p>
        </w:tc>
        <w:tc>
          <w:tcPr>
            <w:tcW w:w="3444" w:type="dxa"/>
            <w:vAlign w:val="center"/>
          </w:tcPr>
          <w:p w14:paraId="5DC08E05">
            <w:pPr>
              <w:jc w:val="center"/>
              <w:rPr>
                <w:rFonts w:ascii="宋体" w:hAnsi="宋体"/>
                <w:color w:val="auto"/>
                <w:highlight w:val="none"/>
              </w:rPr>
            </w:pPr>
            <w:r>
              <w:rPr>
                <w:rFonts w:hint="eastAsia" w:ascii="宋体" w:hAnsi="宋体"/>
                <w:bCs/>
                <w:color w:val="auto"/>
                <w:szCs w:val="21"/>
                <w:highlight w:val="none"/>
              </w:rPr>
              <w:t>磋商文件中“▲”标注的内容</w:t>
            </w:r>
          </w:p>
        </w:tc>
        <w:tc>
          <w:tcPr>
            <w:tcW w:w="1708" w:type="dxa"/>
            <w:vAlign w:val="center"/>
          </w:tcPr>
          <w:p w14:paraId="5A200789">
            <w:pPr>
              <w:jc w:val="center"/>
              <w:rPr>
                <w:rFonts w:ascii="宋体" w:hAnsi="宋体"/>
                <w:color w:val="auto"/>
                <w:highlight w:val="none"/>
              </w:rPr>
            </w:pPr>
            <w:r>
              <w:rPr>
                <w:rFonts w:hint="eastAsia" w:ascii="宋体" w:hAnsi="宋体"/>
                <w:color w:val="auto"/>
                <w:highlight w:val="none"/>
              </w:rPr>
              <w:t>供应商响应情况描述</w:t>
            </w:r>
          </w:p>
        </w:tc>
        <w:tc>
          <w:tcPr>
            <w:tcW w:w="1977" w:type="dxa"/>
            <w:vAlign w:val="center"/>
          </w:tcPr>
          <w:p w14:paraId="4091F2F0">
            <w:pPr>
              <w:jc w:val="center"/>
              <w:rPr>
                <w:rFonts w:ascii="宋体" w:hAnsi="宋体"/>
                <w:color w:val="auto"/>
                <w:highlight w:val="none"/>
              </w:rPr>
            </w:pPr>
            <w:r>
              <w:rPr>
                <w:rFonts w:hint="eastAsia" w:ascii="宋体" w:hAnsi="宋体"/>
                <w:color w:val="auto"/>
                <w:highlight w:val="none"/>
              </w:rPr>
              <w:t>对采购文件的偏离说明（正偏离/完全响应/负偏离）</w:t>
            </w:r>
          </w:p>
        </w:tc>
        <w:tc>
          <w:tcPr>
            <w:tcW w:w="1559" w:type="dxa"/>
            <w:vAlign w:val="center"/>
          </w:tcPr>
          <w:p w14:paraId="368FFE60">
            <w:pPr>
              <w:jc w:val="center"/>
              <w:rPr>
                <w:rFonts w:ascii="宋体" w:hAnsi="宋体"/>
                <w:color w:val="auto"/>
                <w:highlight w:val="none"/>
              </w:rPr>
            </w:pPr>
            <w:r>
              <w:rPr>
                <w:rFonts w:hint="eastAsia" w:ascii="宋体" w:hAnsi="宋体"/>
                <w:color w:val="auto"/>
                <w:highlight w:val="none"/>
              </w:rPr>
              <w:t>对应响应文件位置及页码</w:t>
            </w:r>
          </w:p>
        </w:tc>
      </w:tr>
      <w:tr w14:paraId="2F7A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tcPr>
          <w:p w14:paraId="2CDCFE1B">
            <w:pPr>
              <w:spacing w:line="300" w:lineRule="auto"/>
              <w:jc w:val="center"/>
              <w:rPr>
                <w:rFonts w:ascii="宋体" w:hAnsi="宋体"/>
                <w:color w:val="auto"/>
                <w:szCs w:val="21"/>
                <w:highlight w:val="none"/>
              </w:rPr>
            </w:pPr>
          </w:p>
          <w:p w14:paraId="76F559B2">
            <w:pPr>
              <w:spacing w:line="300" w:lineRule="auto"/>
              <w:jc w:val="center"/>
              <w:rPr>
                <w:rFonts w:ascii="宋体" w:hAnsi="宋体"/>
                <w:color w:val="auto"/>
                <w:szCs w:val="21"/>
                <w:highlight w:val="none"/>
              </w:rPr>
            </w:pPr>
          </w:p>
        </w:tc>
        <w:tc>
          <w:tcPr>
            <w:tcW w:w="3444" w:type="dxa"/>
          </w:tcPr>
          <w:p w14:paraId="629DF007">
            <w:pPr>
              <w:spacing w:line="300" w:lineRule="auto"/>
              <w:jc w:val="center"/>
              <w:rPr>
                <w:rFonts w:ascii="宋体" w:hAnsi="宋体"/>
                <w:color w:val="auto"/>
                <w:szCs w:val="21"/>
                <w:highlight w:val="none"/>
              </w:rPr>
            </w:pPr>
          </w:p>
        </w:tc>
        <w:tc>
          <w:tcPr>
            <w:tcW w:w="1708" w:type="dxa"/>
          </w:tcPr>
          <w:p w14:paraId="64A72FE8">
            <w:pPr>
              <w:spacing w:line="300" w:lineRule="auto"/>
              <w:jc w:val="center"/>
              <w:rPr>
                <w:rFonts w:ascii="宋体" w:hAnsi="宋体"/>
                <w:color w:val="auto"/>
                <w:szCs w:val="21"/>
                <w:highlight w:val="none"/>
              </w:rPr>
            </w:pPr>
          </w:p>
        </w:tc>
        <w:tc>
          <w:tcPr>
            <w:tcW w:w="1977" w:type="dxa"/>
          </w:tcPr>
          <w:p w14:paraId="67FF584F">
            <w:pPr>
              <w:spacing w:line="300" w:lineRule="auto"/>
              <w:jc w:val="center"/>
              <w:rPr>
                <w:rFonts w:ascii="宋体" w:hAnsi="宋体"/>
                <w:color w:val="auto"/>
                <w:szCs w:val="21"/>
                <w:highlight w:val="none"/>
              </w:rPr>
            </w:pPr>
          </w:p>
        </w:tc>
        <w:tc>
          <w:tcPr>
            <w:tcW w:w="1559" w:type="dxa"/>
          </w:tcPr>
          <w:p w14:paraId="09C35ADD">
            <w:pPr>
              <w:spacing w:line="300" w:lineRule="auto"/>
              <w:jc w:val="center"/>
              <w:rPr>
                <w:rFonts w:ascii="宋体" w:hAnsi="宋体"/>
                <w:color w:val="auto"/>
                <w:szCs w:val="21"/>
                <w:highlight w:val="none"/>
              </w:rPr>
            </w:pPr>
          </w:p>
        </w:tc>
      </w:tr>
      <w:tr w14:paraId="5F5F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14:paraId="1B843F5A">
            <w:pPr>
              <w:spacing w:line="300" w:lineRule="auto"/>
              <w:jc w:val="center"/>
              <w:rPr>
                <w:rFonts w:ascii="宋体" w:hAnsi="宋体"/>
                <w:color w:val="auto"/>
                <w:szCs w:val="21"/>
                <w:highlight w:val="none"/>
              </w:rPr>
            </w:pPr>
          </w:p>
          <w:p w14:paraId="5C1A215A">
            <w:pPr>
              <w:spacing w:line="300" w:lineRule="auto"/>
              <w:jc w:val="center"/>
              <w:rPr>
                <w:rFonts w:ascii="宋体" w:hAnsi="宋体"/>
                <w:color w:val="auto"/>
                <w:szCs w:val="21"/>
                <w:highlight w:val="none"/>
              </w:rPr>
            </w:pPr>
          </w:p>
        </w:tc>
        <w:tc>
          <w:tcPr>
            <w:tcW w:w="3444" w:type="dxa"/>
          </w:tcPr>
          <w:p w14:paraId="13977180">
            <w:pPr>
              <w:spacing w:line="300" w:lineRule="auto"/>
              <w:jc w:val="center"/>
              <w:rPr>
                <w:rFonts w:ascii="宋体" w:hAnsi="宋体"/>
                <w:color w:val="auto"/>
                <w:szCs w:val="21"/>
                <w:highlight w:val="none"/>
              </w:rPr>
            </w:pPr>
          </w:p>
          <w:p w14:paraId="0478BE84">
            <w:pPr>
              <w:spacing w:line="300" w:lineRule="auto"/>
              <w:jc w:val="center"/>
              <w:rPr>
                <w:rFonts w:ascii="宋体" w:hAnsi="宋体"/>
                <w:color w:val="auto"/>
                <w:szCs w:val="21"/>
                <w:highlight w:val="none"/>
              </w:rPr>
            </w:pPr>
          </w:p>
        </w:tc>
        <w:tc>
          <w:tcPr>
            <w:tcW w:w="1708" w:type="dxa"/>
          </w:tcPr>
          <w:p w14:paraId="4EBD511D">
            <w:pPr>
              <w:spacing w:line="300" w:lineRule="auto"/>
              <w:jc w:val="center"/>
              <w:rPr>
                <w:rFonts w:ascii="宋体" w:hAnsi="宋体"/>
                <w:color w:val="auto"/>
                <w:szCs w:val="21"/>
                <w:highlight w:val="none"/>
              </w:rPr>
            </w:pPr>
          </w:p>
        </w:tc>
        <w:tc>
          <w:tcPr>
            <w:tcW w:w="1977" w:type="dxa"/>
          </w:tcPr>
          <w:p w14:paraId="4D816736">
            <w:pPr>
              <w:spacing w:line="300" w:lineRule="auto"/>
              <w:jc w:val="center"/>
              <w:rPr>
                <w:rFonts w:ascii="宋体" w:hAnsi="宋体"/>
                <w:color w:val="auto"/>
                <w:szCs w:val="21"/>
                <w:highlight w:val="none"/>
              </w:rPr>
            </w:pPr>
          </w:p>
        </w:tc>
        <w:tc>
          <w:tcPr>
            <w:tcW w:w="1559" w:type="dxa"/>
          </w:tcPr>
          <w:p w14:paraId="1681D2BF">
            <w:pPr>
              <w:spacing w:line="300" w:lineRule="auto"/>
              <w:jc w:val="center"/>
              <w:rPr>
                <w:rFonts w:ascii="宋体" w:hAnsi="宋体"/>
                <w:color w:val="auto"/>
                <w:szCs w:val="21"/>
                <w:highlight w:val="none"/>
              </w:rPr>
            </w:pPr>
          </w:p>
        </w:tc>
      </w:tr>
      <w:tr w14:paraId="6E90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14:paraId="749D2A21">
            <w:pPr>
              <w:spacing w:line="300" w:lineRule="auto"/>
              <w:jc w:val="center"/>
              <w:rPr>
                <w:rFonts w:ascii="宋体" w:hAnsi="宋体"/>
                <w:color w:val="auto"/>
                <w:szCs w:val="21"/>
                <w:highlight w:val="none"/>
              </w:rPr>
            </w:pPr>
          </w:p>
        </w:tc>
        <w:tc>
          <w:tcPr>
            <w:tcW w:w="3444" w:type="dxa"/>
          </w:tcPr>
          <w:p w14:paraId="27130E37">
            <w:pPr>
              <w:spacing w:line="300" w:lineRule="auto"/>
              <w:jc w:val="center"/>
              <w:rPr>
                <w:rFonts w:ascii="宋体" w:hAnsi="宋体"/>
                <w:color w:val="auto"/>
                <w:szCs w:val="21"/>
                <w:highlight w:val="none"/>
              </w:rPr>
            </w:pPr>
            <w:r>
              <w:rPr>
                <w:rFonts w:hint="eastAsia" w:ascii="宋体" w:hAnsi="宋体"/>
                <w:color w:val="auto"/>
                <w:szCs w:val="21"/>
                <w:highlight w:val="none"/>
              </w:rPr>
              <w:t>……</w:t>
            </w:r>
          </w:p>
        </w:tc>
        <w:tc>
          <w:tcPr>
            <w:tcW w:w="1708" w:type="dxa"/>
          </w:tcPr>
          <w:p w14:paraId="7DB52194">
            <w:pPr>
              <w:spacing w:line="300" w:lineRule="auto"/>
              <w:jc w:val="center"/>
              <w:rPr>
                <w:rFonts w:ascii="宋体" w:hAnsi="宋体"/>
                <w:color w:val="auto"/>
                <w:szCs w:val="21"/>
                <w:highlight w:val="none"/>
              </w:rPr>
            </w:pPr>
          </w:p>
        </w:tc>
        <w:tc>
          <w:tcPr>
            <w:tcW w:w="1977" w:type="dxa"/>
          </w:tcPr>
          <w:p w14:paraId="7B256727">
            <w:pPr>
              <w:spacing w:line="300" w:lineRule="auto"/>
              <w:jc w:val="center"/>
              <w:rPr>
                <w:rFonts w:ascii="宋体" w:hAnsi="宋体"/>
                <w:color w:val="auto"/>
                <w:szCs w:val="21"/>
                <w:highlight w:val="none"/>
              </w:rPr>
            </w:pPr>
          </w:p>
        </w:tc>
        <w:tc>
          <w:tcPr>
            <w:tcW w:w="1559" w:type="dxa"/>
          </w:tcPr>
          <w:p w14:paraId="3F04E3FD">
            <w:pPr>
              <w:spacing w:line="300" w:lineRule="auto"/>
              <w:jc w:val="center"/>
              <w:rPr>
                <w:rFonts w:ascii="宋体" w:hAnsi="宋体"/>
                <w:color w:val="auto"/>
                <w:szCs w:val="21"/>
                <w:highlight w:val="none"/>
              </w:rPr>
            </w:pPr>
          </w:p>
        </w:tc>
      </w:tr>
    </w:tbl>
    <w:p w14:paraId="047E62F5">
      <w:pPr>
        <w:spacing w:line="300" w:lineRule="auto"/>
        <w:ind w:firstLine="359" w:firstLineChars="171"/>
        <w:rPr>
          <w:rFonts w:ascii="宋体" w:hAnsi="宋体"/>
          <w:color w:val="auto"/>
          <w:szCs w:val="21"/>
          <w:highlight w:val="none"/>
        </w:rPr>
      </w:pPr>
      <w:r>
        <w:rPr>
          <w:rFonts w:hint="eastAsia" w:ascii="宋体" w:hAnsi="宋体"/>
          <w:color w:val="auto"/>
          <w:szCs w:val="21"/>
          <w:highlight w:val="none"/>
        </w:rPr>
        <w:t>说明：</w:t>
      </w:r>
    </w:p>
    <w:p w14:paraId="693B030C">
      <w:pPr>
        <w:spacing w:line="300" w:lineRule="auto"/>
        <w:ind w:firstLine="359" w:firstLineChars="171"/>
        <w:rPr>
          <w:rFonts w:ascii="宋体" w:hAnsi="宋体"/>
          <w:bCs/>
          <w:color w:val="auto"/>
          <w:szCs w:val="21"/>
          <w:highlight w:val="none"/>
        </w:rPr>
      </w:pPr>
      <w:r>
        <w:rPr>
          <w:rFonts w:hint="eastAsia" w:ascii="宋体" w:hAnsi="宋体"/>
          <w:bCs/>
          <w:color w:val="auto"/>
          <w:szCs w:val="21"/>
          <w:highlight w:val="none"/>
        </w:rPr>
        <w:t>1.请供应商将磋商文件中“▲”标注的相关要求的响应情况按顺序逐条列入此表。</w:t>
      </w:r>
    </w:p>
    <w:p w14:paraId="25404E0B">
      <w:pPr>
        <w:spacing w:line="300" w:lineRule="auto"/>
        <w:ind w:firstLine="359" w:firstLineChars="171"/>
        <w:rPr>
          <w:rFonts w:ascii="宋体" w:hAnsi="宋体"/>
          <w:bCs/>
          <w:color w:val="auto"/>
          <w:szCs w:val="21"/>
          <w:highlight w:val="none"/>
        </w:rPr>
      </w:pPr>
      <w:r>
        <w:rPr>
          <w:rFonts w:hint="eastAsia" w:ascii="宋体" w:hAnsi="宋体"/>
          <w:bCs/>
          <w:color w:val="auto"/>
          <w:szCs w:val="21"/>
          <w:highlight w:val="none"/>
        </w:rPr>
        <w:t>2.此表可延长。</w:t>
      </w:r>
    </w:p>
    <w:p w14:paraId="5A09D8D8">
      <w:pPr>
        <w:spacing w:line="300" w:lineRule="auto"/>
        <w:ind w:firstLine="359" w:firstLineChars="171"/>
        <w:rPr>
          <w:rFonts w:ascii="宋体" w:hAnsi="宋体"/>
          <w:bCs/>
          <w:color w:val="auto"/>
          <w:szCs w:val="21"/>
          <w:highlight w:val="none"/>
        </w:rPr>
      </w:pPr>
      <w:r>
        <w:rPr>
          <w:rFonts w:hint="eastAsia" w:ascii="宋体" w:hAnsi="宋体"/>
          <w:bCs/>
          <w:color w:val="auto"/>
          <w:szCs w:val="21"/>
          <w:highlight w:val="none"/>
        </w:rPr>
        <w:t>3.磋商文件若无“▲”标注的条款，则上表留空。</w:t>
      </w:r>
    </w:p>
    <w:p w14:paraId="3CEC6A8F">
      <w:pPr>
        <w:spacing w:before="50" w:after="188" w:line="400" w:lineRule="exact"/>
        <w:ind w:left="210" w:leftChars="100"/>
        <w:jc w:val="left"/>
        <w:rPr>
          <w:rFonts w:ascii="宋体" w:hAnsi="宋体"/>
          <w:b/>
          <w:bCs/>
          <w:color w:val="auto"/>
          <w:szCs w:val="21"/>
          <w:highlight w:val="none"/>
        </w:rPr>
      </w:pPr>
      <w:r>
        <w:rPr>
          <w:rFonts w:hint="eastAsia" w:ascii="宋体" w:hAnsi="宋体"/>
          <w:b/>
          <w:bCs/>
          <w:color w:val="auto"/>
          <w:szCs w:val="21"/>
          <w:highlight w:val="none"/>
        </w:rPr>
        <w:t>供应商对用户需求的响应情况（标 “▲”的条款除外）</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40F5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vAlign w:val="center"/>
          </w:tcPr>
          <w:p w14:paraId="5F64A9EB">
            <w:pPr>
              <w:jc w:val="center"/>
              <w:rPr>
                <w:rFonts w:ascii="宋体" w:hAnsi="宋体"/>
                <w:color w:val="auto"/>
                <w:highlight w:val="none"/>
              </w:rPr>
            </w:pPr>
            <w:r>
              <w:rPr>
                <w:rFonts w:hint="eastAsia" w:ascii="宋体" w:hAnsi="宋体"/>
                <w:color w:val="auto"/>
                <w:highlight w:val="none"/>
              </w:rPr>
              <w:t>序号</w:t>
            </w:r>
          </w:p>
        </w:tc>
        <w:tc>
          <w:tcPr>
            <w:tcW w:w="3444" w:type="dxa"/>
            <w:vAlign w:val="center"/>
          </w:tcPr>
          <w:p w14:paraId="1E47315D">
            <w:pPr>
              <w:jc w:val="center"/>
              <w:rPr>
                <w:rFonts w:ascii="宋体" w:hAnsi="宋体"/>
                <w:color w:val="auto"/>
                <w:highlight w:val="none"/>
              </w:rPr>
            </w:pPr>
            <w:r>
              <w:rPr>
                <w:rFonts w:hint="eastAsia" w:ascii="宋体" w:hAnsi="宋体"/>
                <w:color w:val="auto"/>
                <w:highlight w:val="none"/>
              </w:rPr>
              <w:t>磋商文件要求</w:t>
            </w:r>
          </w:p>
        </w:tc>
        <w:tc>
          <w:tcPr>
            <w:tcW w:w="1708" w:type="dxa"/>
            <w:vAlign w:val="center"/>
          </w:tcPr>
          <w:p w14:paraId="00009473">
            <w:pPr>
              <w:jc w:val="center"/>
              <w:rPr>
                <w:rFonts w:ascii="宋体" w:hAnsi="宋体"/>
                <w:color w:val="auto"/>
                <w:highlight w:val="none"/>
              </w:rPr>
            </w:pPr>
            <w:r>
              <w:rPr>
                <w:rFonts w:hint="eastAsia" w:ascii="宋体" w:hAnsi="宋体"/>
                <w:color w:val="auto"/>
                <w:highlight w:val="none"/>
              </w:rPr>
              <w:t>供应商响应情况描述</w:t>
            </w:r>
          </w:p>
        </w:tc>
        <w:tc>
          <w:tcPr>
            <w:tcW w:w="1977" w:type="dxa"/>
            <w:vAlign w:val="center"/>
          </w:tcPr>
          <w:p w14:paraId="5C8B72A1">
            <w:pPr>
              <w:jc w:val="center"/>
              <w:rPr>
                <w:rFonts w:ascii="宋体" w:hAnsi="宋体"/>
                <w:color w:val="auto"/>
                <w:highlight w:val="none"/>
              </w:rPr>
            </w:pPr>
            <w:r>
              <w:rPr>
                <w:rFonts w:hint="eastAsia" w:ascii="宋体" w:hAnsi="宋体"/>
                <w:color w:val="auto"/>
                <w:highlight w:val="none"/>
              </w:rPr>
              <w:t>对采购文件的偏离说明（正偏离/完全响应/负偏离）</w:t>
            </w:r>
          </w:p>
        </w:tc>
        <w:tc>
          <w:tcPr>
            <w:tcW w:w="1559" w:type="dxa"/>
            <w:vAlign w:val="center"/>
          </w:tcPr>
          <w:p w14:paraId="195A7C2F">
            <w:pPr>
              <w:jc w:val="center"/>
              <w:rPr>
                <w:rFonts w:ascii="宋体" w:hAnsi="宋体"/>
                <w:color w:val="auto"/>
                <w:highlight w:val="none"/>
              </w:rPr>
            </w:pPr>
            <w:r>
              <w:rPr>
                <w:rFonts w:hint="eastAsia" w:ascii="宋体" w:hAnsi="宋体"/>
                <w:color w:val="auto"/>
                <w:highlight w:val="none"/>
              </w:rPr>
              <w:t>对应响应文件位置及页码</w:t>
            </w:r>
          </w:p>
        </w:tc>
      </w:tr>
      <w:tr w14:paraId="70B0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tcPr>
          <w:p w14:paraId="23FD756C">
            <w:pPr>
              <w:spacing w:line="300" w:lineRule="auto"/>
              <w:jc w:val="center"/>
              <w:rPr>
                <w:rFonts w:ascii="宋体" w:hAnsi="宋体"/>
                <w:color w:val="auto"/>
                <w:szCs w:val="21"/>
                <w:highlight w:val="none"/>
              </w:rPr>
            </w:pPr>
          </w:p>
          <w:p w14:paraId="20AD6B8A">
            <w:pPr>
              <w:spacing w:line="300" w:lineRule="auto"/>
              <w:jc w:val="center"/>
              <w:rPr>
                <w:rFonts w:ascii="宋体" w:hAnsi="宋体"/>
                <w:color w:val="auto"/>
                <w:szCs w:val="21"/>
                <w:highlight w:val="none"/>
              </w:rPr>
            </w:pPr>
          </w:p>
        </w:tc>
        <w:tc>
          <w:tcPr>
            <w:tcW w:w="3444" w:type="dxa"/>
          </w:tcPr>
          <w:p w14:paraId="3DF947DF">
            <w:pPr>
              <w:spacing w:line="300" w:lineRule="auto"/>
              <w:jc w:val="center"/>
              <w:rPr>
                <w:rFonts w:ascii="宋体" w:hAnsi="宋体"/>
                <w:color w:val="auto"/>
                <w:szCs w:val="21"/>
                <w:highlight w:val="none"/>
              </w:rPr>
            </w:pPr>
          </w:p>
        </w:tc>
        <w:tc>
          <w:tcPr>
            <w:tcW w:w="1708" w:type="dxa"/>
          </w:tcPr>
          <w:p w14:paraId="40C49483">
            <w:pPr>
              <w:spacing w:line="300" w:lineRule="auto"/>
              <w:jc w:val="center"/>
              <w:rPr>
                <w:rFonts w:ascii="宋体" w:hAnsi="宋体"/>
                <w:color w:val="auto"/>
                <w:szCs w:val="21"/>
                <w:highlight w:val="none"/>
              </w:rPr>
            </w:pPr>
          </w:p>
        </w:tc>
        <w:tc>
          <w:tcPr>
            <w:tcW w:w="1977" w:type="dxa"/>
          </w:tcPr>
          <w:p w14:paraId="6F0999D2">
            <w:pPr>
              <w:spacing w:line="300" w:lineRule="auto"/>
              <w:jc w:val="center"/>
              <w:rPr>
                <w:rFonts w:ascii="宋体" w:hAnsi="宋体"/>
                <w:color w:val="auto"/>
                <w:szCs w:val="21"/>
                <w:highlight w:val="none"/>
              </w:rPr>
            </w:pPr>
          </w:p>
        </w:tc>
        <w:tc>
          <w:tcPr>
            <w:tcW w:w="1559" w:type="dxa"/>
          </w:tcPr>
          <w:p w14:paraId="14FE8F4F">
            <w:pPr>
              <w:spacing w:line="300" w:lineRule="auto"/>
              <w:jc w:val="center"/>
              <w:rPr>
                <w:rFonts w:ascii="宋体" w:hAnsi="宋体"/>
                <w:color w:val="auto"/>
                <w:szCs w:val="21"/>
                <w:highlight w:val="none"/>
              </w:rPr>
            </w:pPr>
          </w:p>
        </w:tc>
      </w:tr>
      <w:tr w14:paraId="48B6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14:paraId="39EE9BAC">
            <w:pPr>
              <w:spacing w:line="300" w:lineRule="auto"/>
              <w:jc w:val="center"/>
              <w:rPr>
                <w:rFonts w:ascii="宋体" w:hAnsi="宋体"/>
                <w:color w:val="auto"/>
                <w:szCs w:val="21"/>
                <w:highlight w:val="none"/>
              </w:rPr>
            </w:pPr>
          </w:p>
          <w:p w14:paraId="4E656A56">
            <w:pPr>
              <w:spacing w:line="300" w:lineRule="auto"/>
              <w:jc w:val="center"/>
              <w:rPr>
                <w:rFonts w:ascii="宋体" w:hAnsi="宋体"/>
                <w:color w:val="auto"/>
                <w:szCs w:val="21"/>
                <w:highlight w:val="none"/>
              </w:rPr>
            </w:pPr>
          </w:p>
        </w:tc>
        <w:tc>
          <w:tcPr>
            <w:tcW w:w="3444" w:type="dxa"/>
          </w:tcPr>
          <w:p w14:paraId="64511FED">
            <w:pPr>
              <w:spacing w:line="300" w:lineRule="auto"/>
              <w:jc w:val="center"/>
              <w:rPr>
                <w:rFonts w:ascii="宋体" w:hAnsi="宋体"/>
                <w:color w:val="auto"/>
                <w:szCs w:val="21"/>
                <w:highlight w:val="none"/>
              </w:rPr>
            </w:pPr>
          </w:p>
          <w:p w14:paraId="14B39ECE">
            <w:pPr>
              <w:spacing w:line="300" w:lineRule="auto"/>
              <w:jc w:val="center"/>
              <w:rPr>
                <w:rFonts w:ascii="宋体" w:hAnsi="宋体"/>
                <w:color w:val="auto"/>
                <w:szCs w:val="21"/>
                <w:highlight w:val="none"/>
              </w:rPr>
            </w:pPr>
          </w:p>
        </w:tc>
        <w:tc>
          <w:tcPr>
            <w:tcW w:w="1708" w:type="dxa"/>
          </w:tcPr>
          <w:p w14:paraId="060F8BAD">
            <w:pPr>
              <w:spacing w:line="300" w:lineRule="auto"/>
              <w:jc w:val="center"/>
              <w:rPr>
                <w:rFonts w:ascii="宋体" w:hAnsi="宋体"/>
                <w:color w:val="auto"/>
                <w:szCs w:val="21"/>
                <w:highlight w:val="none"/>
              </w:rPr>
            </w:pPr>
          </w:p>
        </w:tc>
        <w:tc>
          <w:tcPr>
            <w:tcW w:w="1977" w:type="dxa"/>
          </w:tcPr>
          <w:p w14:paraId="1F972C08">
            <w:pPr>
              <w:spacing w:line="300" w:lineRule="auto"/>
              <w:jc w:val="center"/>
              <w:rPr>
                <w:rFonts w:ascii="宋体" w:hAnsi="宋体"/>
                <w:color w:val="auto"/>
                <w:szCs w:val="21"/>
                <w:highlight w:val="none"/>
              </w:rPr>
            </w:pPr>
          </w:p>
        </w:tc>
        <w:tc>
          <w:tcPr>
            <w:tcW w:w="1559" w:type="dxa"/>
          </w:tcPr>
          <w:p w14:paraId="2C67713C">
            <w:pPr>
              <w:spacing w:line="300" w:lineRule="auto"/>
              <w:jc w:val="center"/>
              <w:rPr>
                <w:rFonts w:ascii="宋体" w:hAnsi="宋体"/>
                <w:color w:val="auto"/>
                <w:szCs w:val="21"/>
                <w:highlight w:val="none"/>
              </w:rPr>
            </w:pPr>
          </w:p>
        </w:tc>
      </w:tr>
      <w:tr w14:paraId="50AC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Pr>
          <w:p w14:paraId="2FDE89A3">
            <w:pPr>
              <w:spacing w:line="300" w:lineRule="auto"/>
              <w:jc w:val="center"/>
              <w:rPr>
                <w:rFonts w:ascii="宋体" w:hAnsi="宋体"/>
                <w:color w:val="auto"/>
                <w:szCs w:val="21"/>
                <w:highlight w:val="none"/>
              </w:rPr>
            </w:pPr>
          </w:p>
        </w:tc>
        <w:tc>
          <w:tcPr>
            <w:tcW w:w="3444" w:type="dxa"/>
          </w:tcPr>
          <w:p w14:paraId="235C2C9A">
            <w:pPr>
              <w:spacing w:line="300" w:lineRule="auto"/>
              <w:jc w:val="center"/>
              <w:rPr>
                <w:rFonts w:ascii="宋体" w:hAnsi="宋体"/>
                <w:color w:val="auto"/>
                <w:szCs w:val="21"/>
                <w:highlight w:val="none"/>
              </w:rPr>
            </w:pPr>
            <w:r>
              <w:rPr>
                <w:rFonts w:hint="eastAsia" w:ascii="宋体" w:hAnsi="宋体"/>
                <w:color w:val="auto"/>
                <w:szCs w:val="21"/>
                <w:highlight w:val="none"/>
              </w:rPr>
              <w:t>……</w:t>
            </w:r>
          </w:p>
        </w:tc>
        <w:tc>
          <w:tcPr>
            <w:tcW w:w="1708" w:type="dxa"/>
          </w:tcPr>
          <w:p w14:paraId="28A54DE7">
            <w:pPr>
              <w:spacing w:line="300" w:lineRule="auto"/>
              <w:jc w:val="center"/>
              <w:rPr>
                <w:rFonts w:ascii="宋体" w:hAnsi="宋体"/>
                <w:color w:val="auto"/>
                <w:szCs w:val="21"/>
                <w:highlight w:val="none"/>
              </w:rPr>
            </w:pPr>
          </w:p>
        </w:tc>
        <w:tc>
          <w:tcPr>
            <w:tcW w:w="1977" w:type="dxa"/>
          </w:tcPr>
          <w:p w14:paraId="2A1D5A44">
            <w:pPr>
              <w:spacing w:line="300" w:lineRule="auto"/>
              <w:jc w:val="center"/>
              <w:rPr>
                <w:rFonts w:ascii="宋体" w:hAnsi="宋体"/>
                <w:color w:val="auto"/>
                <w:szCs w:val="21"/>
                <w:highlight w:val="none"/>
              </w:rPr>
            </w:pPr>
          </w:p>
        </w:tc>
        <w:tc>
          <w:tcPr>
            <w:tcW w:w="1559" w:type="dxa"/>
          </w:tcPr>
          <w:p w14:paraId="4FF15DC0">
            <w:pPr>
              <w:spacing w:line="300" w:lineRule="auto"/>
              <w:jc w:val="center"/>
              <w:rPr>
                <w:rFonts w:ascii="宋体" w:hAnsi="宋体"/>
                <w:color w:val="auto"/>
                <w:szCs w:val="21"/>
                <w:highlight w:val="none"/>
              </w:rPr>
            </w:pPr>
          </w:p>
        </w:tc>
      </w:tr>
    </w:tbl>
    <w:p w14:paraId="038F32E2">
      <w:pPr>
        <w:spacing w:line="300" w:lineRule="auto"/>
        <w:ind w:firstLine="359" w:firstLineChars="171"/>
        <w:rPr>
          <w:rFonts w:ascii="宋体" w:hAnsi="宋体"/>
          <w:color w:val="auto"/>
          <w:szCs w:val="21"/>
          <w:highlight w:val="none"/>
        </w:rPr>
      </w:pPr>
      <w:r>
        <w:rPr>
          <w:rFonts w:hint="eastAsia" w:ascii="宋体" w:hAnsi="宋体"/>
          <w:color w:val="auto"/>
          <w:szCs w:val="21"/>
          <w:highlight w:val="none"/>
        </w:rPr>
        <w:t>说明：</w:t>
      </w:r>
    </w:p>
    <w:p w14:paraId="70B5D6C5">
      <w:pPr>
        <w:spacing w:line="300" w:lineRule="auto"/>
        <w:ind w:firstLine="359" w:firstLineChars="171"/>
        <w:rPr>
          <w:rFonts w:ascii="宋体" w:hAnsi="宋体"/>
          <w:bCs/>
          <w:color w:val="auto"/>
          <w:szCs w:val="21"/>
          <w:highlight w:val="none"/>
        </w:rPr>
      </w:pPr>
      <w:r>
        <w:rPr>
          <w:rFonts w:hint="eastAsia" w:ascii="宋体" w:hAnsi="宋体"/>
          <w:bCs/>
          <w:color w:val="auto"/>
          <w:szCs w:val="21"/>
          <w:highlight w:val="none"/>
        </w:rPr>
        <w:t>1.把用户需求相关要求的响应情况逐条列入此表。</w:t>
      </w:r>
    </w:p>
    <w:p w14:paraId="1DAC2174">
      <w:pPr>
        <w:spacing w:line="300" w:lineRule="auto"/>
        <w:ind w:firstLine="359" w:firstLineChars="171"/>
        <w:rPr>
          <w:rFonts w:ascii="宋体" w:hAnsi="宋体"/>
          <w:bCs/>
          <w:color w:val="auto"/>
          <w:szCs w:val="21"/>
          <w:highlight w:val="none"/>
        </w:rPr>
      </w:pPr>
      <w:r>
        <w:rPr>
          <w:rFonts w:hint="eastAsia" w:ascii="宋体" w:hAnsi="宋体"/>
          <w:bCs/>
          <w:color w:val="auto"/>
          <w:szCs w:val="21"/>
          <w:highlight w:val="none"/>
        </w:rPr>
        <w:t>2.按用户需求的顺序填写。</w:t>
      </w:r>
    </w:p>
    <w:p w14:paraId="63CCC469">
      <w:pPr>
        <w:spacing w:line="300" w:lineRule="auto"/>
        <w:ind w:firstLine="359" w:firstLineChars="171"/>
        <w:rPr>
          <w:rFonts w:ascii="宋体" w:hAnsi="宋体"/>
          <w:bCs/>
          <w:color w:val="auto"/>
          <w:szCs w:val="21"/>
          <w:highlight w:val="none"/>
        </w:rPr>
      </w:pPr>
      <w:r>
        <w:rPr>
          <w:rFonts w:hint="eastAsia" w:ascii="宋体" w:hAnsi="宋体"/>
          <w:bCs/>
          <w:color w:val="auto"/>
          <w:szCs w:val="21"/>
          <w:highlight w:val="none"/>
        </w:rPr>
        <w:t>3.此表可延长。</w:t>
      </w:r>
    </w:p>
    <w:p w14:paraId="5B2A0871">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供应商名称(并加盖公章)：</w:t>
      </w:r>
    </w:p>
    <w:p w14:paraId="5669DA01">
      <w:pPr>
        <w:widowControl/>
        <w:autoSpaceDE w:val="0"/>
        <w:autoSpaceDN w:val="0"/>
        <w:spacing w:line="360" w:lineRule="auto"/>
        <w:ind w:right="893"/>
        <w:textAlignment w:val="bottom"/>
        <w:rPr>
          <w:rFonts w:ascii="宋体" w:hAnsi="宋体"/>
          <w:color w:val="auto"/>
          <w:highlight w:val="none"/>
        </w:rPr>
      </w:pPr>
      <w:r>
        <w:rPr>
          <w:rFonts w:hint="eastAsia" w:ascii="宋体" w:hAnsi="宋体" w:cs="Arial"/>
          <w:color w:val="auto"/>
          <w:highlight w:val="none"/>
        </w:rPr>
        <w:t>供应商法定代表人或其委托人签名或印鉴：</w:t>
      </w:r>
    </w:p>
    <w:p w14:paraId="43BC7B01">
      <w:pPr>
        <w:autoSpaceDE w:val="0"/>
        <w:autoSpaceDN w:val="0"/>
        <w:spacing w:line="360" w:lineRule="auto"/>
        <w:ind w:right="893"/>
        <w:textAlignment w:val="bottom"/>
        <w:rPr>
          <w:rFonts w:ascii="宋体" w:hAnsi="宋体"/>
          <w:color w:val="auto"/>
          <w:highlight w:val="none"/>
        </w:rPr>
      </w:pPr>
      <w:r>
        <w:rPr>
          <w:rFonts w:hint="eastAsia" w:ascii="宋体" w:hAnsi="宋体"/>
          <w:color w:val="auto"/>
          <w:highlight w:val="none"/>
        </w:rPr>
        <w:t>日期：</w:t>
      </w:r>
    </w:p>
    <w:p w14:paraId="0FED7B78">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sz w:val="28"/>
          <w:highlight w:val="none"/>
        </w:rPr>
        <w:br w:type="page"/>
      </w:r>
      <w:bookmarkEnd w:id="287"/>
    </w:p>
    <w:p w14:paraId="6FD254AE">
      <w:pPr>
        <w:pStyle w:val="3"/>
        <w:keepNext w:val="0"/>
        <w:keepLines w:val="0"/>
        <w:tabs>
          <w:tab w:val="left" w:pos="567"/>
        </w:tabs>
        <w:ind w:firstLine="0"/>
        <w:jc w:val="center"/>
        <w:rPr>
          <w:rFonts w:hAnsi="宋体"/>
          <w:color w:val="auto"/>
          <w:sz w:val="21"/>
          <w:szCs w:val="21"/>
          <w:highlight w:val="none"/>
        </w:rPr>
      </w:pPr>
      <w:bookmarkStart w:id="288" w:name="_Toc67046909"/>
      <w:bookmarkStart w:id="289" w:name="_Toc134"/>
      <w:r>
        <w:rPr>
          <w:rFonts w:hint="eastAsia" w:hAnsi="宋体" w:cs="宋体"/>
          <w:color w:val="auto"/>
          <w:sz w:val="21"/>
          <w:szCs w:val="21"/>
          <w:highlight w:val="none"/>
          <w:lang w:val="en-US"/>
        </w:rPr>
        <w:t>4-8</w:t>
      </w:r>
      <w:r>
        <w:rPr>
          <w:rFonts w:hint="eastAsia" w:hAnsi="宋体" w:cs="宋体"/>
          <w:color w:val="auto"/>
          <w:sz w:val="21"/>
          <w:szCs w:val="21"/>
          <w:highlight w:val="none"/>
        </w:rPr>
        <w:t>类似项目一览表</w:t>
      </w:r>
      <w:bookmarkEnd w:id="288"/>
      <w:bookmarkEnd w:id="289"/>
      <w:bookmarkStart w:id="290" w:name="_Toc307826693"/>
      <w:bookmarkEnd w:id="290"/>
      <w:bookmarkStart w:id="291" w:name="_Toc307826064"/>
      <w:bookmarkEnd w:id="291"/>
    </w:p>
    <w:tbl>
      <w:tblPr>
        <w:tblStyle w:val="3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280"/>
        <w:gridCol w:w="1454"/>
        <w:gridCol w:w="1264"/>
        <w:gridCol w:w="1598"/>
        <w:gridCol w:w="1500"/>
        <w:gridCol w:w="1380"/>
      </w:tblGrid>
      <w:tr w14:paraId="238E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60BFB82E">
            <w:pPr>
              <w:adjustRightInd w:val="0"/>
              <w:snapToGrid w:val="0"/>
              <w:spacing w:line="276" w:lineRule="auto"/>
              <w:ind w:left="-84" w:leftChars="-40" w:right="-107" w:rightChars="-51"/>
              <w:jc w:val="center"/>
              <w:rPr>
                <w:rFonts w:ascii="宋体" w:hAnsi="宋体"/>
                <w:b/>
                <w:color w:val="auto"/>
                <w:highlight w:val="none"/>
              </w:rPr>
            </w:pPr>
            <w:r>
              <w:rPr>
                <w:rFonts w:hint="eastAsia" w:ascii="宋体" w:hAnsi="宋体"/>
                <w:b/>
                <w:color w:val="auto"/>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3BB8168">
            <w:pPr>
              <w:adjustRightInd w:val="0"/>
              <w:snapToGrid w:val="0"/>
              <w:spacing w:line="276" w:lineRule="auto"/>
              <w:jc w:val="center"/>
              <w:rPr>
                <w:rFonts w:ascii="宋体" w:hAnsi="宋体"/>
                <w:b/>
                <w:color w:val="auto"/>
                <w:highlight w:val="none"/>
              </w:rPr>
            </w:pPr>
            <w:r>
              <w:rPr>
                <w:rFonts w:hint="eastAsia" w:ascii="宋体" w:hAnsi="宋体"/>
                <w:b/>
                <w:color w:val="auto"/>
                <w:highlight w:val="none"/>
              </w:rPr>
              <w:t>业主名称</w:t>
            </w:r>
          </w:p>
        </w:tc>
        <w:tc>
          <w:tcPr>
            <w:tcW w:w="1288" w:type="dxa"/>
            <w:tcBorders>
              <w:top w:val="single" w:color="auto" w:sz="4" w:space="0"/>
              <w:left w:val="single" w:color="auto" w:sz="4" w:space="0"/>
              <w:bottom w:val="single" w:color="auto" w:sz="4" w:space="0"/>
              <w:right w:val="single" w:color="auto" w:sz="4" w:space="0"/>
            </w:tcBorders>
            <w:vAlign w:val="center"/>
          </w:tcPr>
          <w:p w14:paraId="76C85144">
            <w:pPr>
              <w:adjustRightInd w:val="0"/>
              <w:snapToGrid w:val="0"/>
              <w:spacing w:line="276" w:lineRule="auto"/>
              <w:jc w:val="center"/>
              <w:rPr>
                <w:rFonts w:ascii="宋体" w:hAnsi="宋体"/>
                <w:b/>
                <w:color w:val="auto"/>
                <w:highlight w:val="none"/>
              </w:rPr>
            </w:pPr>
            <w:r>
              <w:rPr>
                <w:rFonts w:hint="eastAsia" w:ascii="宋体" w:hAnsi="宋体"/>
                <w:b/>
                <w:color w:val="auto"/>
                <w:highlight w:val="none"/>
              </w:rPr>
              <w:t>项目名称</w:t>
            </w:r>
          </w:p>
        </w:tc>
        <w:tc>
          <w:tcPr>
            <w:tcW w:w="1120" w:type="dxa"/>
            <w:tcBorders>
              <w:top w:val="single" w:color="auto" w:sz="4" w:space="0"/>
              <w:left w:val="single" w:color="auto" w:sz="4" w:space="0"/>
              <w:bottom w:val="single" w:color="auto" w:sz="4" w:space="0"/>
              <w:right w:val="single" w:color="auto" w:sz="4" w:space="0"/>
            </w:tcBorders>
            <w:vAlign w:val="center"/>
          </w:tcPr>
          <w:p w14:paraId="6713B265">
            <w:pPr>
              <w:adjustRightInd w:val="0"/>
              <w:snapToGrid w:val="0"/>
              <w:spacing w:line="276" w:lineRule="auto"/>
              <w:jc w:val="center"/>
              <w:rPr>
                <w:rFonts w:ascii="宋体" w:hAnsi="宋体"/>
                <w:b/>
                <w:color w:val="auto"/>
                <w:highlight w:val="none"/>
              </w:rPr>
            </w:pPr>
            <w:r>
              <w:rPr>
                <w:rFonts w:hint="eastAsia" w:ascii="宋体" w:hAnsi="宋体"/>
                <w:b/>
                <w:color w:val="auto"/>
                <w:highlight w:val="none"/>
              </w:rPr>
              <w:t>合同金额</w:t>
            </w:r>
          </w:p>
        </w:tc>
        <w:tc>
          <w:tcPr>
            <w:tcW w:w="1416" w:type="dxa"/>
            <w:tcBorders>
              <w:top w:val="single" w:color="auto" w:sz="4" w:space="0"/>
              <w:left w:val="single" w:color="auto" w:sz="4" w:space="0"/>
              <w:bottom w:val="single" w:color="auto" w:sz="4" w:space="0"/>
              <w:right w:val="single" w:color="auto" w:sz="4" w:space="0"/>
            </w:tcBorders>
            <w:vAlign w:val="center"/>
          </w:tcPr>
          <w:p w14:paraId="745FC31E">
            <w:pPr>
              <w:adjustRightInd w:val="0"/>
              <w:snapToGrid w:val="0"/>
              <w:spacing w:line="276" w:lineRule="auto"/>
              <w:jc w:val="center"/>
              <w:rPr>
                <w:rFonts w:ascii="宋体" w:hAnsi="宋体"/>
                <w:b/>
                <w:color w:val="auto"/>
                <w:highlight w:val="none"/>
              </w:rPr>
            </w:pPr>
            <w:r>
              <w:rPr>
                <w:rFonts w:hint="eastAsia" w:ascii="宋体" w:hAnsi="宋体"/>
                <w:b/>
                <w:color w:val="auto"/>
                <w:highlight w:val="none"/>
              </w:rPr>
              <w:t>签约及完成时间</w:t>
            </w:r>
          </w:p>
        </w:tc>
        <w:tc>
          <w:tcPr>
            <w:tcW w:w="1329" w:type="dxa"/>
            <w:tcBorders>
              <w:top w:val="single" w:color="auto" w:sz="4" w:space="0"/>
              <w:left w:val="single" w:color="auto" w:sz="4" w:space="0"/>
              <w:bottom w:val="single" w:color="auto" w:sz="4" w:space="0"/>
              <w:right w:val="single" w:color="auto" w:sz="4" w:space="0"/>
            </w:tcBorders>
            <w:vAlign w:val="center"/>
          </w:tcPr>
          <w:p w14:paraId="39B3DDED">
            <w:pPr>
              <w:adjustRightInd w:val="0"/>
              <w:snapToGrid w:val="0"/>
              <w:spacing w:line="276" w:lineRule="auto"/>
              <w:jc w:val="center"/>
              <w:rPr>
                <w:rFonts w:ascii="宋体" w:hAnsi="宋体"/>
                <w:b/>
                <w:color w:val="auto"/>
                <w:highlight w:val="none"/>
              </w:rPr>
            </w:pPr>
            <w:r>
              <w:rPr>
                <w:rFonts w:hint="eastAsia" w:ascii="宋体" w:hAnsi="宋体"/>
                <w:b/>
                <w:color w:val="auto"/>
                <w:szCs w:val="21"/>
                <w:highlight w:val="none"/>
              </w:rPr>
              <w:t>验收情况</w:t>
            </w:r>
          </w:p>
        </w:tc>
        <w:tc>
          <w:tcPr>
            <w:tcW w:w="1223" w:type="dxa"/>
            <w:tcBorders>
              <w:top w:val="single" w:color="auto" w:sz="4" w:space="0"/>
              <w:left w:val="single" w:color="auto" w:sz="4" w:space="0"/>
              <w:bottom w:val="single" w:color="auto" w:sz="4" w:space="0"/>
              <w:right w:val="single" w:color="auto" w:sz="4" w:space="0"/>
            </w:tcBorders>
            <w:vAlign w:val="center"/>
          </w:tcPr>
          <w:p w14:paraId="71470E71">
            <w:pPr>
              <w:adjustRightInd w:val="0"/>
              <w:snapToGrid w:val="0"/>
              <w:spacing w:line="276" w:lineRule="auto"/>
              <w:jc w:val="center"/>
              <w:rPr>
                <w:rFonts w:ascii="宋体" w:hAnsi="宋体"/>
                <w:b/>
                <w:color w:val="auto"/>
                <w:highlight w:val="none"/>
              </w:rPr>
            </w:pPr>
            <w:r>
              <w:rPr>
                <w:rFonts w:hint="eastAsia" w:ascii="宋体" w:hAnsi="宋体"/>
                <w:b/>
                <w:color w:val="auto"/>
                <w:highlight w:val="none"/>
              </w:rPr>
              <w:t>单位联系人及电话</w:t>
            </w:r>
          </w:p>
        </w:tc>
      </w:tr>
      <w:tr w14:paraId="1816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78A21614">
            <w:pPr>
              <w:spacing w:line="276" w:lineRule="auto"/>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1A1010C">
            <w:pPr>
              <w:spacing w:line="276" w:lineRule="auto"/>
              <w:jc w:val="center"/>
              <w:rPr>
                <w:rFonts w:ascii="宋体" w:hAnsi="宋体"/>
                <w:color w:val="auto"/>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7E61D14">
            <w:pPr>
              <w:spacing w:line="276" w:lineRule="auto"/>
              <w:jc w:val="center"/>
              <w:rPr>
                <w:rFonts w:ascii="宋体" w:hAnsi="宋体"/>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14:paraId="1B88892C">
            <w:pPr>
              <w:spacing w:line="276" w:lineRule="auto"/>
              <w:jc w:val="center"/>
              <w:rPr>
                <w:rFonts w:ascii="宋体" w:hAnsi="宋体"/>
                <w:color w:val="auto"/>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14:paraId="236E6E0F">
            <w:pPr>
              <w:spacing w:line="276" w:lineRule="auto"/>
              <w:jc w:val="center"/>
              <w:rPr>
                <w:rFonts w:ascii="宋体" w:hAnsi="宋体"/>
                <w:color w:val="auto"/>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14:paraId="3DD97E4E">
            <w:pPr>
              <w:spacing w:line="276" w:lineRule="auto"/>
              <w:jc w:val="center"/>
              <w:rPr>
                <w:rFonts w:ascii="宋体" w:hAnsi="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14:paraId="3BF89E83">
            <w:pPr>
              <w:spacing w:line="276" w:lineRule="auto"/>
              <w:jc w:val="center"/>
              <w:rPr>
                <w:rFonts w:ascii="宋体" w:hAnsi="宋体"/>
                <w:color w:val="auto"/>
                <w:highlight w:val="none"/>
              </w:rPr>
            </w:pPr>
          </w:p>
        </w:tc>
      </w:tr>
      <w:tr w14:paraId="45A1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4D49A109">
            <w:pPr>
              <w:spacing w:line="276" w:lineRule="auto"/>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354D2D">
            <w:pPr>
              <w:spacing w:line="276" w:lineRule="auto"/>
              <w:jc w:val="center"/>
              <w:rPr>
                <w:rFonts w:ascii="宋体" w:hAnsi="宋体"/>
                <w:color w:val="auto"/>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23FCC23">
            <w:pPr>
              <w:spacing w:line="276" w:lineRule="auto"/>
              <w:jc w:val="center"/>
              <w:rPr>
                <w:rFonts w:ascii="宋体" w:hAnsi="宋体"/>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14:paraId="3CDDB208">
            <w:pPr>
              <w:spacing w:line="276" w:lineRule="auto"/>
              <w:jc w:val="center"/>
              <w:rPr>
                <w:rFonts w:ascii="宋体" w:hAnsi="宋体"/>
                <w:color w:val="auto"/>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14:paraId="382756D2">
            <w:pPr>
              <w:spacing w:line="276" w:lineRule="auto"/>
              <w:jc w:val="center"/>
              <w:rPr>
                <w:rFonts w:ascii="宋体" w:hAnsi="宋体"/>
                <w:color w:val="auto"/>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14:paraId="64660030">
            <w:pPr>
              <w:spacing w:line="276" w:lineRule="auto"/>
              <w:jc w:val="center"/>
              <w:rPr>
                <w:rFonts w:ascii="宋体" w:hAnsi="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14:paraId="428F6716">
            <w:pPr>
              <w:spacing w:line="276" w:lineRule="auto"/>
              <w:jc w:val="center"/>
              <w:rPr>
                <w:rFonts w:ascii="宋体" w:hAnsi="宋体"/>
                <w:color w:val="auto"/>
                <w:highlight w:val="none"/>
              </w:rPr>
            </w:pPr>
          </w:p>
        </w:tc>
      </w:tr>
      <w:tr w14:paraId="7A62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5919D674">
            <w:pPr>
              <w:spacing w:line="276" w:lineRule="auto"/>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2D8DECD">
            <w:pPr>
              <w:spacing w:line="276" w:lineRule="auto"/>
              <w:jc w:val="center"/>
              <w:rPr>
                <w:rFonts w:ascii="宋体" w:hAnsi="宋体"/>
                <w:color w:val="auto"/>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49F99BD">
            <w:pPr>
              <w:spacing w:line="276" w:lineRule="auto"/>
              <w:jc w:val="center"/>
              <w:rPr>
                <w:rFonts w:ascii="宋体" w:hAnsi="宋体"/>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14:paraId="72A23E84">
            <w:pPr>
              <w:spacing w:line="276" w:lineRule="auto"/>
              <w:jc w:val="center"/>
              <w:rPr>
                <w:rFonts w:ascii="宋体" w:hAnsi="宋体"/>
                <w:color w:val="auto"/>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14:paraId="0F05D805">
            <w:pPr>
              <w:spacing w:line="276" w:lineRule="auto"/>
              <w:jc w:val="center"/>
              <w:rPr>
                <w:rFonts w:ascii="宋体" w:hAnsi="宋体"/>
                <w:color w:val="auto"/>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14:paraId="4518BD5F">
            <w:pPr>
              <w:spacing w:line="276" w:lineRule="auto"/>
              <w:jc w:val="center"/>
              <w:rPr>
                <w:rFonts w:ascii="宋体" w:hAnsi="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14:paraId="1AA741CD">
            <w:pPr>
              <w:spacing w:line="276" w:lineRule="auto"/>
              <w:jc w:val="center"/>
              <w:rPr>
                <w:rFonts w:ascii="宋体" w:hAnsi="宋体"/>
                <w:color w:val="auto"/>
                <w:highlight w:val="none"/>
              </w:rPr>
            </w:pPr>
          </w:p>
        </w:tc>
      </w:tr>
      <w:tr w14:paraId="2F97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5989A9EF">
            <w:pPr>
              <w:spacing w:line="276" w:lineRule="auto"/>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C8DD3D5">
            <w:pPr>
              <w:spacing w:line="276" w:lineRule="auto"/>
              <w:jc w:val="center"/>
              <w:rPr>
                <w:rFonts w:ascii="宋体" w:hAnsi="宋体"/>
                <w:color w:val="auto"/>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185308A">
            <w:pPr>
              <w:spacing w:line="276" w:lineRule="auto"/>
              <w:jc w:val="center"/>
              <w:rPr>
                <w:rFonts w:ascii="宋体" w:hAnsi="宋体"/>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14:paraId="57E50046">
            <w:pPr>
              <w:spacing w:line="276" w:lineRule="auto"/>
              <w:jc w:val="center"/>
              <w:rPr>
                <w:rFonts w:ascii="宋体" w:hAnsi="宋体"/>
                <w:color w:val="auto"/>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14:paraId="78DAEE41">
            <w:pPr>
              <w:spacing w:line="276" w:lineRule="auto"/>
              <w:jc w:val="center"/>
              <w:rPr>
                <w:rFonts w:ascii="宋体" w:hAnsi="宋体"/>
                <w:color w:val="auto"/>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14:paraId="0A5D7FC9">
            <w:pPr>
              <w:spacing w:line="276" w:lineRule="auto"/>
              <w:jc w:val="center"/>
              <w:rPr>
                <w:rFonts w:ascii="宋体" w:hAnsi="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14:paraId="32D558F1">
            <w:pPr>
              <w:spacing w:line="276" w:lineRule="auto"/>
              <w:jc w:val="center"/>
              <w:rPr>
                <w:rFonts w:ascii="宋体" w:hAnsi="宋体"/>
                <w:color w:val="auto"/>
                <w:highlight w:val="none"/>
              </w:rPr>
            </w:pPr>
          </w:p>
        </w:tc>
      </w:tr>
      <w:tr w14:paraId="6690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2B2DBD8E">
            <w:pPr>
              <w:spacing w:line="276" w:lineRule="auto"/>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6ECE97">
            <w:pPr>
              <w:spacing w:line="276" w:lineRule="auto"/>
              <w:jc w:val="center"/>
              <w:rPr>
                <w:rFonts w:ascii="宋体" w:hAnsi="宋体"/>
                <w:color w:val="auto"/>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B2029C2">
            <w:pPr>
              <w:spacing w:line="276" w:lineRule="auto"/>
              <w:jc w:val="center"/>
              <w:rPr>
                <w:rFonts w:ascii="宋体" w:hAnsi="宋体"/>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14:paraId="20D049E6">
            <w:pPr>
              <w:spacing w:line="276" w:lineRule="auto"/>
              <w:jc w:val="center"/>
              <w:rPr>
                <w:rFonts w:ascii="宋体" w:hAnsi="宋体"/>
                <w:color w:val="auto"/>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14:paraId="3846B39D">
            <w:pPr>
              <w:spacing w:line="276" w:lineRule="auto"/>
              <w:jc w:val="center"/>
              <w:rPr>
                <w:rFonts w:ascii="宋体" w:hAnsi="宋体"/>
                <w:color w:val="auto"/>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14:paraId="2D73FBA0">
            <w:pPr>
              <w:spacing w:line="276" w:lineRule="auto"/>
              <w:jc w:val="center"/>
              <w:rPr>
                <w:rFonts w:ascii="宋体" w:hAnsi="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14:paraId="3944AA68">
            <w:pPr>
              <w:spacing w:line="276" w:lineRule="auto"/>
              <w:jc w:val="center"/>
              <w:rPr>
                <w:rFonts w:ascii="宋体" w:hAnsi="宋体"/>
                <w:color w:val="auto"/>
                <w:highlight w:val="none"/>
              </w:rPr>
            </w:pPr>
          </w:p>
        </w:tc>
      </w:tr>
      <w:tr w14:paraId="4C74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29976402">
            <w:pPr>
              <w:spacing w:line="276" w:lineRule="auto"/>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8CF3EB9">
            <w:pPr>
              <w:spacing w:line="276" w:lineRule="auto"/>
              <w:jc w:val="center"/>
              <w:rPr>
                <w:rFonts w:ascii="宋体" w:hAnsi="宋体"/>
                <w:color w:val="auto"/>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EAA7231">
            <w:pPr>
              <w:spacing w:line="276" w:lineRule="auto"/>
              <w:jc w:val="center"/>
              <w:rPr>
                <w:rFonts w:ascii="宋体" w:hAnsi="宋体"/>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14:paraId="1CF5344E">
            <w:pPr>
              <w:spacing w:line="276" w:lineRule="auto"/>
              <w:jc w:val="center"/>
              <w:rPr>
                <w:rFonts w:ascii="宋体" w:hAnsi="宋体"/>
                <w:color w:val="auto"/>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14:paraId="18D8EA68">
            <w:pPr>
              <w:spacing w:line="276" w:lineRule="auto"/>
              <w:jc w:val="center"/>
              <w:rPr>
                <w:rFonts w:ascii="宋体" w:hAnsi="宋体"/>
                <w:color w:val="auto"/>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14:paraId="2ECD72A9">
            <w:pPr>
              <w:spacing w:line="276" w:lineRule="auto"/>
              <w:jc w:val="center"/>
              <w:rPr>
                <w:rFonts w:ascii="宋体" w:hAnsi="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14:paraId="4C1132EB">
            <w:pPr>
              <w:spacing w:line="276" w:lineRule="auto"/>
              <w:jc w:val="center"/>
              <w:rPr>
                <w:rFonts w:ascii="宋体" w:hAnsi="宋体"/>
                <w:color w:val="auto"/>
                <w:highlight w:val="none"/>
              </w:rPr>
            </w:pPr>
          </w:p>
        </w:tc>
      </w:tr>
      <w:tr w14:paraId="5878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3105552E">
            <w:pPr>
              <w:spacing w:line="276" w:lineRule="auto"/>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5DDF9EB">
            <w:pPr>
              <w:spacing w:line="276" w:lineRule="auto"/>
              <w:jc w:val="center"/>
              <w:rPr>
                <w:rFonts w:ascii="宋体" w:hAnsi="宋体"/>
                <w:color w:val="auto"/>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0170EEF">
            <w:pPr>
              <w:spacing w:line="276" w:lineRule="auto"/>
              <w:jc w:val="center"/>
              <w:rPr>
                <w:rFonts w:ascii="宋体" w:hAnsi="宋体"/>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14:paraId="7BDBD966">
            <w:pPr>
              <w:spacing w:line="276" w:lineRule="auto"/>
              <w:jc w:val="center"/>
              <w:rPr>
                <w:rFonts w:ascii="宋体" w:hAnsi="宋体"/>
                <w:color w:val="auto"/>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14:paraId="7C51A4D6">
            <w:pPr>
              <w:spacing w:line="276" w:lineRule="auto"/>
              <w:jc w:val="center"/>
              <w:rPr>
                <w:rFonts w:ascii="宋体" w:hAnsi="宋体"/>
                <w:color w:val="auto"/>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14:paraId="1462D5C5">
            <w:pPr>
              <w:spacing w:line="276" w:lineRule="auto"/>
              <w:jc w:val="center"/>
              <w:rPr>
                <w:rFonts w:ascii="宋体" w:hAnsi="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14:paraId="3828583E">
            <w:pPr>
              <w:spacing w:line="276" w:lineRule="auto"/>
              <w:jc w:val="center"/>
              <w:rPr>
                <w:rFonts w:ascii="宋体" w:hAnsi="宋体"/>
                <w:color w:val="auto"/>
                <w:highlight w:val="none"/>
              </w:rPr>
            </w:pPr>
          </w:p>
        </w:tc>
      </w:tr>
      <w:tr w14:paraId="7C9B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2BAA1519">
            <w:pPr>
              <w:spacing w:line="276" w:lineRule="auto"/>
              <w:jc w:val="center"/>
              <w:rPr>
                <w:rFonts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99B7207">
            <w:pPr>
              <w:spacing w:line="276" w:lineRule="auto"/>
              <w:jc w:val="center"/>
              <w:rPr>
                <w:rFonts w:ascii="宋体" w:hAnsi="宋体"/>
                <w:color w:val="auto"/>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1DB66DC">
            <w:pPr>
              <w:spacing w:line="276" w:lineRule="auto"/>
              <w:jc w:val="center"/>
              <w:rPr>
                <w:rFonts w:ascii="宋体" w:hAnsi="宋体"/>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14:paraId="26B0E9F4">
            <w:pPr>
              <w:spacing w:line="276" w:lineRule="auto"/>
              <w:jc w:val="center"/>
              <w:rPr>
                <w:rFonts w:ascii="宋体" w:hAnsi="宋体"/>
                <w:color w:val="auto"/>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14:paraId="1414EE8B">
            <w:pPr>
              <w:spacing w:line="276" w:lineRule="auto"/>
              <w:jc w:val="center"/>
              <w:rPr>
                <w:rFonts w:ascii="宋体" w:hAnsi="宋体"/>
                <w:color w:val="auto"/>
                <w:highlight w:val="none"/>
              </w:rPr>
            </w:pPr>
          </w:p>
        </w:tc>
        <w:tc>
          <w:tcPr>
            <w:tcW w:w="1329" w:type="dxa"/>
            <w:tcBorders>
              <w:top w:val="single" w:color="auto" w:sz="4" w:space="0"/>
              <w:left w:val="single" w:color="auto" w:sz="4" w:space="0"/>
              <w:bottom w:val="single" w:color="auto" w:sz="4" w:space="0"/>
              <w:right w:val="single" w:color="auto" w:sz="4" w:space="0"/>
            </w:tcBorders>
            <w:vAlign w:val="center"/>
          </w:tcPr>
          <w:p w14:paraId="2E6B324B">
            <w:pPr>
              <w:spacing w:line="276" w:lineRule="auto"/>
              <w:jc w:val="center"/>
              <w:rPr>
                <w:rFonts w:ascii="宋体" w:hAnsi="宋体"/>
                <w:color w:val="auto"/>
                <w:highlight w:val="none"/>
              </w:rPr>
            </w:pPr>
          </w:p>
        </w:tc>
        <w:tc>
          <w:tcPr>
            <w:tcW w:w="1223" w:type="dxa"/>
            <w:tcBorders>
              <w:top w:val="single" w:color="auto" w:sz="4" w:space="0"/>
              <w:left w:val="single" w:color="auto" w:sz="4" w:space="0"/>
              <w:bottom w:val="single" w:color="auto" w:sz="4" w:space="0"/>
              <w:right w:val="single" w:color="auto" w:sz="4" w:space="0"/>
            </w:tcBorders>
            <w:vAlign w:val="center"/>
          </w:tcPr>
          <w:p w14:paraId="2DEAF6CF">
            <w:pPr>
              <w:spacing w:line="276" w:lineRule="auto"/>
              <w:jc w:val="center"/>
              <w:rPr>
                <w:rFonts w:ascii="宋体" w:hAnsi="宋体"/>
                <w:color w:val="auto"/>
                <w:highlight w:val="none"/>
              </w:rPr>
            </w:pPr>
          </w:p>
        </w:tc>
      </w:tr>
    </w:tbl>
    <w:p w14:paraId="23B5B742">
      <w:pPr>
        <w:spacing w:before="156" w:after="156" w:line="360" w:lineRule="auto"/>
        <w:rPr>
          <w:rFonts w:ascii="宋体" w:hAnsi="宋体"/>
          <w:color w:val="auto"/>
          <w:szCs w:val="21"/>
          <w:highlight w:val="none"/>
        </w:rPr>
      </w:pPr>
      <w:r>
        <w:rPr>
          <w:rFonts w:hint="eastAsia" w:ascii="宋体" w:hAnsi="宋体"/>
          <w:color w:val="auto"/>
          <w:szCs w:val="21"/>
          <w:highlight w:val="none"/>
        </w:rPr>
        <w:t>（此表可延长）</w:t>
      </w:r>
    </w:p>
    <w:p w14:paraId="2FCBFD1C">
      <w:pPr>
        <w:spacing w:before="156" w:after="156" w:line="360" w:lineRule="auto"/>
        <w:ind w:left="315" w:leftChars="150"/>
        <w:rPr>
          <w:rFonts w:ascii="宋体" w:hAnsi="宋体"/>
          <w:color w:val="auto"/>
          <w:szCs w:val="21"/>
          <w:highlight w:val="none"/>
        </w:rPr>
      </w:pPr>
      <w:r>
        <w:rPr>
          <w:rFonts w:hint="eastAsia" w:ascii="宋体" w:hAnsi="宋体"/>
          <w:b/>
          <w:color w:val="auto"/>
          <w:szCs w:val="21"/>
          <w:highlight w:val="none"/>
        </w:rPr>
        <w:t>注：根据评审要求提供证明文件。</w:t>
      </w:r>
    </w:p>
    <w:p w14:paraId="75ADE008">
      <w:pPr>
        <w:spacing w:line="360" w:lineRule="auto"/>
        <w:rPr>
          <w:rFonts w:ascii="宋体" w:hAnsi="宋体"/>
          <w:color w:val="auto"/>
          <w:highlight w:val="none"/>
        </w:rPr>
      </w:pPr>
    </w:p>
    <w:p w14:paraId="7BBE6E4D">
      <w:pPr>
        <w:spacing w:line="360" w:lineRule="auto"/>
        <w:rPr>
          <w:rFonts w:ascii="宋体" w:hAnsi="宋体"/>
          <w:color w:val="auto"/>
          <w:highlight w:val="none"/>
        </w:rPr>
      </w:pPr>
    </w:p>
    <w:p w14:paraId="5297856E">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供应商名称(并加盖公章)：</w:t>
      </w:r>
    </w:p>
    <w:p w14:paraId="03104005">
      <w:pPr>
        <w:widowControl/>
        <w:autoSpaceDE w:val="0"/>
        <w:autoSpaceDN w:val="0"/>
        <w:spacing w:line="360" w:lineRule="auto"/>
        <w:ind w:right="893"/>
        <w:textAlignment w:val="bottom"/>
        <w:rPr>
          <w:rFonts w:ascii="宋体" w:hAnsi="宋体" w:cs="Arial"/>
          <w:color w:val="auto"/>
          <w:highlight w:val="none"/>
        </w:rPr>
      </w:pPr>
    </w:p>
    <w:p w14:paraId="4C981518">
      <w:pPr>
        <w:widowControl/>
        <w:autoSpaceDE w:val="0"/>
        <w:autoSpaceDN w:val="0"/>
        <w:spacing w:line="360" w:lineRule="auto"/>
        <w:ind w:right="893"/>
        <w:textAlignment w:val="bottom"/>
        <w:rPr>
          <w:rFonts w:ascii="宋体" w:hAnsi="宋体"/>
          <w:color w:val="auto"/>
          <w:highlight w:val="none"/>
        </w:rPr>
      </w:pPr>
      <w:r>
        <w:rPr>
          <w:rFonts w:hint="eastAsia" w:ascii="宋体" w:hAnsi="宋体" w:cs="Arial"/>
          <w:color w:val="auto"/>
          <w:highlight w:val="none"/>
        </w:rPr>
        <w:t>供应商法定代表人或其委托人签名或印鉴：</w:t>
      </w:r>
    </w:p>
    <w:p w14:paraId="2243E072">
      <w:pPr>
        <w:widowControl/>
        <w:autoSpaceDE w:val="0"/>
        <w:autoSpaceDN w:val="0"/>
        <w:spacing w:line="360" w:lineRule="auto"/>
        <w:ind w:right="893"/>
        <w:textAlignment w:val="bottom"/>
        <w:rPr>
          <w:rFonts w:ascii="宋体" w:hAnsi="宋体"/>
          <w:color w:val="auto"/>
          <w:highlight w:val="none"/>
        </w:rPr>
      </w:pPr>
    </w:p>
    <w:p w14:paraId="3953CFE2">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日期：</w:t>
      </w:r>
    </w:p>
    <w:p w14:paraId="183D5B43">
      <w:pPr>
        <w:spacing w:line="360" w:lineRule="auto"/>
        <w:rPr>
          <w:rFonts w:ascii="宋体" w:hAnsi="宋体"/>
          <w:color w:val="auto"/>
          <w:highlight w:val="none"/>
        </w:rPr>
      </w:pPr>
    </w:p>
    <w:p w14:paraId="161753BE">
      <w:pPr>
        <w:pStyle w:val="3"/>
        <w:keepNext w:val="0"/>
        <w:keepLines w:val="0"/>
        <w:tabs>
          <w:tab w:val="left" w:pos="567"/>
        </w:tabs>
        <w:ind w:firstLine="0"/>
        <w:rPr>
          <w:rFonts w:hAnsi="宋体"/>
          <w:color w:val="auto"/>
          <w:sz w:val="21"/>
          <w:szCs w:val="21"/>
          <w:highlight w:val="none"/>
        </w:rPr>
      </w:pPr>
      <w:bookmarkStart w:id="292" w:name="_Toc298421269"/>
      <w:bookmarkStart w:id="293" w:name="_Toc332275186"/>
    </w:p>
    <w:bookmarkEnd w:id="245"/>
    <w:bookmarkEnd w:id="246"/>
    <w:bookmarkEnd w:id="247"/>
    <w:bookmarkEnd w:id="248"/>
    <w:bookmarkEnd w:id="249"/>
    <w:bookmarkEnd w:id="250"/>
    <w:bookmarkEnd w:id="251"/>
    <w:bookmarkEnd w:id="252"/>
    <w:bookmarkEnd w:id="253"/>
    <w:bookmarkEnd w:id="256"/>
    <w:bookmarkEnd w:id="257"/>
    <w:bookmarkEnd w:id="258"/>
    <w:bookmarkEnd w:id="259"/>
    <w:bookmarkEnd w:id="262"/>
    <w:bookmarkEnd w:id="263"/>
    <w:bookmarkEnd w:id="264"/>
    <w:bookmarkEnd w:id="265"/>
    <w:bookmarkEnd w:id="266"/>
    <w:bookmarkEnd w:id="292"/>
    <w:bookmarkEnd w:id="293"/>
    <w:p w14:paraId="1F2E099B">
      <w:pPr>
        <w:pStyle w:val="3"/>
        <w:keepNext w:val="0"/>
        <w:keepLines w:val="0"/>
        <w:widowControl/>
        <w:spacing w:before="188" w:after="188" w:line="400" w:lineRule="exact"/>
        <w:jc w:val="center"/>
        <w:rPr>
          <w:rFonts w:hAnsi="宋体"/>
          <w:bCs/>
          <w:color w:val="auto"/>
          <w:highlight w:val="none"/>
        </w:rPr>
      </w:pPr>
      <w:bookmarkStart w:id="294" w:name="_Toc426557892"/>
      <w:r>
        <w:rPr>
          <w:rFonts w:hAnsi="宋体"/>
          <w:bCs/>
          <w:color w:val="auto"/>
          <w:highlight w:val="none"/>
        </w:rPr>
        <w:br w:type="page"/>
      </w:r>
      <w:bookmarkStart w:id="295" w:name="_Toc67046910"/>
    </w:p>
    <w:p w14:paraId="6D914A1C">
      <w:pPr>
        <w:pStyle w:val="3"/>
        <w:keepNext w:val="0"/>
        <w:keepLines w:val="0"/>
        <w:widowControl/>
        <w:spacing w:before="188" w:after="188" w:line="400" w:lineRule="exact"/>
        <w:jc w:val="center"/>
        <w:rPr>
          <w:rFonts w:hAnsi="宋体"/>
          <w:bCs/>
          <w:color w:val="auto"/>
          <w:highlight w:val="none"/>
        </w:rPr>
      </w:pPr>
    </w:p>
    <w:p w14:paraId="54D36730">
      <w:pPr>
        <w:pStyle w:val="3"/>
        <w:keepNext w:val="0"/>
        <w:keepLines w:val="0"/>
        <w:widowControl/>
        <w:spacing w:before="188" w:after="188" w:line="400" w:lineRule="exact"/>
        <w:jc w:val="center"/>
        <w:rPr>
          <w:rFonts w:hAnsi="宋体"/>
          <w:bCs/>
          <w:color w:val="auto"/>
          <w:highlight w:val="none"/>
        </w:rPr>
      </w:pPr>
      <w:bookmarkStart w:id="296" w:name="_Toc18979"/>
      <w:r>
        <w:rPr>
          <w:rFonts w:hint="eastAsia" w:hAnsi="宋体"/>
          <w:bCs/>
          <w:color w:val="auto"/>
          <w:highlight w:val="none"/>
        </w:rPr>
        <w:t>第五章 响应文件技术部分</w:t>
      </w:r>
      <w:bookmarkEnd w:id="294"/>
      <w:bookmarkEnd w:id="295"/>
      <w:bookmarkEnd w:id="296"/>
    </w:p>
    <w:p w14:paraId="4577A8BB">
      <w:pPr>
        <w:spacing w:line="360" w:lineRule="auto"/>
        <w:rPr>
          <w:rFonts w:ascii="宋体" w:hAnsi="宋体"/>
          <w:color w:val="auto"/>
          <w:szCs w:val="21"/>
          <w:highlight w:val="none"/>
        </w:rPr>
      </w:pPr>
      <w:bookmarkStart w:id="297" w:name="_Toc428174878"/>
      <w:bookmarkEnd w:id="297"/>
      <w:bookmarkStart w:id="298" w:name="_Toc425861354"/>
      <w:bookmarkEnd w:id="298"/>
      <w:bookmarkStart w:id="299" w:name="_Toc425862695"/>
      <w:bookmarkEnd w:id="299"/>
      <w:bookmarkStart w:id="300" w:name="_Toc427679385"/>
      <w:bookmarkEnd w:id="300"/>
      <w:bookmarkStart w:id="301" w:name="_Toc430102498"/>
      <w:bookmarkEnd w:id="301"/>
      <w:bookmarkStart w:id="302" w:name="_Toc427679257"/>
      <w:bookmarkEnd w:id="302"/>
      <w:bookmarkStart w:id="303" w:name="_Toc427682689"/>
      <w:bookmarkEnd w:id="303"/>
      <w:bookmarkStart w:id="304" w:name="_Toc430013108"/>
      <w:bookmarkEnd w:id="304"/>
      <w:bookmarkStart w:id="305" w:name="_Toc427837190"/>
      <w:bookmarkEnd w:id="305"/>
      <w:bookmarkStart w:id="306" w:name="_Toc427679343"/>
      <w:bookmarkEnd w:id="306"/>
      <w:bookmarkStart w:id="307" w:name="_Toc427837303"/>
      <w:bookmarkEnd w:id="307"/>
      <w:bookmarkStart w:id="308" w:name="_Toc426557893"/>
      <w:bookmarkEnd w:id="308"/>
      <w:bookmarkStart w:id="309" w:name="_Toc430098264"/>
      <w:bookmarkEnd w:id="309"/>
      <w:bookmarkStart w:id="310" w:name="_Toc428174676"/>
      <w:bookmarkEnd w:id="310"/>
      <w:bookmarkStart w:id="311" w:name="_Toc430012742"/>
      <w:bookmarkEnd w:id="311"/>
      <w:bookmarkStart w:id="312" w:name="_Toc430097892"/>
      <w:bookmarkEnd w:id="312"/>
      <w:bookmarkStart w:id="313" w:name="_Toc430104964"/>
      <w:bookmarkEnd w:id="313"/>
      <w:bookmarkStart w:id="314" w:name="_Toc430105295"/>
      <w:bookmarkEnd w:id="314"/>
      <w:bookmarkStart w:id="315" w:name="_Toc428174981"/>
      <w:bookmarkEnd w:id="315"/>
      <w:bookmarkStart w:id="316" w:name="_Toc427679301"/>
      <w:bookmarkEnd w:id="316"/>
      <w:bookmarkStart w:id="317" w:name="_Toc428174944"/>
      <w:bookmarkEnd w:id="317"/>
      <w:bookmarkStart w:id="318" w:name="_Toc427837096"/>
      <w:bookmarkEnd w:id="318"/>
      <w:bookmarkStart w:id="319" w:name="_Toc427837150"/>
      <w:bookmarkEnd w:id="319"/>
      <w:bookmarkStart w:id="320" w:name="_Toc427837230"/>
      <w:bookmarkEnd w:id="320"/>
    </w:p>
    <w:p w14:paraId="0CCBA6AD">
      <w:pPr>
        <w:spacing w:line="360" w:lineRule="auto"/>
        <w:rPr>
          <w:rFonts w:ascii="宋体" w:hAnsi="宋体"/>
          <w:b/>
          <w:color w:val="auto"/>
          <w:szCs w:val="21"/>
          <w:highlight w:val="none"/>
          <w:lang w:val="en-GB"/>
        </w:rPr>
      </w:pPr>
      <w:r>
        <w:rPr>
          <w:rFonts w:hint="eastAsia" w:ascii="宋体" w:hAnsi="宋体"/>
          <w:color w:val="auto"/>
          <w:szCs w:val="21"/>
          <w:highlight w:val="none"/>
        </w:rPr>
        <w:t>供应商根据技术部分评审内容自拟</w:t>
      </w:r>
      <w:r>
        <w:rPr>
          <w:rFonts w:ascii="宋体" w:hAnsi="宋体"/>
          <w:color w:val="auto"/>
          <w:szCs w:val="21"/>
          <w:highlight w:val="none"/>
        </w:rPr>
        <w:br w:type="page"/>
      </w:r>
      <w:r>
        <w:rPr>
          <w:rFonts w:hint="eastAsia" w:ascii="宋体" w:hAnsi="宋体"/>
          <w:b/>
          <w:color w:val="auto"/>
          <w:szCs w:val="21"/>
          <w:highlight w:val="none"/>
          <w:lang w:val="en-GB"/>
        </w:rPr>
        <w:t>附件</w:t>
      </w:r>
      <w:r>
        <w:rPr>
          <w:rFonts w:hint="eastAsia" w:ascii="宋体" w:hAnsi="宋体"/>
          <w:b/>
          <w:color w:val="auto"/>
          <w:szCs w:val="21"/>
          <w:highlight w:val="none"/>
        </w:rPr>
        <w:t>1</w:t>
      </w:r>
      <w:r>
        <w:rPr>
          <w:rFonts w:hint="eastAsia" w:ascii="宋体" w:hAnsi="宋体"/>
          <w:b/>
          <w:color w:val="auto"/>
          <w:szCs w:val="21"/>
          <w:highlight w:val="none"/>
          <w:lang w:val="en-GB"/>
        </w:rPr>
        <w:t>：政府采购履约担保函（提交磋商响应文件时无需提供）</w:t>
      </w:r>
    </w:p>
    <w:p w14:paraId="64A0D10A">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政府采购履约担保函</w:t>
      </w:r>
    </w:p>
    <w:p w14:paraId="3966D94B">
      <w:pPr>
        <w:spacing w:line="360" w:lineRule="auto"/>
        <w:rPr>
          <w:rFonts w:ascii="宋体" w:hAnsi="宋体"/>
          <w:color w:val="auto"/>
          <w:highlight w:val="none"/>
        </w:rPr>
      </w:pPr>
      <w:r>
        <w:rPr>
          <w:rFonts w:hint="eastAsia" w:ascii="宋体" w:hAnsi="宋体"/>
          <w:color w:val="auto"/>
          <w:highlight w:val="none"/>
        </w:rPr>
        <w:t>编号：</w:t>
      </w:r>
    </w:p>
    <w:p w14:paraId="301A3D4A">
      <w:pPr>
        <w:spacing w:line="360" w:lineRule="auto"/>
        <w:rPr>
          <w:rFonts w:ascii="宋体" w:hAnsi="宋体"/>
          <w:color w:val="auto"/>
          <w:szCs w:val="21"/>
          <w:highlight w:val="none"/>
        </w:rPr>
      </w:pPr>
      <w:r>
        <w:rPr>
          <w:rFonts w:hint="eastAsia" w:ascii="宋体" w:hAnsi="宋体"/>
          <w:color w:val="auto"/>
          <w:szCs w:val="21"/>
          <w:highlight w:val="none"/>
        </w:rPr>
        <w:t>（采购人）：</w:t>
      </w:r>
    </w:p>
    <w:p w14:paraId="313EB1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你方与（以下简称供应商）于年月日签定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14:paraId="13BAC9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一、保证责任的情形及保证金额</w:t>
      </w:r>
    </w:p>
    <w:p w14:paraId="7DFA20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（一）在供应商出现下列情形之一时，我方承担保证责任：</w:t>
      </w:r>
    </w:p>
    <w:p w14:paraId="3A175346">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．将成交项目转让给他人，或者在响应文件中未说明，且未经采购招标机构人同意，将成交项目分包给他人的；</w:t>
      </w:r>
    </w:p>
    <w:p w14:paraId="2079FDA1">
      <w:pPr>
        <w:spacing w:line="360" w:lineRule="auto"/>
        <w:rPr>
          <w:rFonts w:ascii="宋体" w:hAnsi="宋体"/>
          <w:color w:val="auto"/>
          <w:szCs w:val="21"/>
          <w:highlight w:val="none"/>
        </w:rPr>
      </w:pPr>
      <w:r>
        <w:rPr>
          <w:rFonts w:hint="eastAsia" w:ascii="宋体" w:hAnsi="宋体"/>
          <w:color w:val="auto"/>
          <w:szCs w:val="21"/>
          <w:highlight w:val="none"/>
        </w:rPr>
        <w:t>　　</w:t>
      </w:r>
      <w:r>
        <w:rPr>
          <w:rFonts w:ascii="宋体" w:hAnsi="宋体"/>
          <w:color w:val="auto"/>
          <w:szCs w:val="21"/>
          <w:highlight w:val="none"/>
        </w:rPr>
        <w:t>2</w:t>
      </w:r>
      <w:r>
        <w:rPr>
          <w:rFonts w:hint="eastAsia" w:ascii="宋体" w:hAnsi="宋体"/>
          <w:color w:val="auto"/>
          <w:szCs w:val="21"/>
          <w:highlight w:val="none"/>
        </w:rPr>
        <w:t>．主合同约定的应当缴纳履约保证金的情形</w:t>
      </w:r>
      <w:r>
        <w:rPr>
          <w:rFonts w:ascii="宋体" w:hAnsi="宋体"/>
          <w:color w:val="auto"/>
          <w:szCs w:val="21"/>
          <w:highlight w:val="none"/>
        </w:rPr>
        <w:t xml:space="preserve">: </w:t>
      </w:r>
    </w:p>
    <w:p w14:paraId="2FC3BB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）未按主合同约定的质量、数量和期限供应货物</w:t>
      </w:r>
      <w:r>
        <w:rPr>
          <w:rFonts w:ascii="宋体" w:hAnsi="宋体"/>
          <w:color w:val="auto"/>
          <w:szCs w:val="21"/>
          <w:highlight w:val="none"/>
        </w:rPr>
        <w:t>/</w:t>
      </w:r>
      <w:r>
        <w:rPr>
          <w:rFonts w:hint="eastAsia" w:ascii="宋体" w:hAnsi="宋体"/>
          <w:color w:val="auto"/>
          <w:szCs w:val="21"/>
          <w:highlight w:val="none"/>
        </w:rPr>
        <w:t>提供服务</w:t>
      </w:r>
      <w:r>
        <w:rPr>
          <w:rFonts w:ascii="宋体" w:hAnsi="宋体"/>
          <w:color w:val="auto"/>
          <w:szCs w:val="21"/>
          <w:highlight w:val="none"/>
        </w:rPr>
        <w:t>/</w:t>
      </w:r>
      <w:r>
        <w:rPr>
          <w:rFonts w:hint="eastAsia" w:ascii="宋体" w:hAnsi="宋体"/>
          <w:color w:val="auto"/>
          <w:szCs w:val="21"/>
          <w:highlight w:val="none"/>
        </w:rPr>
        <w:t>完成工程的；</w:t>
      </w:r>
    </w:p>
    <w:p w14:paraId="050FBC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p w14:paraId="6B476E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（二）我方的保证范围是主合同约定的合同价款总额的</w:t>
      </w:r>
      <w:r>
        <w:rPr>
          <w:rFonts w:ascii="宋体" w:hAnsi="宋体"/>
          <w:color w:val="auto"/>
          <w:szCs w:val="21"/>
          <w:highlight w:val="none"/>
        </w:rPr>
        <w:t>%</w:t>
      </w:r>
      <w:r>
        <w:rPr>
          <w:rFonts w:hint="eastAsia" w:ascii="宋体" w:hAnsi="宋体"/>
          <w:color w:val="auto"/>
          <w:szCs w:val="21"/>
          <w:highlight w:val="none"/>
        </w:rPr>
        <w:t>数额为元（大写），币种为。（即主合同履约保证金金额）</w:t>
      </w:r>
    </w:p>
    <w:p w14:paraId="2E45B5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二、保证的方式及保证期间</w:t>
      </w:r>
    </w:p>
    <w:p w14:paraId="754D44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我方保证的方式为：连带责任保证。</w:t>
      </w:r>
    </w:p>
    <w:p w14:paraId="615B41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我方保证的期间为：自本合同生效之日起至供应商按照主合同约定的供货</w:t>
      </w:r>
      <w:r>
        <w:rPr>
          <w:rFonts w:ascii="宋体" w:hAnsi="宋体"/>
          <w:color w:val="auto"/>
          <w:szCs w:val="21"/>
          <w:highlight w:val="none"/>
        </w:rPr>
        <w:t>/</w:t>
      </w:r>
      <w:r>
        <w:rPr>
          <w:rFonts w:hint="eastAsia" w:ascii="宋体" w:hAnsi="宋体"/>
          <w:color w:val="auto"/>
          <w:szCs w:val="21"/>
          <w:highlight w:val="none"/>
        </w:rPr>
        <w:t>完工期限届满后日内。</w:t>
      </w:r>
    </w:p>
    <w:p w14:paraId="052611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如果供应商未按主合同约定向贵方供应货物</w:t>
      </w:r>
      <w:r>
        <w:rPr>
          <w:rFonts w:ascii="宋体" w:hAnsi="宋体"/>
          <w:color w:val="auto"/>
          <w:szCs w:val="21"/>
          <w:highlight w:val="none"/>
        </w:rPr>
        <w:t>/</w:t>
      </w:r>
      <w:r>
        <w:rPr>
          <w:rFonts w:hint="eastAsia" w:ascii="宋体" w:hAnsi="宋体"/>
          <w:color w:val="auto"/>
          <w:szCs w:val="21"/>
          <w:highlight w:val="none"/>
        </w:rPr>
        <w:t>提供服务</w:t>
      </w:r>
      <w:r>
        <w:rPr>
          <w:rFonts w:ascii="宋体" w:hAnsi="宋体"/>
          <w:color w:val="auto"/>
          <w:szCs w:val="21"/>
          <w:highlight w:val="none"/>
        </w:rPr>
        <w:t>/</w:t>
      </w:r>
      <w:r>
        <w:rPr>
          <w:rFonts w:hint="eastAsia" w:ascii="宋体" w:hAnsi="宋体"/>
          <w:color w:val="auto"/>
          <w:szCs w:val="21"/>
          <w:highlight w:val="none"/>
        </w:rPr>
        <w:t>完成工程的，由我方在保证金额内向你方支付上述款项。</w:t>
      </w:r>
    </w:p>
    <w:p w14:paraId="5930ED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三、承担保证责任的程序</w:t>
      </w:r>
    </w:p>
    <w:p w14:paraId="73723D29">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．你方要求我方承担保证责任的，应在本保函保证期间内向我方发出书面索赔通知。索赔通知应写明要求索赔的金额，支付款项应到达的帐号。并附有证明供应商违约事实的证明材料。</w:t>
      </w:r>
    </w:p>
    <w:p w14:paraId="16F723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7B03C5A2">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．我方收到你方的书面索赔通知及相应证明材料，在工作日内进行核定后按照本保函的承诺承担保证责任。</w:t>
      </w:r>
    </w:p>
    <w:p w14:paraId="5325AC0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四、保证责任的终止</w:t>
      </w:r>
    </w:p>
    <w:p w14:paraId="2FBFAA15">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．保证期间届满你方未向我方书面主张保证责任的，自保证期间届满次日起，我方保证责任自动终止。保证期间届满前，主合同约定的货物</w:t>
      </w:r>
      <w:r>
        <w:rPr>
          <w:rFonts w:ascii="宋体" w:hAnsi="宋体"/>
          <w:color w:val="auto"/>
          <w:szCs w:val="21"/>
          <w:highlight w:val="none"/>
        </w:rPr>
        <w:t>\</w:t>
      </w:r>
      <w:r>
        <w:rPr>
          <w:rFonts w:hint="eastAsia" w:ascii="宋体" w:hAnsi="宋体"/>
          <w:color w:val="auto"/>
          <w:szCs w:val="21"/>
          <w:highlight w:val="none"/>
        </w:rPr>
        <w:t>工程</w:t>
      </w:r>
      <w:r>
        <w:rPr>
          <w:rFonts w:ascii="宋体" w:hAnsi="宋体"/>
          <w:color w:val="auto"/>
          <w:szCs w:val="21"/>
          <w:highlight w:val="none"/>
        </w:rPr>
        <w:t>\</w:t>
      </w:r>
      <w:r>
        <w:rPr>
          <w:rFonts w:hint="eastAsia" w:ascii="宋体" w:hAnsi="宋体"/>
          <w:color w:val="auto"/>
          <w:szCs w:val="21"/>
          <w:highlight w:val="none"/>
        </w:rPr>
        <w:t>服务全部验收合格的，自验收合格日起，我方保证责任自动终止。</w:t>
      </w:r>
    </w:p>
    <w:p w14:paraId="334FCA1F">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．我方按照本保函向你方履行了保证责任后，自我方向你方支付款项（支付款项从我方账户划出）之日起，保证责任即终止。</w:t>
      </w:r>
    </w:p>
    <w:p w14:paraId="6B9EBAD2">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．按照法律法规的规定或出现应终止我方保证责任的其它情形的，我方在本保函项下的保证责任亦终止。</w:t>
      </w:r>
    </w:p>
    <w:p w14:paraId="07963D17">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33382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五、免责条款</w:t>
      </w:r>
    </w:p>
    <w:p w14:paraId="773C1D6F">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．因你方违反主合同约定致使供应商不能履行义务的，我方不承担保证责任。</w:t>
      </w:r>
    </w:p>
    <w:p w14:paraId="5ADD3EC2">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．依照法律法规的规定或你方与供应商的另行约定，全部或者部分免除供应商应缴纳的保证金义务的，我方亦免除相应的保证责任。</w:t>
      </w:r>
    </w:p>
    <w:p w14:paraId="6AD8B281">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．因不可抗力造成供应商不能履行供货义务的，我方不承担保证责任。</w:t>
      </w:r>
    </w:p>
    <w:p w14:paraId="18E541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六、争议的解决</w:t>
      </w:r>
    </w:p>
    <w:p w14:paraId="3DABA4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因本保函发生的纠纷，由你我双方协商解决，协商不成的，通过诉讼程序解决，诉讼管辖地法院为法院。</w:t>
      </w:r>
    </w:p>
    <w:p w14:paraId="33D755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七、保函的生效</w:t>
      </w:r>
    </w:p>
    <w:p w14:paraId="15841B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本保函自我方加盖公章之日起生效。</w:t>
      </w:r>
    </w:p>
    <w:p w14:paraId="77734208">
      <w:pPr>
        <w:spacing w:line="360" w:lineRule="auto"/>
        <w:rPr>
          <w:rFonts w:ascii="宋体" w:hAnsi="宋体"/>
          <w:color w:val="auto"/>
          <w:szCs w:val="21"/>
          <w:highlight w:val="none"/>
        </w:rPr>
      </w:pPr>
    </w:p>
    <w:p w14:paraId="1B7C1B57">
      <w:pPr>
        <w:spacing w:line="360" w:lineRule="auto"/>
        <w:rPr>
          <w:rFonts w:ascii="宋体" w:hAnsi="宋体"/>
          <w:color w:val="auto"/>
          <w:szCs w:val="21"/>
          <w:highlight w:val="none"/>
        </w:rPr>
      </w:pPr>
    </w:p>
    <w:p w14:paraId="2D9E7F34">
      <w:pPr>
        <w:spacing w:line="360" w:lineRule="auto"/>
        <w:ind w:firstLine="6090" w:firstLineChars="2900"/>
        <w:rPr>
          <w:rFonts w:ascii="宋体" w:hAnsi="宋体"/>
          <w:color w:val="auto"/>
          <w:szCs w:val="21"/>
          <w:highlight w:val="none"/>
        </w:rPr>
      </w:pPr>
      <w:r>
        <w:rPr>
          <w:rFonts w:hint="eastAsia" w:ascii="宋体" w:hAnsi="宋体"/>
          <w:color w:val="auto"/>
          <w:szCs w:val="21"/>
          <w:highlight w:val="none"/>
        </w:rPr>
        <w:t>保证人：（公章）</w:t>
      </w:r>
    </w:p>
    <w:p w14:paraId="0DF3BE68">
      <w:pPr>
        <w:spacing w:line="360" w:lineRule="auto"/>
        <w:rPr>
          <w:rFonts w:ascii="宋体" w:hAnsi="宋体"/>
          <w:color w:val="auto"/>
          <w:szCs w:val="21"/>
          <w:highlight w:val="none"/>
        </w:rPr>
      </w:pPr>
    </w:p>
    <w:p w14:paraId="528D3DD6">
      <w:pPr>
        <w:wordWrap w:val="0"/>
        <w:spacing w:line="360" w:lineRule="auto"/>
        <w:jc w:val="right"/>
        <w:rPr>
          <w:rFonts w:ascii="宋体" w:hAnsi="宋体"/>
          <w:color w:val="auto"/>
          <w:szCs w:val="21"/>
          <w:highlight w:val="none"/>
        </w:rPr>
      </w:pPr>
      <w:r>
        <w:rPr>
          <w:rFonts w:hint="eastAsia" w:ascii="宋体" w:hAnsi="宋体"/>
          <w:color w:val="auto"/>
          <w:szCs w:val="21"/>
          <w:highlight w:val="none"/>
        </w:rPr>
        <w:t>年        月       日</w:t>
      </w:r>
    </w:p>
    <w:p w14:paraId="2684EB0D">
      <w:pPr>
        <w:rPr>
          <w:rFonts w:ascii="宋体" w:hAnsi="宋体"/>
          <w:color w:val="auto"/>
          <w:szCs w:val="21"/>
          <w:highlight w:val="none"/>
        </w:rPr>
      </w:pPr>
      <w:r>
        <w:rPr>
          <w:rFonts w:hint="eastAsia" w:ascii="宋体" w:hAnsi="宋体"/>
          <w:color w:val="auto"/>
          <w:szCs w:val="21"/>
          <w:highlight w:val="none"/>
        </w:rPr>
        <w:br w:type="page"/>
      </w:r>
    </w:p>
    <w:p w14:paraId="6B3DFD72">
      <w:pPr>
        <w:tabs>
          <w:tab w:val="left" w:pos="720"/>
        </w:tabs>
        <w:snapToGrid w:val="0"/>
        <w:spacing w:line="360" w:lineRule="auto"/>
        <w:rPr>
          <w:rFonts w:ascii="宋体" w:hAnsi="宋体"/>
          <w:b/>
          <w:bCs/>
          <w:color w:val="auto"/>
          <w:szCs w:val="21"/>
          <w:highlight w:val="none"/>
        </w:rPr>
      </w:pPr>
      <w:r>
        <w:rPr>
          <w:rFonts w:hint="eastAsia" w:ascii="宋体" w:hAnsi="宋体"/>
          <w:b/>
          <w:bCs/>
          <w:color w:val="auto"/>
          <w:szCs w:val="21"/>
          <w:highlight w:val="none"/>
        </w:rPr>
        <w:t>附件2：政府采购供应商质疑函范本</w:t>
      </w:r>
    </w:p>
    <w:p w14:paraId="118AD371">
      <w:pPr>
        <w:jc w:val="center"/>
        <w:rPr>
          <w:rFonts w:ascii="宋体" w:hAnsi="宋体" w:cs="宋体"/>
          <w:b/>
          <w:bCs/>
          <w:color w:val="auto"/>
          <w:szCs w:val="21"/>
          <w:highlight w:val="none"/>
        </w:rPr>
      </w:pPr>
      <w:r>
        <w:rPr>
          <w:rFonts w:hint="eastAsia" w:ascii="宋体" w:hAnsi="宋体" w:cs="宋体"/>
          <w:b/>
          <w:bCs/>
          <w:color w:val="auto"/>
          <w:szCs w:val="21"/>
          <w:highlight w:val="none"/>
        </w:rPr>
        <w:t>质疑函范本</w:t>
      </w:r>
    </w:p>
    <w:p w14:paraId="6F71AB39">
      <w:pPr>
        <w:adjustRightInd w:val="0"/>
        <w:snapToGrid w:val="0"/>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一、质疑供应商基本信息</w:t>
      </w:r>
    </w:p>
    <w:p w14:paraId="4519DEC0">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p>
    <w:p w14:paraId="4669FE8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地址：邮编：</w:t>
      </w:r>
    </w:p>
    <w:p w14:paraId="68FFDD1F">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联系人：联系电话：</w:t>
      </w:r>
    </w:p>
    <w:p w14:paraId="472AF401">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p>
    <w:p w14:paraId="26BFDB41">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p>
    <w:p w14:paraId="2660160C">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 邮编：</w:t>
      </w:r>
    </w:p>
    <w:p w14:paraId="310A7B38">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二、质疑项目基本情况</w:t>
      </w:r>
    </w:p>
    <w:p w14:paraId="5448EDD6">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p>
    <w:p w14:paraId="66DC23B4">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质疑项目的编号：包号：</w:t>
      </w:r>
    </w:p>
    <w:p w14:paraId="68232118">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p>
    <w:p w14:paraId="57DCA76F">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采购文件获取日期：</w:t>
      </w:r>
    </w:p>
    <w:p w14:paraId="26C97E46">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三、质疑事项具体内容</w:t>
      </w:r>
    </w:p>
    <w:p w14:paraId="62447B8D">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p>
    <w:p w14:paraId="250C6D1D">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p>
    <w:p w14:paraId="3704B3DE">
      <w:pPr>
        <w:adjustRightInd w:val="0"/>
        <w:snapToGrid w:val="0"/>
        <w:spacing w:line="360" w:lineRule="auto"/>
        <w:rPr>
          <w:rFonts w:ascii="宋体" w:hAnsi="宋体" w:cs="宋体"/>
          <w:color w:val="auto"/>
          <w:szCs w:val="21"/>
          <w:highlight w:val="none"/>
        </w:rPr>
      </w:pPr>
    </w:p>
    <w:p w14:paraId="1E83C241">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p>
    <w:p w14:paraId="59AC554C">
      <w:pPr>
        <w:adjustRightInd w:val="0"/>
        <w:snapToGrid w:val="0"/>
        <w:spacing w:line="360" w:lineRule="auto"/>
        <w:rPr>
          <w:rFonts w:ascii="宋体" w:hAnsi="宋体" w:cs="宋体"/>
          <w:color w:val="auto"/>
          <w:szCs w:val="21"/>
          <w:highlight w:val="none"/>
          <w:u w:val="dotted"/>
        </w:rPr>
      </w:pPr>
    </w:p>
    <w:p w14:paraId="7BD0A9B6">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14:paraId="2A4C11B4">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14:paraId="4094B3AF">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四、与质疑事项相关的质疑请求</w:t>
      </w:r>
    </w:p>
    <w:p w14:paraId="661784CD">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p>
    <w:p w14:paraId="046A787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0F97D4A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14:paraId="0101C37C">
      <w:pPr>
        <w:spacing w:line="360" w:lineRule="auto"/>
        <w:jc w:val="center"/>
        <w:rPr>
          <w:rFonts w:ascii="宋体" w:hAnsi="宋体" w:cs="宋体"/>
          <w:b/>
          <w:bCs/>
          <w:color w:val="auto"/>
          <w:szCs w:val="21"/>
          <w:highlight w:val="none"/>
        </w:rPr>
      </w:pPr>
    </w:p>
    <w:p w14:paraId="0388F5E1">
      <w:pPr>
        <w:rPr>
          <w:rFonts w:ascii="宋体" w:hAnsi="宋体" w:cs="宋体"/>
          <w:b/>
          <w:color w:val="auto"/>
          <w:szCs w:val="21"/>
          <w:highlight w:val="none"/>
        </w:rPr>
      </w:pPr>
      <w:r>
        <w:rPr>
          <w:rFonts w:hint="eastAsia" w:ascii="宋体" w:hAnsi="宋体" w:cs="宋体"/>
          <w:b/>
          <w:color w:val="auto"/>
          <w:szCs w:val="21"/>
          <w:highlight w:val="none"/>
        </w:rPr>
        <w:br w:type="page"/>
      </w:r>
    </w:p>
    <w:p w14:paraId="16EC6E0D">
      <w:pPr>
        <w:spacing w:line="360" w:lineRule="auto"/>
        <w:rPr>
          <w:rFonts w:ascii="宋体" w:hAnsi="宋体" w:cs="宋体"/>
          <w:b/>
          <w:color w:val="auto"/>
          <w:szCs w:val="21"/>
          <w:highlight w:val="none"/>
        </w:rPr>
      </w:pPr>
      <w:r>
        <w:rPr>
          <w:rFonts w:hint="eastAsia" w:ascii="宋体" w:hAnsi="宋体" w:cs="宋体"/>
          <w:b/>
          <w:color w:val="auto"/>
          <w:szCs w:val="21"/>
          <w:highlight w:val="none"/>
        </w:rPr>
        <w:t>质疑函制作说明：</w:t>
      </w:r>
    </w:p>
    <w:p w14:paraId="4A78760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528FBF4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27AB43A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3191DE5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7498064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59E813C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157FF0D">
      <w:pPr>
        <w:spacing w:line="360" w:lineRule="auto"/>
        <w:rPr>
          <w:rFonts w:ascii="宋体" w:hAnsi="宋体"/>
          <w:color w:val="auto"/>
          <w:szCs w:val="21"/>
          <w:highlight w:val="none"/>
        </w:rPr>
      </w:pPr>
    </w:p>
    <w:p w14:paraId="4A501630">
      <w:pPr>
        <w:spacing w:line="360" w:lineRule="auto"/>
        <w:rPr>
          <w:rFonts w:ascii="宋体" w:hAnsi="宋体"/>
          <w:color w:val="auto"/>
          <w:szCs w:val="21"/>
          <w:highlight w:val="none"/>
        </w:rPr>
      </w:pPr>
    </w:p>
    <w:p w14:paraId="44F27EE7">
      <w:pPr>
        <w:spacing w:line="360" w:lineRule="auto"/>
        <w:rPr>
          <w:rFonts w:ascii="宋体" w:hAnsi="宋体"/>
          <w:color w:val="auto"/>
          <w:szCs w:val="21"/>
          <w:highlight w:val="none"/>
        </w:rPr>
      </w:pPr>
    </w:p>
    <w:bookmarkEnd w:id="321"/>
    <w:sectPr>
      <w:pgSz w:w="11906" w:h="16838"/>
      <w:pgMar w:top="935" w:right="1644" w:bottom="567" w:left="1260" w:header="851" w:footer="56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0B44DEB-E370-42F0-BCC0-B6E3CD64239A}"/>
  </w:font>
  <w:font w:name="黑体">
    <w:panose1 w:val="02010609060101010101"/>
    <w:charset w:val="86"/>
    <w:family w:val="auto"/>
    <w:pitch w:val="default"/>
    <w:sig w:usb0="800002BF" w:usb1="38CF7CFA" w:usb2="00000016" w:usb3="00000000" w:csb0="00040001" w:csb1="00000000"/>
    <w:embedRegular r:id="rId2" w:fontKey="{B3BA7924-6301-4CA3-B6C5-EAFF96F748C6}"/>
  </w:font>
  <w:font w:name="Courier New">
    <w:panose1 w:val="02070309020205020404"/>
    <w:charset w:val="01"/>
    <w:family w:val="modern"/>
    <w:pitch w:val="default"/>
    <w:sig w:usb0="E0002EFF" w:usb1="C0007843" w:usb2="00000009" w:usb3="00000000" w:csb0="400001FF" w:csb1="FFFF0000"/>
    <w:embedRegular r:id="rId3" w:fontKey="{0267443E-6A70-4A6B-907E-7325F177A75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7637F4B0-95EB-43D1-9A85-A721E119DB48}"/>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embedRegular r:id="rId5" w:fontKey="{F31D9EF5-7833-4756-A617-7DA0D81162B8}"/>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6" w:fontKey="{23D7B020-5DBF-46D9-B26E-3D0695578CB2}"/>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7" w:fontKey="{B745A739-9EBD-417E-BBB8-E86E533067C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3E66">
    <w:pPr>
      <w:pStyle w:val="20"/>
      <w:framePr w:wrap="around" w:vAnchor="text" w:hAnchor="margin" w:xAlign="right" w:y="1"/>
      <w:rPr>
        <w:rStyle w:val="37"/>
      </w:rPr>
    </w:pPr>
  </w:p>
  <w:p w14:paraId="49E023E0">
    <w:pPr>
      <w:pStyle w:val="20"/>
      <w:ind w:right="360"/>
      <w:jc w:val="right"/>
    </w:pPr>
    <w:r>
      <w:rPr>
        <w:sz w:val="20"/>
      </w:rPr>
      <mc:AlternateContent>
        <mc:Choice Requires="wps">
          <w:drawing>
            <wp:anchor distT="0" distB="0" distL="0" distR="0" simplePos="0" relativeHeight="251659264" behindDoc="0" locked="0" layoutInCell="0" allowOverlap="1">
              <wp:simplePos x="0" y="0"/>
              <wp:positionH relativeFrom="column">
                <wp:posOffset>0</wp:posOffset>
              </wp:positionH>
              <wp:positionV relativeFrom="paragraph">
                <wp:posOffset>186690</wp:posOffset>
              </wp:positionV>
              <wp:extent cx="5699760" cy="15240"/>
              <wp:effectExtent l="0" t="4445" r="15240" b="8890"/>
              <wp:wrapNone/>
              <wp:docPr id="4097" name="Line 1"/>
              <wp:cNvGraphicFramePr/>
              <a:graphic xmlns:a="http://schemas.openxmlformats.org/drawingml/2006/main">
                <a:graphicData uri="http://schemas.microsoft.com/office/word/2010/wordprocessingShape">
                  <wps:wsp>
                    <wps:cNvCnPr/>
                    <wps:spPr>
                      <a:xfrm>
                        <a:off x="0" y="0"/>
                        <a:ext cx="5699760" cy="15239"/>
                      </a:xfrm>
                      <a:prstGeom prst="line">
                        <a:avLst/>
                      </a:prstGeom>
                      <a:ln w="9525" cap="flat" cmpd="sng">
                        <a:solidFill>
                          <a:srgbClr val="000000"/>
                        </a:solidFill>
                        <a:prstDash val="solid"/>
                        <a:round/>
                      </a:ln>
                    </wps:spPr>
                    <wps:bodyPr/>
                  </wps:wsp>
                </a:graphicData>
              </a:graphic>
            </wp:anchor>
          </w:drawing>
        </mc:Choice>
        <mc:Fallback>
          <w:pict>
            <v:line id="Line 1" o:spid="_x0000_s1026" o:spt="20" style="position:absolute;left:0pt;margin-left:0pt;margin-top:14.7pt;height:1.2pt;width:448.8pt;z-index:251659264;mso-width-relative:page;mso-height-relative:page;" filled="f" stroked="t" coordsize="21600,21600" o:allowincell="f" o:gfxdata="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ExYNDWAAAABgEAAA8AAAAAAAAAAQAgAAAAIgAAAGRycy9kb3ducmV2LnhtbFBL&#10;AQIUABQAAAAIAIdO4kBevmxvvwEAAIoDAAAOAAAAAAAAAAEAIAAAACUBAABkcnMvZTJvRG9jLnht&#10;bFBLBQYAAAAABgAGAFkBAABWBQAAAAA=&#10;">
              <v:fill on="f" focussize="0,0"/>
              <v:stroke color="#000000" joinstyle="round"/>
              <v:imagedata o:title=""/>
              <o:lock v:ext="edit" aspectratio="f"/>
            </v:line>
          </w:pict>
        </mc:Fallback>
      </mc:AlternateContent>
    </w:r>
    <w:r>
      <w:rPr>
        <w:rFonts w:hint="eastAsia"/>
      </w:rPr>
      <w:t xml:space="preserve">      </w:t>
    </w:r>
    <w:r>
      <w:rPr>
        <w:rFonts w:hint="eastAsia"/>
        <w:lang w:eastAsia="zh-CN"/>
      </w:rPr>
      <w:t>广州中天项目管理咨询有限公司</w:t>
    </w:r>
    <w:r>
      <w:rPr>
        <w:rFonts w:hint="eastAsia"/>
      </w:rPr>
      <w:t>编制</w:t>
    </w:r>
  </w:p>
  <w:p w14:paraId="69D20839">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F854">
    <w:pPr>
      <w:pStyle w:val="20"/>
      <w:framePr w:wrap="around" w:vAnchor="text" w:hAnchor="margin" w:xAlign="right" w:y="1"/>
      <w:rPr>
        <w:rStyle w:val="37"/>
      </w:rPr>
    </w:pPr>
    <w:r>
      <w:fldChar w:fldCharType="begin"/>
    </w:r>
    <w:r>
      <w:rPr>
        <w:rStyle w:val="37"/>
      </w:rPr>
      <w:instrText xml:space="preserve">PAGE  </w:instrText>
    </w:r>
    <w:r>
      <w:fldChar w:fldCharType="end"/>
    </w:r>
  </w:p>
  <w:p w14:paraId="632A2974">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C79D0">
    <w:pPr>
      <w:pStyle w:val="20"/>
      <w:rPr>
        <w:rStyle w:val="37"/>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847648">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KRZATKAQAAkw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9sdZMs6gNWdPMh3MOUIYVJ79CCTV9SwoZs6/lqqxoik7S5XK/W65Icl3Q2J4RTPD4PgPGd8pal&#10;oOZAfct2itMHjOPV+UqqZlxanb/TxoynaadINEdiKYrDfpjY7n1zJpk09QTeefjKWU89r7mjEefM&#10;vHdkaRqPOYA52M+BcJIe1nzkheHtMVL5zC0VGytMHKhXWd00V2kY/s7zrcd/af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JKRZATKAQAAkwMAAA4AAAAAAAAAAQAgAAAAHwEAAGRycy9lMm9E&#10;b2MueG1sUEsFBgAAAAAGAAYAWQEAAFsFAAAAAA==&#10;">
              <v:fill on="f" focussize="0,0"/>
              <v:stroke on="f"/>
              <v:imagedata o:title=""/>
              <o:lock v:ext="edit" aspectratio="f"/>
              <v:textbox inset="0mm,0mm,0mm,0mm" style="mso-fit-shape-to-text:t;">
                <w:txbxContent>
                  <w:p w14:paraId="13847648">
                    <w:pPr>
                      <w:pStyle w:val="20"/>
                    </w:pPr>
                    <w:r>
                      <w:fldChar w:fldCharType="begin"/>
                    </w:r>
                    <w:r>
                      <w:instrText xml:space="preserve"> PAGE  \* MERGEFORMAT </w:instrText>
                    </w:r>
                    <w:r>
                      <w:fldChar w:fldCharType="separate"/>
                    </w:r>
                    <w:r>
                      <w:t>1</w:t>
                    </w:r>
                    <w:r>
                      <w:fldChar w:fldCharType="end"/>
                    </w:r>
                  </w:p>
                </w:txbxContent>
              </v:textbox>
            </v:rect>
          </w:pict>
        </mc:Fallback>
      </mc:AlternateContent>
    </w:r>
  </w:p>
  <w:p w14:paraId="3F259819">
    <w:pPr>
      <w:pStyle w:val="20"/>
      <w:spacing w:line="240" w:lineRule="atLeast"/>
      <w:jc w:val="right"/>
    </w:pPr>
    <w:r>
      <w:rPr>
        <w:sz w:val="20"/>
      </w:rPr>
      <mc:AlternateContent>
        <mc:Choice Requires="wps">
          <w:drawing>
            <wp:anchor distT="0" distB="0" distL="0" distR="0" simplePos="0" relativeHeight="251659264" behindDoc="0" locked="0" layoutInCell="0" allowOverlap="1">
              <wp:simplePos x="0" y="0"/>
              <wp:positionH relativeFrom="column">
                <wp:posOffset>-19050</wp:posOffset>
              </wp:positionH>
              <wp:positionV relativeFrom="paragraph">
                <wp:posOffset>154305</wp:posOffset>
              </wp:positionV>
              <wp:extent cx="5699760" cy="15240"/>
              <wp:effectExtent l="0" t="4445" r="15240" b="8890"/>
              <wp:wrapNone/>
              <wp:docPr id="4099" name="Line 1"/>
              <wp:cNvGraphicFramePr/>
              <a:graphic xmlns:a="http://schemas.openxmlformats.org/drawingml/2006/main">
                <a:graphicData uri="http://schemas.microsoft.com/office/word/2010/wordprocessingShape">
                  <wps:wsp>
                    <wps:cNvCnPr/>
                    <wps:spPr>
                      <a:xfrm>
                        <a:off x="0" y="0"/>
                        <a:ext cx="5699760" cy="15239"/>
                      </a:xfrm>
                      <a:prstGeom prst="line">
                        <a:avLst/>
                      </a:prstGeom>
                      <a:ln w="9525" cap="flat" cmpd="sng">
                        <a:solidFill>
                          <a:srgbClr val="000000"/>
                        </a:solidFill>
                        <a:prstDash val="solid"/>
                        <a:round/>
                      </a:ln>
                    </wps:spPr>
                    <wps:bodyPr/>
                  </wps:wsp>
                </a:graphicData>
              </a:graphic>
            </wp:anchor>
          </w:drawing>
        </mc:Choice>
        <mc:Fallback>
          <w:pict>
            <v:line id="Line 1" o:spid="_x0000_s1026" o:spt="20" style="position:absolute;left:0pt;margin-left:-1.5pt;margin-top:12.15pt;height:1.2pt;width:448.8pt;z-index:251659264;mso-width-relative:page;mso-height-relative:page;" filled="f" stroked="t" coordsize="21600,21600" o:allowincell="f" o:gfxdata="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UPVe1wAAAAgBAAAPAAAAAAAAAAEAIAAAACIAAABkcnMvZG93bnJldi54bWxQ&#10;SwECFAAUAAAACACHTuJA7+JViL8BAACKAwAADgAAAAAAAAABACAAAAAmAQAAZHJzL2Uyb0RvYy54&#10;bWxQSwUGAAAAAAYABgBZAQAAVwUAAAAA&#10;">
              <v:fill on="f" focussize="0,0"/>
              <v:stroke color="#000000" joinstyle="round"/>
              <v:imagedata o:title=""/>
              <o:lock v:ext="edit" aspectratio="f"/>
            </v:line>
          </w:pict>
        </mc:Fallback>
      </mc:AlternateContent>
    </w:r>
    <w:r>
      <w:rPr>
        <w:rFonts w:hint="eastAsia"/>
      </w:rPr>
      <w:t xml:space="preserve">      </w:t>
    </w:r>
    <w:r>
      <w:rPr>
        <w:rFonts w:hint="eastAsia"/>
        <w:lang w:eastAsia="zh-CN"/>
      </w:rPr>
      <w:t>广州中天项目管理咨询有限公司</w:t>
    </w:r>
    <w:r>
      <w:rPr>
        <w:rFonts w:hint="eastAsia"/>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1F0E1">
    <w:pPr>
      <w:pStyle w:val="2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0ED7A6">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g9FnJAQAAkw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bvU0W9QErOnkf7mDKkMKkd2jBpi8pYUO29Xy1VQ2RSdpcrlfrdQKXVJsTwikergfA+F55y1JQ&#10;c6B3y3aK00eM49H5SOpmXFqdv9XGjNW0UySaI7EUxWE/TGz3vjmTTJp6Au88fOOspzevuaMR58x8&#10;cGRpGo85gDnYz4Fwki7WfOSF4d0xUvvMLTUbO0wc6K2yummu0jA8zvOph3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PCD0WckBAACTAwAADgAAAAAAAAABACAAAAAfAQAAZHJzL2Uyb0Rv&#10;Yy54bWxQSwUGAAAAAAYABgBZAQAAWgUAAAAA&#10;">
              <v:fill on="f" focussize="0,0"/>
              <v:stroke on="f"/>
              <v:imagedata o:title=""/>
              <o:lock v:ext="edit" aspectratio="f"/>
              <v:textbox inset="0mm,0mm,0mm,0mm" style="mso-fit-shape-to-text:t;">
                <w:txbxContent>
                  <w:p w14:paraId="770ED7A6">
                    <w:pPr>
                      <w:pStyle w:val="2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7A356">
    <w:pPr>
      <w:pStyle w:val="20"/>
      <w:rPr>
        <w:rStyle w:val="37"/>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CBA515">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O+x+U7KAQAAkwMAAA4AAAAAAAAAAQAgAAAAHwEAAGRycy9lMm9E&#10;b2MueG1sUEsFBgAAAAAGAAYAWQEAAFsFAAAAAA==&#10;">
              <v:fill on="f" focussize="0,0"/>
              <v:stroke on="f"/>
              <v:imagedata o:title=""/>
              <o:lock v:ext="edit" aspectratio="f"/>
              <v:textbox inset="0mm,0mm,0mm,0mm" style="mso-fit-shape-to-text:t;">
                <w:txbxContent>
                  <w:p w14:paraId="06CBA515">
                    <w:pPr>
                      <w:pStyle w:val="20"/>
                    </w:pPr>
                    <w:r>
                      <w:fldChar w:fldCharType="begin"/>
                    </w:r>
                    <w:r>
                      <w:instrText xml:space="preserve"> PAGE  \* MERGEFORMAT </w:instrText>
                    </w:r>
                    <w:r>
                      <w:fldChar w:fldCharType="separate"/>
                    </w:r>
                    <w:r>
                      <w:t>1</w:t>
                    </w:r>
                    <w:r>
                      <w:fldChar w:fldCharType="end"/>
                    </w:r>
                  </w:p>
                </w:txbxContent>
              </v:textbox>
            </v:rect>
          </w:pict>
        </mc:Fallback>
      </mc:AlternateContent>
    </w:r>
  </w:p>
  <w:p w14:paraId="10FE23D2">
    <w:pPr>
      <w:pStyle w:val="20"/>
      <w:spacing w:line="240" w:lineRule="atLeast"/>
      <w:jc w:val="right"/>
    </w:pPr>
    <w:r>
      <w:rPr>
        <w:sz w:val="20"/>
      </w:rPr>
      <mc:AlternateContent>
        <mc:Choice Requires="wps">
          <w:drawing>
            <wp:anchor distT="0" distB="0" distL="0" distR="0" simplePos="0" relativeHeight="251659264" behindDoc="0" locked="0" layoutInCell="0" allowOverlap="1">
              <wp:simplePos x="0" y="0"/>
              <wp:positionH relativeFrom="column">
                <wp:posOffset>-19050</wp:posOffset>
              </wp:positionH>
              <wp:positionV relativeFrom="paragraph">
                <wp:posOffset>154305</wp:posOffset>
              </wp:positionV>
              <wp:extent cx="5699760" cy="15240"/>
              <wp:effectExtent l="0" t="4445" r="15240" b="8890"/>
              <wp:wrapNone/>
              <wp:docPr id="4102" name="Line 1"/>
              <wp:cNvGraphicFramePr/>
              <a:graphic xmlns:a="http://schemas.openxmlformats.org/drawingml/2006/main">
                <a:graphicData uri="http://schemas.microsoft.com/office/word/2010/wordprocessingShape">
                  <wps:wsp>
                    <wps:cNvCnPr/>
                    <wps:spPr>
                      <a:xfrm>
                        <a:off x="0" y="0"/>
                        <a:ext cx="5699760" cy="15239"/>
                      </a:xfrm>
                      <a:prstGeom prst="line">
                        <a:avLst/>
                      </a:prstGeom>
                      <a:ln w="9525" cap="flat" cmpd="sng">
                        <a:solidFill>
                          <a:srgbClr val="000000"/>
                        </a:solidFill>
                        <a:prstDash val="solid"/>
                        <a:round/>
                      </a:ln>
                    </wps:spPr>
                    <wps:bodyPr/>
                  </wps:wsp>
                </a:graphicData>
              </a:graphic>
            </wp:anchor>
          </w:drawing>
        </mc:Choice>
        <mc:Fallback>
          <w:pict>
            <v:line id="Line 1" o:spid="_x0000_s1026" o:spt="20" style="position:absolute;left:0pt;margin-left:-1.5pt;margin-top:12.15pt;height:1.2pt;width:448.8pt;z-index:251659264;mso-width-relative:page;mso-height-relative:page;" filled="f" stroked="t" coordsize="21600,21600" o:allowincell="f" o:gfxdata="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UPVe1wAAAAgBAAAPAAAAAAAAAAEAIAAAACIAAABkcnMvZG93bnJldi54bWxQ&#10;SwECFAAUAAAACACHTuJAx+Ifg78BAACKAwAADgAAAAAAAAABACAAAAAmAQAAZHJzL2Uyb0RvYy54&#10;bWxQSwUGAAAAAAYABgBZAQAAVwUAAAAA&#10;">
              <v:fill on="f" focussize="0,0"/>
              <v:stroke color="#000000" joinstyle="round"/>
              <v:imagedata o:title=""/>
              <o:lock v:ext="edit" aspectratio="f"/>
            </v:line>
          </w:pict>
        </mc:Fallback>
      </mc:AlternateContent>
    </w:r>
    <w:r>
      <w:rPr>
        <w:rFonts w:hint="eastAsia"/>
      </w:rPr>
      <w:t xml:space="preserve">      </w:t>
    </w:r>
    <w:r>
      <w:rPr>
        <w:rFonts w:hint="eastAsia"/>
        <w:lang w:eastAsia="zh-CN"/>
      </w:rPr>
      <w:t>广州中天项目管理咨询有限公司</w:t>
    </w:r>
    <w:r>
      <w:rPr>
        <w:rFonts w:hint="eastAsia"/>
      </w:rPr>
      <w:t>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02C4B">
    <w:pPr>
      <w:pStyle w:val="20"/>
      <w:tabs>
        <w:tab w:val="clear" w:pos="4153"/>
      </w:tabs>
      <w:jc w:val="righ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341CAA">
                          <w:pPr>
                            <w:pStyle w:val="20"/>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nrS2XKAQAAkwMAAA4AAAAAAAAAAQAgAAAAHwEAAGRycy9lMm9E&#10;b2MueG1sUEsFBgAAAAAGAAYAWQEAAFsFAAAAAA==&#10;">
              <v:fill on="f" focussize="0,0"/>
              <v:stroke on="f"/>
              <v:imagedata o:title=""/>
              <o:lock v:ext="edit" aspectratio="f"/>
              <v:textbox inset="0mm,0mm,0mm,0mm" style="mso-fit-shape-to-text:t;">
                <w:txbxContent>
                  <w:p w14:paraId="4F341CAA">
                    <w:pPr>
                      <w:pStyle w:val="20"/>
                    </w:pPr>
                    <w:r>
                      <w:fldChar w:fldCharType="begin"/>
                    </w:r>
                    <w:r>
                      <w:instrText xml:space="preserve"> PAGE  \* MERGEFORMAT </w:instrText>
                    </w:r>
                    <w:r>
                      <w:fldChar w:fldCharType="separate"/>
                    </w:r>
                    <w:r>
                      <w:t>2</w:t>
                    </w:r>
                    <w:r>
                      <w:fldChar w:fldCharType="end"/>
                    </w:r>
                  </w:p>
                </w:txbxContent>
              </v:textbox>
            </v:rect>
          </w:pict>
        </mc:Fallback>
      </mc:AlternateContent>
    </w:r>
    <w:r>
      <w:rPr>
        <w:rFonts w:hint="eastAsia"/>
      </w:rPr>
      <w:tab/>
    </w:r>
    <w:r>
      <w:rPr>
        <w:sz w:val="20"/>
      </w:rPr>
      <mc:AlternateContent>
        <mc:Choice Requires="wps">
          <w:drawing>
            <wp:anchor distT="0" distB="0" distL="0" distR="0" simplePos="0" relativeHeight="251659264" behindDoc="0" locked="0" layoutInCell="1" allowOverlap="1">
              <wp:simplePos x="0" y="0"/>
              <wp:positionH relativeFrom="margin">
                <wp:posOffset>2826385</wp:posOffset>
              </wp:positionH>
              <wp:positionV relativeFrom="paragraph">
                <wp:posOffset>0</wp:posOffset>
              </wp:positionV>
              <wp:extent cx="1828800" cy="1828800"/>
              <wp:effectExtent l="0" t="0" r="0" b="0"/>
              <wp:wrapNone/>
              <wp:docPr id="4104" name="文本框 37"/>
              <wp:cNvGraphicFramePr/>
              <a:graphic xmlns:a="http://schemas.openxmlformats.org/drawingml/2006/main">
                <a:graphicData uri="http://schemas.microsoft.com/office/word/2010/wordprocessingShape">
                  <wps:wsp>
                    <wps:cNvSpPr/>
                    <wps:spPr>
                      <a:xfrm>
                        <a:off x="0" y="0"/>
                        <a:ext cx="1828799" cy="1828800"/>
                      </a:xfrm>
                      <a:prstGeom prst="rect">
                        <a:avLst/>
                      </a:prstGeom>
                      <a:ln>
                        <a:noFill/>
                      </a:ln>
                    </wps:spPr>
                    <wps:txbx>
                      <w:txbxContent>
                        <w:p w14:paraId="509471C4">
                          <w:pPr>
                            <w:pStyle w:val="20"/>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rect id="文本框 37" o:spid="_x0000_s1026" o:spt="1" style="position:absolute;left:0pt;margin-left:222.55pt;margin-top:0pt;height:144pt;width:144pt;mso-position-horizontal-relative:margin;mso-wrap-style:none;z-index:251659264;mso-width-relative:page;mso-height-relative:page;" filled="f" stroked="f" coordsize="21600,21600" o:gfxdata="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YsdgjVAAAACAEAAA8AAAAAAAAAAQAgAAAAIgAAAGRy&#10;cy9kb3ducmV2LnhtbFBLAQIUABQAAAAIAIdO4kBc6dq2zwEAAJMDAAAOAAAAAAAAAAEAIAAAACQB&#10;AABkcnMvZTJvRG9jLnhtbFBLBQYAAAAABgAGAFkBAABlBQAAAAA=&#10;">
              <v:fill on="f" focussize="0,0"/>
              <v:stroke on="f"/>
              <v:imagedata o:title=""/>
              <o:lock v:ext="edit" aspectratio="f"/>
              <v:textbox inset="0mm,0mm,0mm,0mm" style="mso-fit-shape-to-text:t;">
                <w:txbxContent>
                  <w:p w14:paraId="509471C4">
                    <w:pPr>
                      <w:pStyle w:val="20"/>
                    </w:pPr>
                    <w:r>
                      <w:fldChar w:fldCharType="begin"/>
                    </w:r>
                    <w:r>
                      <w:instrText xml:space="preserve"> PAGE  \* MERGEFORMAT </w:instrText>
                    </w:r>
                    <w:r>
                      <w:fldChar w:fldCharType="separate"/>
                    </w:r>
                    <w:r>
                      <w:t>3</w:t>
                    </w:r>
                    <w:r>
                      <w:fldChar w:fldCharType="end"/>
                    </w:r>
                  </w:p>
                </w:txbxContent>
              </v:textbox>
            </v:rect>
          </w:pict>
        </mc:Fallback>
      </mc:AlternateContent>
    </w:r>
    <w:r>
      <w:rPr>
        <w:sz w:val="20"/>
      </w:rPr>
      <mc:AlternateContent>
        <mc:Choice Requires="wps">
          <w:drawing>
            <wp:anchor distT="0" distB="0" distL="0" distR="0" simplePos="0" relativeHeight="251659264" behindDoc="0" locked="0" layoutInCell="0" allowOverlap="1">
              <wp:simplePos x="0" y="0"/>
              <wp:positionH relativeFrom="column">
                <wp:posOffset>0</wp:posOffset>
              </wp:positionH>
              <wp:positionV relativeFrom="paragraph">
                <wp:posOffset>186690</wp:posOffset>
              </wp:positionV>
              <wp:extent cx="5699760" cy="15240"/>
              <wp:effectExtent l="0" t="4445" r="15240" b="8890"/>
              <wp:wrapNone/>
              <wp:docPr id="4105" name="Line 1"/>
              <wp:cNvGraphicFramePr/>
              <a:graphic xmlns:a="http://schemas.openxmlformats.org/drawingml/2006/main">
                <a:graphicData uri="http://schemas.microsoft.com/office/word/2010/wordprocessingShape">
                  <wps:wsp>
                    <wps:cNvCnPr/>
                    <wps:spPr>
                      <a:xfrm>
                        <a:off x="0" y="0"/>
                        <a:ext cx="5699760" cy="15239"/>
                      </a:xfrm>
                      <a:prstGeom prst="line">
                        <a:avLst/>
                      </a:prstGeom>
                      <a:ln w="9525" cap="flat" cmpd="sng">
                        <a:solidFill>
                          <a:srgbClr val="000000"/>
                        </a:solidFill>
                        <a:prstDash val="solid"/>
                        <a:round/>
                      </a:ln>
                    </wps:spPr>
                    <wps:bodyPr/>
                  </wps:wsp>
                </a:graphicData>
              </a:graphic>
            </wp:anchor>
          </w:drawing>
        </mc:Choice>
        <mc:Fallback>
          <w:pict>
            <v:line id="Line 1" o:spid="_x0000_s1026" o:spt="20" style="position:absolute;left:0pt;margin-left:0pt;margin-top:14.7pt;height:1.2pt;width:448.8pt;z-index:251659264;mso-width-relative:page;mso-height-relative:page;" filled="f" stroked="t" coordsize="21600,21600" o:allowincell="f" o:gfxdata="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ExYNDWAAAABgEAAA8AAAAAAAAAAQAgAAAAIgAAAGRycy9kb3ducmV2LnhtbFBL&#10;AQIUABQAAAAIAIdO4kC/zzsdvwEAAIoDAAAOAAAAAAAAAAEAIAAAACUBAABkcnMvZTJvRG9jLnht&#10;bFBLBQYAAAAABgAGAFkBAABWBQAAAAA=&#10;">
              <v:fill on="f" focussize="0,0"/>
              <v:stroke color="#000000" joinstyle="round"/>
              <v:imagedata o:title=""/>
              <o:lock v:ext="edit" aspectratio="f"/>
            </v:line>
          </w:pict>
        </mc:Fallback>
      </mc:AlternateContent>
    </w:r>
    <w:r>
      <w:rPr>
        <w:rFonts w:hint="eastAsia"/>
      </w:rPr>
      <w:t xml:space="preserve">      </w:t>
    </w:r>
    <w:r>
      <w:rPr>
        <w:rFonts w:hint="eastAsia"/>
        <w:lang w:eastAsia="zh-CN"/>
      </w:rPr>
      <w:t>广州中天项目管理咨询有限公司</w:t>
    </w:r>
    <w:r>
      <w:rPr>
        <w:rFonts w:hint="eastAsia"/>
      </w:rPr>
      <w:t>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FB93A">
    <w:pPr>
      <w:pStyle w:val="20"/>
      <w:ind w:right="360"/>
      <w:jc w:val="right"/>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AC1547D">
                          <w:pPr>
                            <w:pStyle w:val="20"/>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SprblywEAAJMDAAAOAAAAAAAAAAEAIAAAAB8BAABkcnMvZTJv&#10;RG9jLnhtbFBLBQYAAAAABgAGAFkBAABcBQAAAAA=&#10;">
              <v:fill on="f" focussize="0,0"/>
              <v:stroke on="f"/>
              <v:imagedata o:title=""/>
              <o:lock v:ext="edit" aspectratio="f"/>
              <v:textbox inset="0mm,0mm,0mm,0mm" style="mso-fit-shape-to-text:t;">
                <w:txbxContent>
                  <w:p w14:paraId="4AC1547D">
                    <w:pPr>
                      <w:pStyle w:val="20"/>
                    </w:pPr>
                    <w:r>
                      <w:fldChar w:fldCharType="begin"/>
                    </w:r>
                    <w:r>
                      <w:instrText xml:space="preserve"> PAGE  \* MERGEFORMAT </w:instrText>
                    </w:r>
                    <w:r>
                      <w:fldChar w:fldCharType="separate"/>
                    </w:r>
                    <w:r>
                      <w:t>3</w:t>
                    </w:r>
                    <w:r>
                      <w:fldChar w:fldCharType="end"/>
                    </w:r>
                  </w:p>
                </w:txbxContent>
              </v:textbox>
            </v:rect>
          </w:pict>
        </mc:Fallback>
      </mc:AlternateContent>
    </w:r>
    <w:r>
      <w:rPr>
        <w:sz w:val="20"/>
      </w:rPr>
      <mc:AlternateContent>
        <mc:Choice Requires="wps">
          <w:drawing>
            <wp:anchor distT="0" distB="0" distL="0" distR="0" simplePos="0" relativeHeight="251659264" behindDoc="0" locked="0" layoutInCell="0" allowOverlap="1">
              <wp:simplePos x="0" y="0"/>
              <wp:positionH relativeFrom="column">
                <wp:posOffset>0</wp:posOffset>
              </wp:positionH>
              <wp:positionV relativeFrom="paragraph">
                <wp:posOffset>186690</wp:posOffset>
              </wp:positionV>
              <wp:extent cx="5699760" cy="15240"/>
              <wp:effectExtent l="0" t="4445" r="15240" b="8890"/>
              <wp:wrapNone/>
              <wp:docPr id="4107" name="Line 1"/>
              <wp:cNvGraphicFramePr/>
              <a:graphic xmlns:a="http://schemas.openxmlformats.org/drawingml/2006/main">
                <a:graphicData uri="http://schemas.microsoft.com/office/word/2010/wordprocessingShape">
                  <wps:wsp>
                    <wps:cNvCnPr/>
                    <wps:spPr>
                      <a:xfrm>
                        <a:off x="0" y="0"/>
                        <a:ext cx="5699760" cy="15239"/>
                      </a:xfrm>
                      <a:prstGeom prst="line">
                        <a:avLst/>
                      </a:prstGeom>
                      <a:ln w="9525" cap="flat" cmpd="sng">
                        <a:solidFill>
                          <a:srgbClr val="000000"/>
                        </a:solidFill>
                        <a:prstDash val="solid"/>
                        <a:round/>
                      </a:ln>
                    </wps:spPr>
                    <wps:bodyPr/>
                  </wps:wsp>
                </a:graphicData>
              </a:graphic>
            </wp:anchor>
          </w:drawing>
        </mc:Choice>
        <mc:Fallback>
          <w:pict>
            <v:line id="Line 1" o:spid="_x0000_s1026" o:spt="20" style="position:absolute;left:0pt;margin-left:0pt;margin-top:14.7pt;height:1.2pt;width:448.8pt;z-index:251659264;mso-width-relative:page;mso-height-relative:page;" filled="f" stroked="t" coordsize="21600,21600" o:allowincell="f" o:gfxdata="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ExYNDWAAAABgEAAA8AAAAAAAAAAQAgAAAAIgAAAGRycy9kb3ducmV2LnhtbFBL&#10;AQIUABQAAAAIAIdO4kAZCAPzvwEAAIoDAAAOAAAAAAAAAAEAIAAAACUBAABkcnMvZTJvRG9jLnht&#10;bFBLBQYAAAAABgAGAFkBAABWBQAAAAA=&#10;">
              <v:fill on="f" focussize="0,0"/>
              <v:stroke color="#000000" joinstyle="round"/>
              <v:imagedata o:title=""/>
              <o:lock v:ext="edit" aspectratio="f"/>
            </v:line>
          </w:pict>
        </mc:Fallback>
      </mc:AlternateContent>
    </w:r>
    <w:r>
      <w:rPr>
        <w:rFonts w:hint="eastAsia"/>
      </w:rPr>
      <w:t xml:space="preserve">      </w:t>
    </w:r>
    <w:r>
      <w:rPr>
        <w:rFonts w:hint="eastAsia"/>
        <w:lang w:eastAsia="zh-CN"/>
      </w:rPr>
      <w:t>广州中天项目管理咨询有限公司</w:t>
    </w:r>
    <w:r>
      <w:rPr>
        <w:rFonts w:hint="eastAsia"/>
      </w:rPr>
      <w:t>编制</w:t>
    </w:r>
  </w:p>
  <w:p w14:paraId="20458D49">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A17C2">
    <w:pPr>
      <w:pStyle w:val="21"/>
      <w:ind w:firstLine="0"/>
      <w:jc w:val="left"/>
      <w:rPr>
        <w:rFonts w:hint="eastAsia" w:eastAsia="宋体"/>
        <w:sz w:val="21"/>
        <w:szCs w:val="21"/>
        <w:lang w:eastAsia="zh-CN"/>
      </w:rPr>
    </w:pPr>
    <w:r>
      <w:rPr>
        <w:rFonts w:hint="eastAsia" w:ascii="宋体" w:hAnsi="宋体" w:cs="宋体"/>
        <w:sz w:val="21"/>
        <w:szCs w:val="21"/>
        <w:lang w:val="en-US"/>
      </w:rPr>
      <w:t>项目名称：</w:t>
    </w:r>
    <w:r>
      <w:rPr>
        <w:rFonts w:hint="eastAsia" w:ascii="宋体" w:hAnsi="宋体" w:cs="宋体"/>
        <w:sz w:val="21"/>
        <w:szCs w:val="21"/>
        <w:lang w:val="en-US" w:eastAsia="zh-CN"/>
      </w:rPr>
      <w:t>2025年万顷沙镇生活垃圾分类督导服务项目</w:t>
    </w:r>
    <w:r>
      <w:rPr>
        <w:rFonts w:hint="eastAsia" w:ascii="宋体" w:hAnsi="宋体" w:cs="宋体"/>
        <w:sz w:val="21"/>
        <w:szCs w:val="21"/>
        <w:lang w:val="en-US"/>
      </w:rPr>
      <w:t xml:space="preserve">       项目编号：</w:t>
    </w:r>
    <w:r>
      <w:rPr>
        <w:rFonts w:hint="eastAsia" w:ascii="宋体" w:hAnsi="宋体" w:cs="宋体"/>
        <w:sz w:val="21"/>
        <w:szCs w:val="21"/>
        <w:lang w:val="en-US" w:eastAsia="zh-CN"/>
      </w:rPr>
      <w:t> GZZT2024CSCG-024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E0A2">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A0510">
    <w:pPr>
      <w:pStyle w:val="21"/>
      <w:ind w:firstLine="0"/>
      <w:jc w:val="left"/>
      <w:rPr>
        <w:rFonts w:hint="eastAsia" w:eastAsia="宋体"/>
        <w:lang w:eastAsia="zh-CN"/>
      </w:rPr>
    </w:pPr>
    <w:r>
      <w:rPr>
        <w:rFonts w:hint="eastAsia" w:ascii="宋体" w:hAnsi="宋体" w:cs="宋体"/>
        <w:sz w:val="21"/>
        <w:szCs w:val="21"/>
        <w:lang w:val="en-US"/>
      </w:rPr>
      <w:t>项目名称：</w:t>
    </w:r>
    <w:r>
      <w:rPr>
        <w:rFonts w:hint="eastAsia" w:ascii="宋体" w:hAnsi="宋体" w:cs="宋体"/>
        <w:sz w:val="21"/>
        <w:szCs w:val="21"/>
        <w:lang w:val="en-US" w:eastAsia="zh-CN"/>
      </w:rPr>
      <w:t>2025年万顷沙镇生活垃圾分类督导服务项目</w:t>
    </w:r>
    <w:r>
      <w:rPr>
        <w:rFonts w:hint="eastAsia" w:ascii="宋体" w:hAnsi="宋体" w:cs="宋体"/>
        <w:sz w:val="21"/>
        <w:szCs w:val="21"/>
        <w:lang w:val="en-US"/>
      </w:rPr>
      <w:t xml:space="preserve">      项目编号：</w:t>
    </w:r>
    <w:r>
      <w:rPr>
        <w:rFonts w:hint="eastAsia" w:ascii="宋体" w:hAnsi="宋体" w:cs="宋体"/>
        <w:sz w:val="21"/>
        <w:szCs w:val="21"/>
        <w:lang w:val="en-US" w:eastAsia="zh-CN"/>
      </w:rPr>
      <w:t> GZZT2024CSCG-024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98A6E">
    <w:pPr>
      <w:pStyle w:val="21"/>
      <w:ind w:firstLine="0"/>
      <w:jc w:val="left"/>
      <w:rPr>
        <w:rFonts w:hint="eastAsia" w:eastAsia="宋体"/>
        <w:sz w:val="21"/>
        <w:szCs w:val="21"/>
        <w:lang w:eastAsia="zh-CN"/>
      </w:rPr>
    </w:pPr>
    <w:r>
      <w:rPr>
        <w:rFonts w:hint="eastAsia" w:ascii="宋体" w:hAnsi="宋体" w:cs="宋体"/>
        <w:sz w:val="21"/>
        <w:szCs w:val="21"/>
        <w:lang w:val="en-US"/>
      </w:rPr>
      <w:t>项目名称：万顷沙镇农产品质量安全监管服务站服务外包项目       项目编号：</w:t>
    </w:r>
    <w:r>
      <w:rPr>
        <w:rFonts w:hint="eastAsia" w:ascii="宋体" w:hAnsi="宋体" w:cs="宋体"/>
        <w:sz w:val="21"/>
        <w:szCs w:val="21"/>
        <w:lang w:val="en-US" w:eastAsia="zh-CN"/>
      </w:rPr>
      <w:t> GZZT2024CSCG-024</w:t>
    </w:r>
  </w:p>
  <w:p w14:paraId="641C125A">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5116A"/>
    <w:multiLevelType w:val="singleLevel"/>
    <w:tmpl w:val="FAC5116A"/>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singleLevel"/>
    <w:tmpl w:val="00000002"/>
    <w:lvl w:ilvl="0" w:tentative="0">
      <w:start w:val="1"/>
      <w:numFmt w:val="decimal"/>
      <w:suff w:val="nothing"/>
      <w:lvlText w:val="%1"/>
      <w:lvlJc w:val="left"/>
      <w:pPr>
        <w:tabs>
          <w:tab w:val="left" w:pos="0"/>
        </w:tabs>
      </w:pPr>
      <w:rPr>
        <w:rFonts w:hint="default" w:ascii="宋体" w:hAnsi="宋体" w:eastAsia="宋体" w:cs="宋体"/>
      </w:rPr>
    </w:lvl>
  </w:abstractNum>
  <w:abstractNum w:abstractNumId="3">
    <w:nsid w:val="00000003"/>
    <w:multiLevelType w:val="multilevel"/>
    <w:tmpl w:val="00000003"/>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1.%2"/>
      <w:lvlJc w:val="left"/>
      <w:pPr>
        <w:tabs>
          <w:tab w:val="left" w:pos="851"/>
        </w:tabs>
        <w:ind w:left="851" w:hanging="851"/>
      </w:pPr>
      <w:rPr>
        <w:rFonts w:hint="eastAsia" w:ascii="宋体" w:eastAsia="宋体"/>
        <w:b w:val="0"/>
        <w:i w:val="0"/>
        <w:color w:val="auto"/>
        <w:sz w:val="21"/>
      </w:rPr>
    </w:lvl>
    <w:lvl w:ilvl="2" w:tentative="0">
      <w:start w:val="1"/>
      <w:numFmt w:val="decimal"/>
      <w:lvlText w:val="%1.%2.%3"/>
      <w:lvlJc w:val="left"/>
      <w:pPr>
        <w:tabs>
          <w:tab w:val="left" w:pos="851"/>
        </w:tabs>
        <w:ind w:left="851" w:hanging="851"/>
      </w:pPr>
      <w:rPr>
        <w:rFonts w:hint="eastAsia"/>
      </w:rPr>
    </w:lvl>
    <w:lvl w:ilvl="3" w:tentative="0">
      <w:start w:val="1"/>
      <w:numFmt w:val="decimal"/>
      <w:lvlText w:val="(%4)"/>
      <w:lvlJc w:val="left"/>
      <w:pPr>
        <w:tabs>
          <w:tab w:val="left" w:pos="851"/>
        </w:tabs>
        <w:ind w:left="851" w:hanging="567"/>
      </w:pPr>
      <w:rPr>
        <w:rFonts w:hint="eastAsia" w:ascii="宋体" w:eastAsia="宋体"/>
        <w:b w:val="0"/>
        <w:i w:val="0"/>
        <w:color w:val="000000"/>
        <w:sz w:val="21"/>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
    <w:nsid w:val="00000004"/>
    <w:multiLevelType w:val="multilevel"/>
    <w:tmpl w:val="00000004"/>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1505"/>
        </w:tabs>
        <w:ind w:left="992" w:hanging="567"/>
      </w:pPr>
      <w:rPr>
        <w:rFonts w:hint="eastAsia"/>
      </w:rPr>
    </w:lvl>
    <w:lvl w:ilvl="2" w:tentative="0">
      <w:start w:val="1"/>
      <w:numFmt w:val="decimal"/>
      <w:pStyle w:val="4"/>
      <w:lvlText w:val="%1.%2.%3"/>
      <w:lvlJc w:val="left"/>
      <w:pPr>
        <w:tabs>
          <w:tab w:val="left" w:pos="2291"/>
        </w:tabs>
        <w:ind w:left="1418" w:hanging="567"/>
      </w:pPr>
      <w:rPr>
        <w:rFonts w:hint="eastAsia"/>
      </w:rPr>
    </w:lvl>
    <w:lvl w:ilvl="3" w:tentative="0">
      <w:start w:val="1"/>
      <w:numFmt w:val="decimal"/>
      <w:lvlText w:val="%1.%2.%3.%4"/>
      <w:lvlJc w:val="left"/>
      <w:pPr>
        <w:tabs>
          <w:tab w:val="left" w:pos="3436"/>
        </w:tabs>
        <w:ind w:left="1984" w:hanging="708"/>
      </w:pPr>
      <w:rPr>
        <w:rFonts w:hint="eastAsia"/>
      </w:rPr>
    </w:lvl>
    <w:lvl w:ilvl="4" w:tentative="0">
      <w:start w:val="1"/>
      <w:numFmt w:val="decimal"/>
      <w:lvlText w:val="%1.%2.%3.%4.%5"/>
      <w:lvlJc w:val="left"/>
      <w:pPr>
        <w:tabs>
          <w:tab w:val="left" w:pos="4221"/>
        </w:tabs>
        <w:ind w:left="2551" w:hanging="850"/>
      </w:pPr>
      <w:rPr>
        <w:rFonts w:hint="eastAsia"/>
      </w:rPr>
    </w:lvl>
    <w:lvl w:ilvl="5" w:tentative="0">
      <w:start w:val="1"/>
      <w:numFmt w:val="decimal"/>
      <w:lvlText w:val="%1.%2.%3.%4.%5.%6"/>
      <w:lvlJc w:val="left"/>
      <w:pPr>
        <w:tabs>
          <w:tab w:val="left" w:pos="5366"/>
        </w:tabs>
        <w:ind w:left="3260" w:hanging="1134"/>
      </w:pPr>
      <w:rPr>
        <w:rFonts w:hint="eastAsia"/>
      </w:rPr>
    </w:lvl>
    <w:lvl w:ilvl="6" w:tentative="0">
      <w:start w:val="1"/>
      <w:numFmt w:val="decimal"/>
      <w:lvlText w:val="%1.%2.%3.%4.%5.%6.%7"/>
      <w:lvlJc w:val="left"/>
      <w:pPr>
        <w:tabs>
          <w:tab w:val="left" w:pos="6151"/>
        </w:tabs>
        <w:ind w:left="3827" w:hanging="1276"/>
      </w:pPr>
      <w:rPr>
        <w:rFonts w:hint="eastAsia"/>
      </w:rPr>
    </w:lvl>
    <w:lvl w:ilvl="7" w:tentative="0">
      <w:start w:val="1"/>
      <w:numFmt w:val="decimal"/>
      <w:lvlText w:val="%1.%2.%3.%4.%5.%6.%7.%8"/>
      <w:lvlJc w:val="left"/>
      <w:pPr>
        <w:tabs>
          <w:tab w:val="left" w:pos="6936"/>
        </w:tabs>
        <w:ind w:left="4394" w:hanging="1418"/>
      </w:pPr>
      <w:rPr>
        <w:rFonts w:hint="eastAsia"/>
      </w:rPr>
    </w:lvl>
    <w:lvl w:ilvl="8" w:tentative="0">
      <w:start w:val="1"/>
      <w:numFmt w:val="decimal"/>
      <w:lvlText w:val="%1.%2.%3.%4.%5.%6.%7.%8.%9"/>
      <w:lvlJc w:val="left"/>
      <w:pPr>
        <w:tabs>
          <w:tab w:val="left" w:pos="8082"/>
        </w:tabs>
        <w:ind w:left="5102" w:hanging="1700"/>
      </w:pPr>
      <w:rPr>
        <w:rFonts w:hint="eastAsia"/>
      </w:rPr>
    </w:lvl>
  </w:abstractNum>
  <w:abstractNum w:abstractNumId="5">
    <w:nsid w:val="00000005"/>
    <w:multiLevelType w:val="multilevel"/>
    <w:tmpl w:val="00000005"/>
    <w:lvl w:ilvl="0" w:tentative="0">
      <w:start w:val="1"/>
      <w:numFmt w:val="decimal"/>
      <w:pStyle w:val="57"/>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abstractNum w:abstractNumId="6">
    <w:nsid w:val="00000006"/>
    <w:multiLevelType w:val="multilevel"/>
    <w:tmpl w:val="00000006"/>
    <w:lvl w:ilvl="0" w:tentative="0">
      <w:start w:val="1"/>
      <w:numFmt w:val="japaneseCounting"/>
      <w:lvlText w:val="%1、"/>
      <w:lvlJc w:val="left"/>
      <w:pPr>
        <w:tabs>
          <w:tab w:val="left" w:pos="720"/>
        </w:tabs>
        <w:ind w:left="720" w:hanging="720"/>
      </w:pPr>
      <w:rPr>
        <w:rFonts w:hint="eastAsia"/>
        <w:sz w:val="21"/>
        <w:szCs w:val="21"/>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4"/>
      <w:numFmt w:val="decimal"/>
      <w:lvlText w:val="%5、"/>
      <w:lvlJc w:val="left"/>
      <w:pPr>
        <w:tabs>
          <w:tab w:val="left" w:pos="2040"/>
        </w:tabs>
        <w:ind w:left="2040" w:hanging="360"/>
      </w:pPr>
      <w:rPr>
        <w:rFonts w:hint="eastAsia"/>
      </w:rPr>
    </w:lvl>
    <w:lvl w:ilvl="5" w:tentative="0">
      <w:start w:val="1"/>
      <w:numFmt w:val="japaneseCounting"/>
      <w:lvlText w:val="%6．"/>
      <w:lvlJc w:val="left"/>
      <w:pPr>
        <w:tabs>
          <w:tab w:val="left" w:pos="2580"/>
        </w:tabs>
        <w:ind w:left="2580" w:hanging="48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7"/>
    <w:multiLevelType w:val="multilevel"/>
    <w:tmpl w:val="00000007"/>
    <w:lvl w:ilvl="0" w:tentative="0">
      <w:start w:val="1"/>
      <w:numFmt w:val="decimal"/>
      <w:lvlText w:val="（%1）"/>
      <w:lvlJc w:val="left"/>
      <w:pPr>
        <w:tabs>
          <w:tab w:val="left" w:pos="1080"/>
        </w:tabs>
        <w:ind w:left="1080" w:hanging="1080"/>
      </w:pPr>
    </w:lvl>
    <w:lvl w:ilvl="1" w:tentative="0">
      <w:start w:val="1"/>
      <w:numFmt w:val="bullet"/>
      <w:lvlText w:val=""/>
      <w:lvlJc w:val="left"/>
      <w:pPr>
        <w:tabs>
          <w:tab w:val="left" w:pos="600"/>
        </w:tabs>
        <w:ind w:left="60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08"/>
    <w:multiLevelType w:val="multilevel"/>
    <w:tmpl w:val="00000008"/>
    <w:lvl w:ilvl="0" w:tentative="0">
      <w:start w:val="1"/>
      <w:numFmt w:val="lowerLetter"/>
      <w:lvlText w:val="%1)"/>
      <w:lvlJc w:val="left"/>
      <w:pPr>
        <w:ind w:left="1391" w:hanging="420"/>
      </w:pPr>
    </w:lvl>
    <w:lvl w:ilvl="1" w:tentative="0">
      <w:start w:val="1"/>
      <w:numFmt w:val="lowerLetter"/>
      <w:lvlText w:val="%2)"/>
      <w:lvlJc w:val="left"/>
      <w:pPr>
        <w:ind w:left="1811" w:hanging="420"/>
      </w:pPr>
    </w:lvl>
    <w:lvl w:ilvl="2" w:tentative="0">
      <w:start w:val="1"/>
      <w:numFmt w:val="lowerRoman"/>
      <w:lvlText w:val="%3."/>
      <w:lvlJc w:val="right"/>
      <w:pPr>
        <w:ind w:left="2231" w:hanging="420"/>
      </w:pPr>
    </w:lvl>
    <w:lvl w:ilvl="3" w:tentative="0">
      <w:start w:val="1"/>
      <w:numFmt w:val="decimal"/>
      <w:lvlText w:val="%4."/>
      <w:lvlJc w:val="left"/>
      <w:pPr>
        <w:ind w:left="2651" w:hanging="420"/>
      </w:pPr>
    </w:lvl>
    <w:lvl w:ilvl="4" w:tentative="0">
      <w:start w:val="1"/>
      <w:numFmt w:val="lowerLetter"/>
      <w:lvlText w:val="%5)"/>
      <w:lvlJc w:val="left"/>
      <w:pPr>
        <w:ind w:left="3071" w:hanging="420"/>
      </w:pPr>
    </w:lvl>
    <w:lvl w:ilvl="5" w:tentative="0">
      <w:start w:val="1"/>
      <w:numFmt w:val="lowerRoman"/>
      <w:lvlText w:val="%6."/>
      <w:lvlJc w:val="right"/>
      <w:pPr>
        <w:ind w:left="3491" w:hanging="420"/>
      </w:pPr>
    </w:lvl>
    <w:lvl w:ilvl="6" w:tentative="0">
      <w:start w:val="1"/>
      <w:numFmt w:val="decimal"/>
      <w:lvlText w:val="%7."/>
      <w:lvlJc w:val="left"/>
      <w:pPr>
        <w:ind w:left="3911" w:hanging="420"/>
      </w:pPr>
    </w:lvl>
    <w:lvl w:ilvl="7" w:tentative="0">
      <w:start w:val="1"/>
      <w:numFmt w:val="lowerLetter"/>
      <w:lvlText w:val="%8)"/>
      <w:lvlJc w:val="left"/>
      <w:pPr>
        <w:ind w:left="4331" w:hanging="420"/>
      </w:pPr>
    </w:lvl>
    <w:lvl w:ilvl="8" w:tentative="0">
      <w:start w:val="1"/>
      <w:numFmt w:val="lowerRoman"/>
      <w:lvlText w:val="%9."/>
      <w:lvlJc w:val="right"/>
      <w:pPr>
        <w:ind w:left="4751" w:hanging="420"/>
      </w:pPr>
    </w:lvl>
  </w:abstractNum>
  <w:abstractNum w:abstractNumId="9">
    <w:nsid w:val="00000009"/>
    <w:multiLevelType w:val="multilevel"/>
    <w:tmpl w:val="0000000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ascii="宋体" w:hAnsi="宋体" w:eastAsia="宋体"/>
        <w:color w:val="auto"/>
      </w:rPr>
    </w:lvl>
    <w:lvl w:ilvl="2" w:tentative="0">
      <w:start w:val="1"/>
      <w:numFmt w:val="decimal"/>
      <w:lvlText w:val="(%3)"/>
      <w:lvlJc w:val="left"/>
      <w:pPr>
        <w:tabs>
          <w:tab w:val="left" w:pos="1271"/>
        </w:tabs>
        <w:ind w:left="1271" w:hanging="42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0">
    <w:nsid w:val="0000000A"/>
    <w:multiLevelType w:val="multilevel"/>
    <w:tmpl w:val="000000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B"/>
    <w:multiLevelType w:val="multilevel"/>
    <w:tmpl w:val="0000000B"/>
    <w:lvl w:ilvl="0" w:tentative="0">
      <w:start w:val="1"/>
      <w:numFmt w:val="decimal"/>
      <w:lvlText w:val="（%1）"/>
      <w:lvlJc w:val="left"/>
      <w:pPr>
        <w:ind w:left="987" w:hanging="42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0D"/>
    <w:multiLevelType w:val="multilevel"/>
    <w:tmpl w:val="0000000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0E"/>
    <w:multiLevelType w:val="multilevel"/>
    <w:tmpl w:val="000000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000000F"/>
    <w:multiLevelType w:val="multilevel"/>
    <w:tmpl w:val="0000000F"/>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3.%2"/>
      <w:lvlJc w:val="left"/>
      <w:pPr>
        <w:tabs>
          <w:tab w:val="left" w:pos="851"/>
        </w:tabs>
        <w:ind w:left="851" w:hanging="851"/>
      </w:pPr>
      <w:rPr>
        <w:rFonts w:hint="eastAsia"/>
        <w:b w:val="0"/>
        <w:i w:val="0"/>
        <w:color w:val="auto"/>
        <w:sz w:val="21"/>
      </w:rPr>
    </w:lvl>
    <w:lvl w:ilvl="2" w:tentative="0">
      <w:start w:val="1"/>
      <w:numFmt w:val="decimal"/>
      <w:lvlText w:val="%1.%2.%3"/>
      <w:lvlJc w:val="left"/>
      <w:pPr>
        <w:tabs>
          <w:tab w:val="left" w:pos="851"/>
        </w:tabs>
        <w:ind w:left="851" w:hanging="851"/>
      </w:pPr>
      <w:rPr>
        <w:rFonts w:hint="eastAsia"/>
      </w:rPr>
    </w:lvl>
    <w:lvl w:ilvl="3" w:tentative="0">
      <w:start w:val="1"/>
      <w:numFmt w:val="decimal"/>
      <w:lvlText w:val="(%4)"/>
      <w:lvlJc w:val="left"/>
      <w:pPr>
        <w:tabs>
          <w:tab w:val="left" w:pos="851"/>
        </w:tabs>
        <w:ind w:left="851" w:hanging="567"/>
      </w:pPr>
      <w:rPr>
        <w:rFonts w:hint="eastAsia" w:ascii="宋体" w:eastAsia="宋体"/>
        <w:b w:val="0"/>
        <w:i w:val="0"/>
        <w:color w:val="000000"/>
        <w:sz w:val="21"/>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6">
    <w:nsid w:val="00000010"/>
    <w:multiLevelType w:val="multilevel"/>
    <w:tmpl w:val="0000001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1"/>
    <w:multiLevelType w:val="multilevel"/>
    <w:tmpl w:val="00000011"/>
    <w:lvl w:ilvl="0" w:tentative="0">
      <w:start w:val="1"/>
      <w:numFmt w:val="upperLetter"/>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8">
    <w:nsid w:val="00000012"/>
    <w:multiLevelType w:val="multilevel"/>
    <w:tmpl w:val="00000012"/>
    <w:lvl w:ilvl="0" w:tentative="0">
      <w:start w:val="1"/>
      <w:numFmt w:val="decimalEnclosedCircle"/>
      <w:lvlText w:val="%1"/>
      <w:lvlJc w:val="left"/>
      <w:pPr>
        <w:tabs>
          <w:tab w:val="left" w:pos="1353"/>
        </w:tabs>
        <w:ind w:left="1353"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20">
    <w:nsid w:val="00000014"/>
    <w:multiLevelType w:val="multilevel"/>
    <w:tmpl w:val="00000014"/>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5"/>
    <w:multiLevelType w:val="multilevel"/>
    <w:tmpl w:val="00000015"/>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16"/>
    <w:multiLevelType w:val="multilevel"/>
    <w:tmpl w:val="0000001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17"/>
    <w:multiLevelType w:val="multilevel"/>
    <w:tmpl w:val="00000017"/>
    <w:lvl w:ilvl="0" w:tentative="0">
      <w:start w:val="1"/>
      <w:numFmt w:val="decimal"/>
      <w:lvlText w:val="%1"/>
      <w:lvlJc w:val="left"/>
      <w:pPr>
        <w:ind w:left="432" w:hanging="432"/>
      </w:pPr>
    </w:lvl>
    <w:lvl w:ilvl="1" w:tentative="0">
      <w:start w:val="1"/>
      <w:numFmt w:val="decimal"/>
      <w:pStyle w:val="90"/>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4">
    <w:nsid w:val="00000018"/>
    <w:multiLevelType w:val="multilevel"/>
    <w:tmpl w:val="00000018"/>
    <w:lvl w:ilvl="0" w:tentative="0">
      <w:start w:val="1"/>
      <w:numFmt w:val="decimalEnclosedCircle"/>
      <w:lvlText w:val="%1"/>
      <w:lvlJc w:val="left"/>
      <w:pPr>
        <w:tabs>
          <w:tab w:val="left" w:pos="1353"/>
        </w:tabs>
        <w:ind w:left="1353"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19"/>
    <w:multiLevelType w:val="multilevel"/>
    <w:tmpl w:val="00000019"/>
    <w:lvl w:ilvl="0" w:tentative="0">
      <w:start w:val="1"/>
      <w:numFmt w:val="decimal"/>
      <w:lvlText w:val="%1."/>
      <w:lvlJc w:val="left"/>
      <w:pPr>
        <w:tabs>
          <w:tab w:val="left" w:pos="851"/>
        </w:tabs>
        <w:ind w:left="851" w:hanging="851"/>
      </w:pPr>
      <w:rPr>
        <w:rFonts w:hint="eastAsia" w:ascii="宋体" w:eastAsia="宋体"/>
        <w:b/>
        <w:i w:val="0"/>
        <w:sz w:val="24"/>
      </w:rPr>
    </w:lvl>
    <w:lvl w:ilvl="1" w:tentative="0">
      <w:start w:val="1"/>
      <w:numFmt w:val="decimal"/>
      <w:lvlText w:val="%1.%2"/>
      <w:lvlJc w:val="left"/>
      <w:pPr>
        <w:tabs>
          <w:tab w:val="left" w:pos="851"/>
        </w:tabs>
        <w:ind w:left="851" w:hanging="851"/>
      </w:pPr>
      <w:rPr>
        <w:rFonts w:hint="eastAsia" w:ascii="宋体" w:eastAsia="宋体"/>
        <w:b w:val="0"/>
        <w:i w:val="0"/>
        <w:color w:val="auto"/>
        <w:sz w:val="21"/>
      </w:rPr>
    </w:lvl>
    <w:lvl w:ilvl="2" w:tentative="0">
      <w:start w:val="1"/>
      <w:numFmt w:val="decimal"/>
      <w:lvlText w:val="%1.%2.%3"/>
      <w:lvlJc w:val="left"/>
      <w:pPr>
        <w:tabs>
          <w:tab w:val="left" w:pos="851"/>
        </w:tabs>
        <w:ind w:left="851" w:hanging="851"/>
      </w:pPr>
      <w:rPr>
        <w:rFonts w:hint="eastAsia"/>
      </w:rPr>
    </w:lvl>
    <w:lvl w:ilvl="3" w:tentative="0">
      <w:start w:val="1"/>
      <w:numFmt w:val="decimal"/>
      <w:lvlText w:val="(%4)"/>
      <w:lvlJc w:val="left"/>
      <w:pPr>
        <w:tabs>
          <w:tab w:val="left" w:pos="851"/>
        </w:tabs>
        <w:ind w:left="851" w:hanging="567"/>
      </w:pPr>
      <w:rPr>
        <w:rFonts w:hint="eastAsia" w:ascii="宋体" w:eastAsia="宋体"/>
        <w:b w:val="0"/>
        <w:i w:val="0"/>
        <w:color w:val="000000"/>
        <w:sz w:val="21"/>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6">
    <w:nsid w:val="79905DBF"/>
    <w:multiLevelType w:val="multilevel"/>
    <w:tmpl w:val="79905D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23"/>
  </w:num>
  <w:num w:numId="4">
    <w:abstractNumId w:val="2"/>
  </w:num>
  <w:num w:numId="5">
    <w:abstractNumId w:val="12"/>
  </w:num>
  <w:num w:numId="6">
    <w:abstractNumId w:val="11"/>
  </w:num>
  <w:num w:numId="7">
    <w:abstractNumId w:val="3"/>
  </w:num>
  <w:num w:numId="8">
    <w:abstractNumId w:val="14"/>
  </w:num>
  <w:num w:numId="9">
    <w:abstractNumId w:val="18"/>
  </w:num>
  <w:num w:numId="10">
    <w:abstractNumId w:val="2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25"/>
  </w:num>
  <w:num w:numId="15">
    <w:abstractNumId w:val="15"/>
  </w:num>
  <w:num w:numId="16">
    <w:abstractNumId w:val="7"/>
  </w:num>
  <w:num w:numId="17">
    <w:abstractNumId w:val="17"/>
  </w:num>
  <w:num w:numId="18">
    <w:abstractNumId w:val="8"/>
  </w:num>
  <w:num w:numId="19">
    <w:abstractNumId w:val="16"/>
  </w:num>
  <w:num w:numId="20">
    <w:abstractNumId w:val="21"/>
  </w:num>
  <w:num w:numId="21">
    <w:abstractNumId w:val="0"/>
  </w:num>
  <w:num w:numId="22">
    <w:abstractNumId w:val="19"/>
  </w:num>
  <w:num w:numId="23">
    <w:abstractNumId w:val="20"/>
  </w:num>
  <w:num w:numId="24">
    <w:abstractNumId w:val="13"/>
  </w:num>
  <w:num w:numId="25">
    <w:abstractNumId w:val="26"/>
  </w:num>
  <w:num w:numId="26">
    <w:abstractNumId w:val="1"/>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YTA0YmQ1NGNkMWY1NzQwZmI2NmE2OGFlNDUwY2QifQ=="/>
  </w:docVars>
  <w:rsids>
    <w:rsidRoot w:val="0029619C"/>
    <w:rsid w:val="000E43DF"/>
    <w:rsid w:val="001B3A2F"/>
    <w:rsid w:val="0029619C"/>
    <w:rsid w:val="003C1A8D"/>
    <w:rsid w:val="007310D5"/>
    <w:rsid w:val="009830DB"/>
    <w:rsid w:val="00B5730B"/>
    <w:rsid w:val="00BA6CD7"/>
    <w:rsid w:val="00EC0DC9"/>
    <w:rsid w:val="0A9B46A5"/>
    <w:rsid w:val="16F93A29"/>
    <w:rsid w:val="18D8318B"/>
    <w:rsid w:val="224C6559"/>
    <w:rsid w:val="228D5AE1"/>
    <w:rsid w:val="24502387"/>
    <w:rsid w:val="34096219"/>
    <w:rsid w:val="3A8F1DD1"/>
    <w:rsid w:val="3B7121D3"/>
    <w:rsid w:val="3CDD0BD1"/>
    <w:rsid w:val="44225E2C"/>
    <w:rsid w:val="46A47B28"/>
    <w:rsid w:val="49D35DC8"/>
    <w:rsid w:val="539442AF"/>
    <w:rsid w:val="5BE8106D"/>
    <w:rsid w:val="5C3F0B32"/>
    <w:rsid w:val="620A1069"/>
    <w:rsid w:val="64EE6A20"/>
    <w:rsid w:val="676663B4"/>
    <w:rsid w:val="68033E49"/>
    <w:rsid w:val="6B7E6624"/>
    <w:rsid w:val="6CAD5BCA"/>
    <w:rsid w:val="7014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spacing w:before="340" w:after="330" w:line="576" w:lineRule="auto"/>
      <w:jc w:val="center"/>
      <w:outlineLvl w:val="0"/>
    </w:pPr>
    <w:rPr>
      <w:b/>
      <w:kern w:val="44"/>
      <w:sz w:val="32"/>
      <w:szCs w:val="20"/>
      <w:lang w:val="zh-CN"/>
    </w:rPr>
  </w:style>
  <w:style w:type="paragraph" w:styleId="3">
    <w:name w:val="heading 2"/>
    <w:basedOn w:val="1"/>
    <w:next w:val="1"/>
    <w:link w:val="44"/>
    <w:unhideWhenUsed/>
    <w:qFormat/>
    <w:uiPriority w:val="9"/>
    <w:pPr>
      <w:keepNext/>
      <w:keepLines/>
      <w:spacing w:before="260" w:after="120" w:line="360" w:lineRule="auto"/>
      <w:ind w:firstLine="482"/>
      <w:outlineLvl w:val="1"/>
    </w:pPr>
    <w:rPr>
      <w:rFonts w:ascii="宋体" w:hAnsi="Arial"/>
      <w:b/>
      <w:sz w:val="30"/>
      <w:szCs w:val="20"/>
      <w:lang w:val="zh-CN"/>
    </w:rPr>
  </w:style>
  <w:style w:type="paragraph" w:styleId="4">
    <w:name w:val="heading 3"/>
    <w:basedOn w:val="1"/>
    <w:next w:val="1"/>
    <w:autoRedefine/>
    <w:unhideWhenUsed/>
    <w:qFormat/>
    <w:uiPriority w:val="9"/>
    <w:pPr>
      <w:numPr>
        <w:ilvl w:val="2"/>
        <w:numId w:val="1"/>
      </w:numPr>
      <w:spacing w:before="260" w:after="260" w:line="413" w:lineRule="auto"/>
      <w:outlineLvl w:val="2"/>
    </w:pPr>
    <w:rPr>
      <w:rFonts w:ascii="宋体" w:hAnsi="Times"/>
      <w:sz w:val="24"/>
    </w:rPr>
  </w:style>
  <w:style w:type="paragraph" w:styleId="5">
    <w:name w:val="heading 4"/>
    <w:basedOn w:val="2"/>
    <w:next w:val="6"/>
    <w:semiHidden/>
    <w:unhideWhenUsed/>
    <w:qFormat/>
    <w:uiPriority w:val="9"/>
    <w:pPr>
      <w:spacing w:before="120" w:after="120" w:line="377" w:lineRule="auto"/>
      <w:jc w:val="left"/>
      <w:outlineLvl w:val="3"/>
    </w:pPr>
    <w:rPr>
      <w:rFonts w:ascii="Arial" w:hAnsi="Arial" w:eastAsia="黑体"/>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6">
    <w:name w:val="方案正文"/>
    <w:basedOn w:val="1"/>
    <w:autoRedefine/>
    <w:qFormat/>
    <w:uiPriority w:val="0"/>
    <w:pPr>
      <w:widowControl/>
      <w:adjustRightInd w:val="0"/>
      <w:snapToGrid w:val="0"/>
      <w:spacing w:line="360" w:lineRule="auto"/>
      <w:ind w:firstLine="200" w:firstLineChars="200"/>
      <w:jc w:val="left"/>
    </w:pPr>
    <w:rPr>
      <w:rFonts w:ascii="仿宋" w:hAnsi="宋体" w:eastAsia="仿宋" w:cs="宋体"/>
      <w:color w:val="000000"/>
      <w:kern w:val="0"/>
      <w:sz w:val="24"/>
    </w:rPr>
  </w:style>
  <w:style w:type="paragraph" w:styleId="7">
    <w:name w:val="List Number"/>
    <w:basedOn w:val="1"/>
    <w:qFormat/>
    <w:uiPriority w:val="0"/>
    <w:pPr>
      <w:tabs>
        <w:tab w:val="left" w:pos="-1080"/>
      </w:tabs>
      <w:ind w:left="-1080" w:hanging="360" w:hangingChars="200"/>
    </w:pPr>
  </w:style>
  <w:style w:type="paragraph" w:styleId="8">
    <w:name w:val="Normal Indent"/>
    <w:basedOn w:val="1"/>
    <w:link w:val="55"/>
    <w:qFormat/>
    <w:uiPriority w:val="0"/>
    <w:pPr>
      <w:ind w:firstLine="420"/>
    </w:pPr>
    <w:rPr>
      <w:szCs w:val="20"/>
    </w:rPr>
  </w:style>
  <w:style w:type="paragraph" w:styleId="9">
    <w:name w:val="Document Map"/>
    <w:basedOn w:val="1"/>
    <w:qFormat/>
    <w:uiPriority w:val="0"/>
    <w:pPr>
      <w:shd w:val="clear" w:color="auto" w:fill="000080"/>
      <w:spacing w:line="360" w:lineRule="auto"/>
    </w:pPr>
    <w:rPr>
      <w:rFonts w:ascii="Times" w:hAnsi="Times"/>
      <w:sz w:val="24"/>
    </w:rPr>
  </w:style>
  <w:style w:type="paragraph" w:styleId="10">
    <w:name w:val="toa heading"/>
    <w:basedOn w:val="1"/>
    <w:next w:val="1"/>
    <w:qFormat/>
    <w:uiPriority w:val="0"/>
    <w:pPr>
      <w:spacing w:before="120"/>
    </w:pPr>
    <w:rPr>
      <w:rFonts w:ascii="Arial" w:hAnsi="Arial"/>
      <w:b/>
      <w:bCs/>
    </w:rPr>
  </w:style>
  <w:style w:type="paragraph" w:styleId="11">
    <w:name w:val="annotation text"/>
    <w:basedOn w:val="1"/>
    <w:link w:val="54"/>
    <w:qFormat/>
    <w:uiPriority w:val="99"/>
    <w:pPr>
      <w:jc w:val="left"/>
    </w:pPr>
    <w:rPr>
      <w:lang w:val="zh-CN"/>
    </w:rPr>
  </w:style>
  <w:style w:type="paragraph" w:styleId="12">
    <w:name w:val="Body Text 3"/>
    <w:basedOn w:val="1"/>
    <w:link w:val="77"/>
    <w:qFormat/>
    <w:uiPriority w:val="0"/>
    <w:pPr>
      <w:spacing w:after="120"/>
    </w:pPr>
    <w:rPr>
      <w:rFonts w:ascii="Tahoma" w:hAnsi="Tahoma"/>
      <w:sz w:val="16"/>
      <w:szCs w:val="16"/>
      <w:lang w:val="zh-CN"/>
    </w:rPr>
  </w:style>
  <w:style w:type="paragraph" w:styleId="13">
    <w:name w:val="Body Text"/>
    <w:basedOn w:val="1"/>
    <w:next w:val="1"/>
    <w:link w:val="50"/>
    <w:autoRedefine/>
    <w:qFormat/>
    <w:uiPriority w:val="0"/>
    <w:pPr>
      <w:spacing w:line="480" w:lineRule="auto"/>
    </w:pPr>
    <w:rPr>
      <w:sz w:val="24"/>
      <w:lang w:val="zh-CN"/>
    </w:rPr>
  </w:style>
  <w:style w:type="paragraph" w:styleId="14">
    <w:name w:val="Body Text Indent"/>
    <w:basedOn w:val="1"/>
    <w:qFormat/>
    <w:uiPriority w:val="0"/>
    <w:pPr>
      <w:spacing w:after="120"/>
      <w:ind w:left="420" w:leftChars="200"/>
    </w:pPr>
  </w:style>
  <w:style w:type="paragraph" w:styleId="15">
    <w:name w:val="toc 3"/>
    <w:basedOn w:val="1"/>
    <w:next w:val="1"/>
    <w:qFormat/>
    <w:uiPriority w:val="39"/>
    <w:pPr>
      <w:ind w:left="840" w:leftChars="400"/>
    </w:pPr>
  </w:style>
  <w:style w:type="paragraph" w:styleId="16">
    <w:name w:val="Plain Text"/>
    <w:basedOn w:val="1"/>
    <w:next w:val="1"/>
    <w:link w:val="53"/>
    <w:autoRedefine/>
    <w:qFormat/>
    <w:uiPriority w:val="99"/>
    <w:pPr>
      <w:spacing w:line="360" w:lineRule="auto"/>
    </w:pPr>
    <w:rPr>
      <w:rFonts w:ascii="宋体" w:hAnsi="Courier New"/>
      <w:sz w:val="24"/>
      <w:szCs w:val="21"/>
    </w:rPr>
  </w:style>
  <w:style w:type="paragraph" w:styleId="17">
    <w:name w:val="Date"/>
    <w:basedOn w:val="1"/>
    <w:next w:val="1"/>
    <w:link w:val="45"/>
    <w:qFormat/>
    <w:uiPriority w:val="0"/>
    <w:rPr>
      <w:sz w:val="28"/>
      <w:szCs w:val="20"/>
    </w:rPr>
  </w:style>
  <w:style w:type="paragraph" w:styleId="18">
    <w:name w:val="Body Text Indent 2"/>
    <w:basedOn w:val="1"/>
    <w:qFormat/>
    <w:uiPriority w:val="0"/>
    <w:pPr>
      <w:snapToGrid w:val="0"/>
      <w:spacing w:line="360" w:lineRule="auto"/>
      <w:ind w:left="840" w:leftChars="400"/>
    </w:p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spacing w:line="360" w:lineRule="auto"/>
      <w:jc w:val="left"/>
    </w:pPr>
    <w:rPr>
      <w:rFonts w:ascii="Times" w:hAnsi="Times"/>
      <w:sz w:val="18"/>
      <w:szCs w:val="18"/>
    </w:rPr>
  </w:style>
  <w:style w:type="paragraph" w:styleId="21">
    <w:name w:val="header"/>
    <w:basedOn w:val="1"/>
    <w:link w:val="76"/>
    <w:qFormat/>
    <w:uiPriority w:val="0"/>
    <w:pPr>
      <w:pBdr>
        <w:bottom w:val="single" w:color="auto" w:sz="6" w:space="1"/>
      </w:pBdr>
      <w:tabs>
        <w:tab w:val="center" w:pos="4153"/>
        <w:tab w:val="right" w:pos="8306"/>
      </w:tabs>
      <w:snapToGrid w:val="0"/>
      <w:spacing w:line="360" w:lineRule="auto"/>
      <w:ind w:firstLine="425"/>
      <w:jc w:val="center"/>
    </w:pPr>
    <w:rPr>
      <w:rFonts w:ascii="Times" w:hAnsi="Times"/>
      <w:sz w:val="18"/>
      <w:szCs w:val="20"/>
      <w:lang w:val="zh-CN"/>
    </w:rPr>
  </w:style>
  <w:style w:type="paragraph" w:styleId="22">
    <w:name w:val="toc 1"/>
    <w:basedOn w:val="1"/>
    <w:next w:val="1"/>
    <w:qFormat/>
    <w:uiPriority w:val="39"/>
    <w:pPr>
      <w:tabs>
        <w:tab w:val="right" w:leader="dot" w:pos="9180"/>
      </w:tabs>
      <w:spacing w:line="400" w:lineRule="exact"/>
      <w:ind w:firstLine="425"/>
      <w:jc w:val="left"/>
    </w:pPr>
    <w:rPr>
      <w:rFonts w:ascii="宋体" w:hAnsi="宋体" w:cs="Arial"/>
      <w:b/>
      <w:bCs/>
      <w:caps/>
      <w:szCs w:val="32"/>
    </w:rPr>
  </w:style>
  <w:style w:type="paragraph" w:styleId="23">
    <w:name w:val="index heading"/>
    <w:basedOn w:val="1"/>
    <w:next w:val="24"/>
    <w:qFormat/>
    <w:uiPriority w:val="0"/>
    <w:rPr>
      <w:szCs w:val="20"/>
    </w:rPr>
  </w:style>
  <w:style w:type="paragraph" w:styleId="24">
    <w:name w:val="index 1"/>
    <w:basedOn w:val="1"/>
    <w:next w:val="1"/>
    <w:autoRedefine/>
    <w:qFormat/>
    <w:uiPriority w:val="0"/>
  </w:style>
  <w:style w:type="paragraph" w:styleId="25">
    <w:name w:val="Body Text Indent 3"/>
    <w:basedOn w:val="1"/>
    <w:autoRedefine/>
    <w:qFormat/>
    <w:uiPriority w:val="0"/>
    <w:pPr>
      <w:spacing w:line="360" w:lineRule="auto"/>
      <w:ind w:left="1260" w:leftChars="600"/>
    </w:pPr>
    <w:rPr>
      <w:rFonts w:ascii="宋体" w:hAnsi="宋体"/>
      <w:b/>
      <w:bCs/>
      <w:sz w:val="24"/>
    </w:rPr>
  </w:style>
  <w:style w:type="paragraph" w:styleId="26">
    <w:name w:val="table of figures"/>
    <w:basedOn w:val="1"/>
    <w:next w:val="1"/>
    <w:qFormat/>
    <w:uiPriority w:val="0"/>
    <w:pPr>
      <w:tabs>
        <w:tab w:val="left" w:pos="840"/>
      </w:tabs>
      <w:spacing w:line="360" w:lineRule="auto"/>
      <w:ind w:left="840" w:hanging="420"/>
    </w:pPr>
  </w:style>
  <w:style w:type="paragraph" w:styleId="27">
    <w:name w:val="toc 2"/>
    <w:basedOn w:val="1"/>
    <w:next w:val="1"/>
    <w:autoRedefine/>
    <w:qFormat/>
    <w:uiPriority w:val="39"/>
    <w:pPr>
      <w:tabs>
        <w:tab w:val="right" w:leader="dot" w:pos="9170"/>
      </w:tabs>
      <w:spacing w:line="400" w:lineRule="exact"/>
      <w:ind w:left="238" w:firstLine="425"/>
      <w:jc w:val="left"/>
    </w:pPr>
    <w:rPr>
      <w:rFonts w:ascii="Times" w:hAnsi="Times" w:cs="Arial"/>
      <w:smallCaps/>
      <w:szCs w:val="30"/>
    </w:rPr>
  </w:style>
  <w:style w:type="paragraph" w:styleId="2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29">
    <w:name w:val="annotation subject"/>
    <w:basedOn w:val="11"/>
    <w:next w:val="11"/>
    <w:link w:val="48"/>
    <w:autoRedefine/>
    <w:qFormat/>
    <w:uiPriority w:val="0"/>
    <w:rPr>
      <w:b/>
      <w:bCs/>
    </w:rPr>
  </w:style>
  <w:style w:type="paragraph" w:styleId="30">
    <w:name w:val="Body Text First Indent"/>
    <w:next w:val="31"/>
    <w:link w:val="47"/>
    <w:autoRedefine/>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1">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styleId="32">
    <w:name w:val="Body Text First Indent 2"/>
    <w:basedOn w:val="14"/>
    <w:autoRedefine/>
    <w:qFormat/>
    <w:uiPriority w:val="0"/>
    <w:pPr>
      <w:spacing w:line="360" w:lineRule="auto"/>
      <w:ind w:left="200" w:firstLine="200" w:firstLineChars="200"/>
    </w:p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rFonts w:eastAsia="宋体"/>
      <w:b/>
      <w:bCs/>
      <w:kern w:val="2"/>
      <w:sz w:val="24"/>
      <w:szCs w:val="24"/>
      <w:lang w:val="en-US" w:eastAsia="zh-CN" w:bidi="ar-SA"/>
    </w:rPr>
  </w:style>
  <w:style w:type="character" w:styleId="37">
    <w:name w:val="page number"/>
    <w:autoRedefine/>
    <w:qFormat/>
    <w:uiPriority w:val="0"/>
    <w:rPr>
      <w:rFonts w:eastAsia="宋体"/>
      <w:kern w:val="2"/>
      <w:sz w:val="24"/>
      <w:szCs w:val="24"/>
      <w:lang w:val="en-US" w:eastAsia="zh-CN" w:bidi="ar-SA"/>
    </w:rPr>
  </w:style>
  <w:style w:type="character" w:styleId="38">
    <w:name w:val="Emphasis"/>
    <w:basedOn w:val="35"/>
    <w:autoRedefine/>
    <w:qFormat/>
    <w:uiPriority w:val="0"/>
    <w:rPr>
      <w:i/>
      <w:iCs/>
    </w:rPr>
  </w:style>
  <w:style w:type="character" w:styleId="39">
    <w:name w:val="Hyperlink"/>
    <w:autoRedefine/>
    <w:qFormat/>
    <w:uiPriority w:val="99"/>
    <w:rPr>
      <w:rFonts w:eastAsia="宋体"/>
      <w:color w:val="0000FF"/>
      <w:kern w:val="2"/>
      <w:sz w:val="24"/>
      <w:szCs w:val="24"/>
      <w:u w:val="single"/>
      <w:lang w:val="en-US" w:eastAsia="zh-CN" w:bidi="ar-SA"/>
    </w:rPr>
  </w:style>
  <w:style w:type="character" w:styleId="40">
    <w:name w:val="annotation reference"/>
    <w:autoRedefine/>
    <w:qFormat/>
    <w:uiPriority w:val="99"/>
    <w:rPr>
      <w:sz w:val="21"/>
      <w:szCs w:val="21"/>
    </w:rPr>
  </w:style>
  <w:style w:type="paragraph" w:customStyle="1" w:styleId="41">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2">
    <w:name w:val="标题 1 字符"/>
    <w:link w:val="2"/>
    <w:autoRedefine/>
    <w:qFormat/>
    <w:uiPriority w:val="0"/>
    <w:rPr>
      <w:b/>
      <w:kern w:val="44"/>
      <w:sz w:val="32"/>
    </w:rPr>
  </w:style>
  <w:style w:type="paragraph" w:customStyle="1" w:styleId="43">
    <w:name w:val="Body Text First Indent 21"/>
    <w:autoRedefine/>
    <w:qFormat/>
    <w:uiPriority w:val="0"/>
    <w:pPr>
      <w:widowControl w:val="0"/>
      <w:spacing w:line="360" w:lineRule="auto"/>
      <w:ind w:firstLine="420"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4">
    <w:name w:val="标题 2 字符"/>
    <w:link w:val="3"/>
    <w:autoRedefine/>
    <w:qFormat/>
    <w:uiPriority w:val="0"/>
    <w:rPr>
      <w:rFonts w:ascii="宋体" w:hAnsi="Arial"/>
      <w:b/>
      <w:kern w:val="2"/>
      <w:sz w:val="30"/>
    </w:rPr>
  </w:style>
  <w:style w:type="character" w:customStyle="1" w:styleId="45">
    <w:name w:val="日期 字符"/>
    <w:link w:val="17"/>
    <w:autoRedefine/>
    <w:qFormat/>
    <w:uiPriority w:val="0"/>
    <w:rPr>
      <w:rFonts w:eastAsia="宋体"/>
      <w:kern w:val="2"/>
      <w:sz w:val="28"/>
      <w:lang w:val="en-US" w:eastAsia="zh-CN" w:bidi="ar-SA"/>
    </w:rPr>
  </w:style>
  <w:style w:type="character" w:customStyle="1" w:styleId="46">
    <w:name w:val="Char Char3"/>
    <w:autoRedefine/>
    <w:qFormat/>
    <w:uiPriority w:val="0"/>
    <w:rPr>
      <w:kern w:val="2"/>
      <w:sz w:val="21"/>
      <w:lang w:bidi="ar-SA"/>
    </w:rPr>
  </w:style>
  <w:style w:type="character" w:customStyle="1" w:styleId="47">
    <w:name w:val="正文文本首行缩进 字符"/>
    <w:link w:val="30"/>
    <w:autoRedefine/>
    <w:qFormat/>
    <w:uiPriority w:val="0"/>
    <w:rPr>
      <w:lang w:val="en-US" w:eastAsia="zh-CN" w:bidi="ar-SA"/>
    </w:rPr>
  </w:style>
  <w:style w:type="character" w:customStyle="1" w:styleId="48">
    <w:name w:val="批注主题 字符"/>
    <w:link w:val="29"/>
    <w:autoRedefine/>
    <w:qFormat/>
    <w:uiPriority w:val="0"/>
    <w:rPr>
      <w:b/>
      <w:bCs/>
      <w:kern w:val="2"/>
      <w:sz w:val="21"/>
      <w:szCs w:val="24"/>
    </w:rPr>
  </w:style>
  <w:style w:type="character" w:customStyle="1" w:styleId="49">
    <w:name w:val="已访问的超链接1"/>
    <w:autoRedefine/>
    <w:qFormat/>
    <w:uiPriority w:val="0"/>
    <w:rPr>
      <w:color w:val="800080"/>
      <w:u w:val="single"/>
    </w:rPr>
  </w:style>
  <w:style w:type="character" w:customStyle="1" w:styleId="50">
    <w:name w:val="正文文本 字符"/>
    <w:link w:val="13"/>
    <w:autoRedefine/>
    <w:qFormat/>
    <w:uiPriority w:val="0"/>
    <w:rPr>
      <w:kern w:val="2"/>
      <w:sz w:val="24"/>
      <w:szCs w:val="24"/>
    </w:rPr>
  </w:style>
  <w:style w:type="character" w:customStyle="1" w:styleId="51">
    <w:name w:val="Char Char4"/>
    <w:autoRedefine/>
    <w:qFormat/>
    <w:uiPriority w:val="0"/>
    <w:rPr>
      <w:rFonts w:ascii="宋体" w:hAnsi="Courier New"/>
      <w:kern w:val="2"/>
      <w:sz w:val="24"/>
      <w:szCs w:val="21"/>
      <w:lang w:bidi="ar-SA"/>
    </w:rPr>
  </w:style>
  <w:style w:type="character" w:customStyle="1" w:styleId="52">
    <w:name w:val="正文文本缩进 2 Char"/>
    <w:autoRedefine/>
    <w:qFormat/>
    <w:uiPriority w:val="0"/>
    <w:rPr>
      <w:rFonts w:hint="default" w:ascii="Times" w:hAnsi="Times" w:eastAsia="宋体" w:cs="Times"/>
      <w:kern w:val="2"/>
      <w:sz w:val="24"/>
      <w:lang w:val="en-US" w:eastAsia="zh-CN" w:bidi="ar-SA"/>
    </w:rPr>
  </w:style>
  <w:style w:type="character" w:customStyle="1" w:styleId="53">
    <w:name w:val="纯文本 字符"/>
    <w:link w:val="16"/>
    <w:autoRedefine/>
    <w:qFormat/>
    <w:uiPriority w:val="99"/>
    <w:rPr>
      <w:rFonts w:ascii="宋体" w:hAnsi="Courier New" w:eastAsia="宋体"/>
      <w:kern w:val="2"/>
      <w:sz w:val="24"/>
      <w:szCs w:val="21"/>
      <w:lang w:val="en-US" w:eastAsia="zh-CN" w:bidi="ar-SA"/>
    </w:rPr>
  </w:style>
  <w:style w:type="character" w:customStyle="1" w:styleId="54">
    <w:name w:val="批注文字 字符"/>
    <w:link w:val="11"/>
    <w:autoRedefine/>
    <w:qFormat/>
    <w:uiPriority w:val="99"/>
    <w:rPr>
      <w:kern w:val="2"/>
      <w:sz w:val="21"/>
      <w:szCs w:val="24"/>
    </w:rPr>
  </w:style>
  <w:style w:type="character" w:customStyle="1" w:styleId="55">
    <w:name w:val="正文缩进 字符"/>
    <w:link w:val="8"/>
    <w:autoRedefine/>
    <w:qFormat/>
    <w:uiPriority w:val="0"/>
    <w:rPr>
      <w:rFonts w:eastAsia="宋体"/>
      <w:kern w:val="2"/>
      <w:sz w:val="21"/>
      <w:lang w:val="en-US" w:eastAsia="zh-CN" w:bidi="ar-SA"/>
    </w:rPr>
  </w:style>
  <w:style w:type="paragraph" w:customStyle="1" w:styleId="5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7">
    <w:name w:val="Char Char Char Char"/>
    <w:basedOn w:val="1"/>
    <w:autoRedefine/>
    <w:qFormat/>
    <w:uiPriority w:val="0"/>
    <w:pPr>
      <w:widowControl/>
      <w:numPr>
        <w:ilvl w:val="0"/>
        <w:numId w:val="2"/>
      </w:numPr>
      <w:spacing w:after="160" w:line="240" w:lineRule="exact"/>
      <w:jc w:val="left"/>
    </w:pPr>
    <w:rPr>
      <w:rFonts w:ascii="Verdana" w:hAnsi="Verdana"/>
      <w:kern w:val="0"/>
      <w:szCs w:val="20"/>
      <w:lang w:eastAsia="en-US"/>
    </w:rPr>
  </w:style>
  <w:style w:type="paragraph" w:customStyle="1" w:styleId="5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
    <w:name w:val="样式1"/>
    <w:basedOn w:val="1"/>
    <w:autoRedefine/>
    <w:qFormat/>
    <w:uiPriority w:val="0"/>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60">
    <w:name w:val="Char Char"/>
    <w:basedOn w:val="1"/>
    <w:autoRedefine/>
    <w:qFormat/>
    <w:uiPriority w:val="0"/>
    <w:pPr>
      <w:tabs>
        <w:tab w:val="left" w:pos="2040"/>
      </w:tabs>
      <w:ind w:left="2040" w:hanging="360"/>
    </w:pPr>
    <w:rPr>
      <w:sz w:val="24"/>
    </w:rPr>
  </w:style>
  <w:style w:type="paragraph" w:customStyle="1" w:styleId="61">
    <w:name w:val="符号列表2"/>
    <w:basedOn w:val="1"/>
    <w:autoRedefine/>
    <w:qFormat/>
    <w:uiPriority w:val="0"/>
    <w:pPr>
      <w:tabs>
        <w:tab w:val="left" w:pos="113"/>
      </w:tabs>
      <w:ind w:left="227" w:hanging="227"/>
    </w:pPr>
  </w:style>
  <w:style w:type="paragraph" w:customStyle="1" w:styleId="62">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63">
    <w:name w:val="表格文字"/>
    <w:basedOn w:val="1"/>
    <w:autoRedefine/>
    <w:qFormat/>
    <w:uiPriority w:val="0"/>
    <w:pPr>
      <w:spacing w:before="25" w:after="25" w:line="300" w:lineRule="auto"/>
    </w:pPr>
    <w:rPr>
      <w:rFonts w:ascii="Times" w:hAnsi="Times"/>
      <w:spacing w:val="10"/>
      <w:kern w:val="0"/>
      <w:sz w:val="24"/>
      <w:szCs w:val="20"/>
    </w:rPr>
  </w:style>
  <w:style w:type="paragraph" w:customStyle="1" w:styleId="64">
    <w:name w:val="样式 正文缩进表正文正文非缩进段1特点ALT+Z水上软件正文不缩进四号特点 Char CharNormal ..."/>
    <w:basedOn w:val="8"/>
    <w:autoRedefine/>
    <w:qFormat/>
    <w:uiPriority w:val="0"/>
    <w:pPr>
      <w:spacing w:line="360" w:lineRule="auto"/>
      <w:ind w:firstLine="560" w:firstLineChars="200"/>
    </w:pPr>
    <w:rPr>
      <w:rFonts w:eastAsia="仿宋_GB2312"/>
      <w:sz w:val="24"/>
      <w:szCs w:val="24"/>
    </w:rPr>
  </w:style>
  <w:style w:type="paragraph" w:customStyle="1" w:styleId="65">
    <w:name w:val="符号列表4"/>
    <w:basedOn w:val="1"/>
    <w:autoRedefine/>
    <w:qFormat/>
    <w:uiPriority w:val="0"/>
    <w:pPr>
      <w:tabs>
        <w:tab w:val="left" w:pos="0"/>
      </w:tabs>
      <w:ind w:hanging="1440"/>
    </w:pPr>
  </w:style>
  <w:style w:type="paragraph" w:customStyle="1" w:styleId="66">
    <w:name w:val="列出段落1"/>
    <w:basedOn w:val="1"/>
    <w:autoRedefine/>
    <w:qFormat/>
    <w:uiPriority w:val="0"/>
    <w:pPr>
      <w:ind w:firstLine="420" w:firstLineChars="200"/>
    </w:pPr>
    <w:rPr>
      <w:rFonts w:ascii="Calibri" w:hAnsi="Calibri"/>
      <w:szCs w:val="22"/>
    </w:rPr>
  </w:style>
  <w:style w:type="paragraph" w:customStyle="1" w:styleId="67">
    <w:name w:val="表格内容"/>
    <w:basedOn w:val="1"/>
    <w:next w:val="1"/>
    <w:autoRedefine/>
    <w:qFormat/>
    <w:uiPriority w:val="0"/>
    <w:pPr>
      <w:spacing w:line="312" w:lineRule="auto"/>
    </w:pPr>
    <w:rPr>
      <w:rFonts w:ascii="宋体"/>
      <w:szCs w:val="20"/>
    </w:rPr>
  </w:style>
  <w:style w:type="paragraph" w:styleId="68">
    <w:name w:val="List Paragraph"/>
    <w:basedOn w:val="1"/>
    <w:autoRedefine/>
    <w:qFormat/>
    <w:uiPriority w:val="34"/>
    <w:pPr>
      <w:ind w:firstLine="420" w:firstLineChars="200"/>
    </w:pPr>
  </w:style>
  <w:style w:type="paragraph" w:customStyle="1" w:styleId="69">
    <w:name w:val="编号1"/>
    <w:basedOn w:val="1"/>
    <w:autoRedefine/>
    <w:qFormat/>
    <w:uiPriority w:val="0"/>
    <w:pPr>
      <w:tabs>
        <w:tab w:val="left" w:pos="1260"/>
      </w:tabs>
      <w:ind w:left="1260" w:hanging="420"/>
    </w:pPr>
  </w:style>
  <w:style w:type="paragraph" w:customStyle="1" w:styleId="70">
    <w:name w:val="样式 标题 1H1合同标题 + 小三"/>
    <w:basedOn w:val="2"/>
    <w:autoRedefine/>
    <w:qFormat/>
    <w:uiPriority w:val="0"/>
    <w:pPr>
      <w:widowControl/>
      <w:tabs>
        <w:tab w:val="left" w:pos="432"/>
      </w:tabs>
      <w:adjustRightInd w:val="0"/>
      <w:snapToGrid w:val="0"/>
      <w:spacing w:before="120" w:after="240" w:line="240" w:lineRule="atLeast"/>
      <w:ind w:left="432" w:hanging="432"/>
      <w:jc w:val="left"/>
    </w:pPr>
    <w:rPr>
      <w:rFonts w:eastAsia="黑体"/>
      <w:bCs/>
      <w:spacing w:val="10"/>
      <w:kern w:val="2"/>
      <w:sz w:val="30"/>
    </w:rPr>
  </w:style>
  <w:style w:type="paragraph" w:customStyle="1" w:styleId="71">
    <w:name w:val="样式 四号 首行缩进:  1.01 厘米"/>
    <w:basedOn w:val="1"/>
    <w:autoRedefine/>
    <w:qFormat/>
    <w:uiPriority w:val="0"/>
    <w:pPr>
      <w:tabs>
        <w:tab w:val="left" w:pos="995"/>
      </w:tabs>
      <w:ind w:left="995" w:hanging="425"/>
    </w:pPr>
    <w:rPr>
      <w:sz w:val="28"/>
      <w:szCs w:val="20"/>
    </w:rPr>
  </w:style>
  <w:style w:type="paragraph" w:customStyle="1" w:styleId="72">
    <w:name w:val="Char1"/>
    <w:basedOn w:val="1"/>
    <w:autoRedefine/>
    <w:qFormat/>
    <w:uiPriority w:val="0"/>
    <w:rPr>
      <w:rFonts w:ascii="Tahoma" w:hAnsi="Tahoma"/>
      <w:sz w:val="24"/>
      <w:szCs w:val="20"/>
    </w:rPr>
  </w:style>
  <w:style w:type="character" w:customStyle="1" w:styleId="73">
    <w:name w:val="纯文本 Char1"/>
    <w:autoRedefine/>
    <w:qFormat/>
    <w:uiPriority w:val="0"/>
    <w:rPr>
      <w:rFonts w:ascii="宋体" w:hAnsi="Courier New"/>
      <w:kern w:val="2"/>
      <w:sz w:val="24"/>
      <w:szCs w:val="21"/>
    </w:rPr>
  </w:style>
  <w:style w:type="character" w:customStyle="1" w:styleId="74">
    <w:name w:val="正文缩进 Char1"/>
    <w:autoRedefine/>
    <w:qFormat/>
    <w:uiPriority w:val="0"/>
    <w:rPr>
      <w:kern w:val="2"/>
      <w:sz w:val="21"/>
    </w:rPr>
  </w:style>
  <w:style w:type="character" w:customStyle="1" w:styleId="75">
    <w:name w:val="文档结构图 Char1"/>
    <w:autoRedefine/>
    <w:qFormat/>
    <w:uiPriority w:val="0"/>
    <w:rPr>
      <w:rFonts w:ascii="宋体" w:hAnsi="Tahoma" w:eastAsia="宋体" w:cs="Times New Roman"/>
      <w:sz w:val="18"/>
      <w:szCs w:val="18"/>
    </w:rPr>
  </w:style>
  <w:style w:type="character" w:customStyle="1" w:styleId="76">
    <w:name w:val="页眉 字符"/>
    <w:link w:val="21"/>
    <w:autoRedefine/>
    <w:qFormat/>
    <w:uiPriority w:val="0"/>
    <w:rPr>
      <w:rFonts w:ascii="Times" w:hAnsi="Times"/>
      <w:kern w:val="2"/>
      <w:sz w:val="18"/>
    </w:rPr>
  </w:style>
  <w:style w:type="character" w:customStyle="1" w:styleId="77">
    <w:name w:val="正文文本 3 字符"/>
    <w:link w:val="12"/>
    <w:autoRedefine/>
    <w:qFormat/>
    <w:uiPriority w:val="0"/>
    <w:rPr>
      <w:rFonts w:ascii="Tahoma" w:hAnsi="Tahoma"/>
      <w:kern w:val="2"/>
      <w:sz w:val="16"/>
      <w:szCs w:val="16"/>
    </w:rPr>
  </w:style>
  <w:style w:type="character" w:customStyle="1" w:styleId="78">
    <w:name w:val="正文文本 3 Char1"/>
    <w:autoRedefine/>
    <w:qFormat/>
    <w:uiPriority w:val="99"/>
    <w:rPr>
      <w:kern w:val="2"/>
      <w:sz w:val="16"/>
      <w:szCs w:val="16"/>
    </w:rPr>
  </w:style>
  <w:style w:type="paragraph" w:customStyle="1" w:styleId="7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0">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正文_8"/>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2">
    <w:name w:val="正文_9"/>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正文_1_0_0"/>
    <w:basedOn w:val="1"/>
    <w:autoRedefine/>
    <w:qFormat/>
    <w:uiPriority w:val="0"/>
    <w:rPr>
      <w:rFonts w:ascii="Helvetica" w:hAnsi="Helvetica" w:eastAsia="等线" w:cs="Helvetica"/>
      <w:szCs w:val="21"/>
    </w:rPr>
  </w:style>
  <w:style w:type="paragraph" w:customStyle="1" w:styleId="84">
    <w:name w:val="正文_2_0_1"/>
    <w:basedOn w:val="1"/>
    <w:autoRedefine/>
    <w:qFormat/>
    <w:uiPriority w:val="0"/>
    <w:rPr>
      <w:rFonts w:ascii="Calibri" w:hAnsi="Calibri" w:cs="Helvetica"/>
      <w:szCs w:val="21"/>
    </w:rPr>
  </w:style>
  <w:style w:type="character" w:customStyle="1" w:styleId="85">
    <w:name w:val="p141_0_0"/>
    <w:autoRedefine/>
    <w:qFormat/>
    <w:uiPriority w:val="0"/>
    <w:rPr>
      <w:rFonts w:hint="default" w:ascii="Calibri" w:hAnsi="Calibri"/>
      <w:sz w:val="21"/>
      <w:szCs w:val="21"/>
    </w:rPr>
  </w:style>
  <w:style w:type="paragraph" w:customStyle="1" w:styleId="86">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87">
    <w:name w:val="标题 3_0"/>
    <w:basedOn w:val="88"/>
    <w:next w:val="88"/>
    <w:autoRedefine/>
    <w:qFormat/>
    <w:uiPriority w:val="0"/>
    <w:pPr>
      <w:keepNext/>
      <w:keepLines/>
      <w:widowControl/>
      <w:tabs>
        <w:tab w:val="left" w:pos="672"/>
      </w:tabs>
      <w:spacing w:before="120" w:after="120" w:line="360" w:lineRule="auto"/>
      <w:jc w:val="left"/>
      <w:outlineLvl w:val="2"/>
    </w:pPr>
    <w:rPr>
      <w:rFonts w:ascii="Arial" w:hAnsi="Arial" w:eastAsia="黑体"/>
      <w:b/>
      <w:kern w:val="44"/>
      <w:sz w:val="26"/>
      <w:szCs w:val="26"/>
      <w:lang w:val="zh-CN"/>
    </w:rPr>
  </w:style>
  <w:style w:type="paragraph" w:customStyle="1" w:styleId="88">
    <w:name w:val="正文_0"/>
    <w:autoRedefine/>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89">
    <w:name w:val="正文_0_0"/>
    <w:next w:val="1"/>
    <w:autoRedefine/>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90">
    <w:name w:val="标题 2_0"/>
    <w:basedOn w:val="1"/>
    <w:next w:val="1"/>
    <w:autoRedefine/>
    <w:qFormat/>
    <w:uiPriority w:val="0"/>
    <w:pPr>
      <w:keepNext/>
      <w:keepLines/>
      <w:numPr>
        <w:ilvl w:val="1"/>
        <w:numId w:val="3"/>
      </w:numPr>
      <w:spacing w:before="260" w:after="260" w:line="416" w:lineRule="auto"/>
      <w:outlineLvl w:val="1"/>
    </w:pPr>
    <w:rPr>
      <w:rFonts w:ascii="Cambria" w:hAnsi="Cambria"/>
      <w:b/>
      <w:bCs/>
      <w:kern w:val="0"/>
      <w:sz w:val="30"/>
      <w:szCs w:val="32"/>
      <w:lang w:val="zh-CN"/>
    </w:rPr>
  </w:style>
  <w:style w:type="paragraph" w:customStyle="1" w:styleId="91">
    <w:name w:val="0正文"/>
    <w:basedOn w:val="1"/>
    <w:autoRedefine/>
    <w:qFormat/>
    <w:uiPriority w:val="0"/>
    <w:pPr>
      <w:adjustRightInd w:val="0"/>
      <w:spacing w:line="360" w:lineRule="auto"/>
      <w:ind w:firstLine="480" w:firstLineChars="200"/>
      <w:textAlignment w:val="baseline"/>
    </w:pPr>
    <w:rPr>
      <w:rFonts w:ascii="Verdana" w:hAnsi="Verdana"/>
      <w:kern w:val="0"/>
      <w:sz w:val="24"/>
    </w:rPr>
  </w:style>
  <w:style w:type="paragraph" w:customStyle="1" w:styleId="92">
    <w:name w:val="TOC 标题1"/>
    <w:basedOn w:val="2"/>
    <w:next w:val="1"/>
    <w:autoRedefine/>
    <w:qFormat/>
    <w:uiPriority w:val="39"/>
    <w:pPr>
      <w:widowControl/>
      <w:spacing w:before="240" w:after="0" w:line="259" w:lineRule="auto"/>
      <w:jc w:val="left"/>
      <w:outlineLvl w:val="9"/>
    </w:pPr>
    <w:rPr>
      <w:rFonts w:ascii="Calibri Light" w:hAnsi="Calibri Light" w:cs="宋体"/>
      <w:b w:val="0"/>
      <w:color w:val="2E75B6"/>
      <w:kern w:val="0"/>
      <w:szCs w:val="32"/>
      <w:lang w:val="en-US"/>
    </w:rPr>
  </w:style>
  <w:style w:type="character" w:customStyle="1" w:styleId="93">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87B6BA-172A-4105-8976-4A495D9C2E92}">
  <ds:schemaRefs/>
</ds:datastoreItem>
</file>

<file path=docProps/app.xml><?xml version="1.0" encoding="utf-8"?>
<Properties xmlns="http://schemas.openxmlformats.org/officeDocument/2006/extended-properties" xmlns:vt="http://schemas.openxmlformats.org/officeDocument/2006/docPropsVTypes">
  <Template>Normal</Template>
  <Pages>74</Pages>
  <Words>36871</Words>
  <Characters>38825</Characters>
  <Lines>276</Lines>
  <Paragraphs>77</Paragraphs>
  <TotalTime>21</TotalTime>
  <ScaleCrop>false</ScaleCrop>
  <LinksUpToDate>false</LinksUpToDate>
  <CharactersWithSpaces>39565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2021-03-25T14:34:00Z</dcterms:created>
  <dcterms:modified xsi:type="dcterms:W3CDTF">2024-08-28T07:23:21Z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C921601091B54965821D7110DF4A39D5_13</vt:lpwstr>
  </property>
</Properties>
</file>