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80B4D">
      <w:pPr>
        <w:pStyle w:val="2"/>
        <w:spacing w:before="200" w:after="0" w:line="340" w:lineRule="exact"/>
      </w:pPr>
      <w:r>
        <w:rPr>
          <w:rFonts w:hint="eastAsia"/>
        </w:rPr>
        <w:t>珠江街万悦花园安置区选房证</w:t>
      </w:r>
    </w:p>
    <w:p w14:paraId="2651097E">
      <w:pPr>
        <w:spacing w:line="280" w:lineRule="exact"/>
        <w:rPr>
          <w:rFonts w:ascii="仿宋" w:hAnsi="仿宋" w:eastAsia="仿宋" w:cs="仿宋"/>
          <w:b/>
          <w:bCs/>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6285865</wp:posOffset>
                </wp:positionH>
                <wp:positionV relativeFrom="paragraph">
                  <wp:posOffset>224790</wp:posOffset>
                </wp:positionV>
                <wp:extent cx="447675" cy="4335780"/>
                <wp:effectExtent l="0" t="0" r="9525" b="7620"/>
                <wp:wrapNone/>
                <wp:docPr id="2" name="文本框 2"/>
                <wp:cNvGraphicFramePr/>
                <a:graphic xmlns:a="http://schemas.openxmlformats.org/drawingml/2006/main">
                  <a:graphicData uri="http://schemas.microsoft.com/office/word/2010/wordprocessingShape">
                    <wps:wsp>
                      <wps:cNvSpPr txBox="1"/>
                      <wps:spPr>
                        <a:xfrm>
                          <a:off x="0" y="0"/>
                          <a:ext cx="447675" cy="4335780"/>
                        </a:xfrm>
                        <a:prstGeom prst="rect">
                          <a:avLst/>
                        </a:prstGeom>
                        <a:solidFill>
                          <a:schemeClr val="lt1"/>
                        </a:solidFill>
                        <a:ln w="6350">
                          <a:noFill/>
                        </a:ln>
                      </wps:spPr>
                      <wps:txbx>
                        <w:txbxContent>
                          <w:p w14:paraId="11C04C90">
                            <w:pPr>
                              <w:rPr>
                                <w:spacing w:val="22"/>
                              </w:rPr>
                            </w:pPr>
                            <w:r>
                              <w:rPr>
                                <w:rFonts w:hint="eastAsia"/>
                                <w:spacing w:val="22"/>
                              </w:rPr>
                              <w:t>第一联（共三联）：广州南沙开发区土地开发中心持有联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4.95pt;margin-top:17.7pt;height:341.4pt;width:35.25pt;z-index:251659264;mso-width-relative:page;mso-height-relative:page;" fillcolor="#FFFFFF [3201]" filled="t" stroked="f" coordsize="21600,21600" o:gfxdata="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tSwnfYAAAA&#10;CwEAAA8AAAAAAAAAAQAgAAAAIgAAAGRycy9kb3ducmV2LnhtbFBLAQIUABQAAAAIAIdO4kA8CKoK&#10;VgIAAJEEAAAOAAAAAAAAAAEAIAAAACcBAABkcnMvZTJvRG9jLnhtbFBLBQYAAAAABgAGAFkBAADv&#10;BQAAAAA=&#10;">
                <v:fill on="t" focussize="0,0"/>
                <v:stroke on="f" weight="0.5pt"/>
                <v:imagedata o:title=""/>
                <o:lock v:ext="edit" aspectratio="f"/>
                <v:textbox style="layout-flow:vertical-ideographic;">
                  <w:txbxContent>
                    <w:p w14:paraId="11C04C90">
                      <w:pPr>
                        <w:rPr>
                          <w:spacing w:val="22"/>
                        </w:rPr>
                      </w:pPr>
                      <w:r>
                        <w:rPr>
                          <w:rFonts w:hint="eastAsia"/>
                          <w:spacing w:val="22"/>
                        </w:rPr>
                        <w:t>第一联（共三联）：广州南沙开发区土地开发中心持有联</w:t>
                      </w:r>
                    </w:p>
                  </w:txbxContent>
                </v:textbox>
              </v:shape>
            </w:pict>
          </mc:Fallback>
        </mc:AlternateConten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选房证号：</w:t>
      </w:r>
    </w:p>
    <w:p w14:paraId="101B4633">
      <w:pPr>
        <w:spacing w:line="360" w:lineRule="exact"/>
        <w:ind w:firstLine="480" w:firstLineChars="200"/>
        <w:rPr>
          <w:rFonts w:ascii="仿宋" w:hAnsi="仿宋" w:eastAsia="仿宋" w:cs="仿宋"/>
          <w:sz w:val="24"/>
        </w:rPr>
      </w:pP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本选房证</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办理签订安置房分配合同、结算房款和收楼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p>
    <w:p w14:paraId="6CF83B77">
      <w:pPr>
        <w:spacing w:line="360" w:lineRule="exact"/>
        <w:ind w:firstLine="480" w:firstLineChars="200"/>
        <w:rPr>
          <w:rFonts w:ascii="仿宋" w:hAnsi="仿宋" w:eastAsia="仿宋" w:cs="仿宋"/>
          <w:b/>
          <w:bCs/>
          <w:sz w:val="24"/>
        </w:rPr>
      </w:pPr>
      <w:r>
        <w:rPr>
          <w:rFonts w:hint="eastAsia" w:ascii="仿宋" w:hAnsi="仿宋" w:eastAsia="仿宋" w:cs="仿宋"/>
          <w:sz w:val="24"/>
        </w:rPr>
        <w:t>万悦花园安置区万</w:t>
      </w:r>
      <w:bookmarkStart w:id="0" w:name="_GoBack"/>
      <w:bookmarkEnd w:id="0"/>
      <w:r>
        <w:rPr>
          <w:rFonts w:hint="eastAsia" w:ascii="仿宋" w:hAnsi="仿宋" w:eastAsia="仿宋" w:cs="仿宋"/>
          <w:sz w:val="24"/>
        </w:rPr>
        <w:t>悦</w:t>
      </w:r>
      <w:r>
        <w:rPr>
          <w:rFonts w:hint="eastAsia" w:ascii="仿宋" w:hAnsi="仿宋" w:eastAsia="仿宋" w:cs="仿宋"/>
          <w:sz w:val="24"/>
          <w:u w:val="single"/>
        </w:rPr>
        <w:t xml:space="preserve">       </w:t>
      </w:r>
      <w:r>
        <w:rPr>
          <w:rFonts w:hint="eastAsia" w:ascii="仿宋" w:hAnsi="仿宋" w:eastAsia="仿宋" w:cs="仿宋"/>
          <w:sz w:val="24"/>
        </w:rPr>
        <w:t>街</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3EADCC1B">
      <w:pPr>
        <w:numPr>
          <w:ilvl w:val="255"/>
          <w:numId w:val="0"/>
        </w:numPr>
        <w:spacing w:line="36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关于该房屋的房款结算事宜，被征收人确认并同意应按照征收合同（穗南开土地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273E6527">
      <w:pPr>
        <w:spacing w:line="280" w:lineRule="exact"/>
        <w:ind w:firstLine="480" w:firstLineChars="200"/>
        <w:rPr>
          <w:rFonts w:ascii="仿宋" w:hAnsi="仿宋" w:eastAsia="仿宋" w:cs="仿宋"/>
          <w:sz w:val="24"/>
        </w:rPr>
      </w:pPr>
    </w:p>
    <w:p w14:paraId="5B35E439">
      <w:pPr>
        <w:spacing w:line="280" w:lineRule="exact"/>
        <w:rPr>
          <w:rFonts w:ascii="仿宋" w:hAnsi="仿宋" w:eastAsia="仿宋" w:cs="仿宋"/>
          <w:sz w:val="24"/>
        </w:rPr>
      </w:pPr>
      <w:r>
        <w:rPr>
          <w:rFonts w:hint="eastAsia" w:ascii="仿宋" w:hAnsi="仿宋" w:eastAsia="仿宋" w:cs="仿宋"/>
          <w:sz w:val="24"/>
        </w:rPr>
        <w:t xml:space="preserve">征收人：广州南沙开发区土地开发中心        </w:t>
      </w:r>
      <w:r>
        <w:rPr>
          <w:rFonts w:ascii="仿宋" w:hAnsi="仿宋" w:eastAsia="仿宋" w:cs="仿宋"/>
          <w:sz w:val="24"/>
        </w:rPr>
        <w:t xml:space="preserve"> 被征收人</w:t>
      </w:r>
    </w:p>
    <w:p w14:paraId="15B9207D">
      <w:pPr>
        <w:spacing w:line="280" w:lineRule="exact"/>
        <w:ind w:firstLine="5040" w:firstLineChars="2100"/>
        <w:rPr>
          <w:rFonts w:ascii="仿宋" w:hAnsi="仿宋" w:eastAsia="仿宋" w:cs="仿宋"/>
          <w:sz w:val="24"/>
        </w:rPr>
      </w:pPr>
      <w:r>
        <w:rPr>
          <w:rFonts w:hint="eastAsia" w:ascii="仿宋" w:hAnsi="仿宋" w:eastAsia="仿宋" w:cs="仿宋"/>
          <w:sz w:val="24"/>
          <w:lang w:eastAsia="zh-Hans"/>
        </w:rPr>
        <w:t>（或</w:t>
      </w:r>
      <w:r>
        <w:rPr>
          <w:rFonts w:hint="eastAsia" w:ascii="仿宋" w:hAnsi="仿宋" w:eastAsia="仿宋" w:cs="仿宋"/>
          <w:sz w:val="24"/>
        </w:rPr>
        <w:t>其</w:t>
      </w:r>
      <w:r>
        <w:rPr>
          <w:rFonts w:hint="eastAsia" w:ascii="仿宋" w:hAnsi="仿宋" w:eastAsia="仿宋" w:cs="仿宋"/>
          <w:sz w:val="24"/>
          <w:lang w:eastAsia="zh-Hans"/>
        </w:rPr>
        <w:t>委托代理人</w:t>
      </w:r>
      <w:r>
        <w:rPr>
          <w:rFonts w:hint="eastAsia" w:ascii="仿宋" w:hAnsi="仿宋" w:eastAsia="仿宋" w:cs="仿宋_GB2312"/>
          <w:sz w:val="24"/>
        </w:rPr>
        <w:t>或其继承人或其监护人</w:t>
      </w:r>
      <w:r>
        <w:rPr>
          <w:rFonts w:hint="eastAsia" w:ascii="仿宋" w:hAnsi="仿宋" w:eastAsia="仿宋" w:cs="仿宋"/>
          <w:sz w:val="24"/>
          <w:lang w:eastAsia="zh-Hans"/>
        </w:rPr>
        <w:t>）</w:t>
      </w:r>
      <w:r>
        <w:rPr>
          <w:rFonts w:hint="eastAsia" w:ascii="仿宋" w:hAnsi="仿宋" w:eastAsia="仿宋" w:cs="仿宋"/>
          <w:sz w:val="24"/>
        </w:rPr>
        <w:t>：</w:t>
      </w:r>
    </w:p>
    <w:p w14:paraId="02B2A168">
      <w:pPr>
        <w:spacing w:line="280" w:lineRule="exact"/>
        <w:ind w:firstLine="5040" w:firstLineChars="2100"/>
        <w:rPr>
          <w:rFonts w:ascii="仿宋" w:hAnsi="仿宋" w:eastAsia="仿宋" w:cs="仿宋"/>
          <w:sz w:val="24"/>
        </w:rPr>
      </w:pPr>
    </w:p>
    <w:p w14:paraId="41BE2F81">
      <w:pPr>
        <w:spacing w:line="280" w:lineRule="exact"/>
        <w:ind w:firstLine="5040" w:firstLineChars="2100"/>
        <w:rPr>
          <w:rFonts w:ascii="仿宋" w:hAnsi="仿宋" w:eastAsia="仿宋" w:cs="仿宋"/>
          <w:sz w:val="24"/>
        </w:rPr>
      </w:pPr>
    </w:p>
    <w:p w14:paraId="2795CDD7">
      <w:pPr>
        <w:spacing w:line="280" w:lineRule="exact"/>
        <w:ind w:firstLine="5040" w:firstLineChars="2100"/>
        <w:rPr>
          <w:rFonts w:ascii="仿宋" w:hAnsi="仿宋" w:eastAsia="仿宋" w:cs="仿宋"/>
          <w:sz w:val="24"/>
        </w:rPr>
      </w:pPr>
    </w:p>
    <w:p w14:paraId="6FDD010A">
      <w:pPr>
        <w:spacing w:line="280" w:lineRule="exact"/>
        <w:ind w:firstLine="5040" w:firstLineChars="2100"/>
        <w:rPr>
          <w:rFonts w:ascii="仿宋" w:hAnsi="仿宋" w:eastAsia="仿宋" w:cs="仿宋"/>
          <w:sz w:val="24"/>
        </w:rPr>
      </w:pPr>
    </w:p>
    <w:p w14:paraId="1A0A450A">
      <w:pPr>
        <w:spacing w:line="28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日期：        年    月    日</w:t>
      </w:r>
    </w:p>
    <w:p w14:paraId="5FB355C7">
      <w:pPr>
        <w:spacing w:line="280" w:lineRule="exact"/>
        <w:rPr>
          <w:rFonts w:ascii="仿宋" w:hAnsi="仿宋" w:eastAsia="仿宋" w:cs="仿宋"/>
          <w:sz w:val="24"/>
        </w:rPr>
      </w:pPr>
    </w:p>
    <w:p w14:paraId="115F3332">
      <w:pPr>
        <w:pStyle w:val="2"/>
        <w:spacing w:before="100" w:after="100" w:line="360" w:lineRule="exact"/>
      </w:pPr>
      <w:r>
        <w:rPr>
          <w:rFonts w:hint="eastAsia"/>
        </w:rPr>
        <w:t>珠江街万悦花园安置区选房证说明</w:t>
      </w:r>
    </w:p>
    <w:p w14:paraId="6AE68157">
      <w:pPr>
        <w:spacing w:line="24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本选房证作为被征收人确定所选择的置换（购买）安置房的有效凭证，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与正式的安置房分配合同具有同等法律效力。</w:t>
      </w:r>
    </w:p>
    <w:p w14:paraId="319B21BA">
      <w:pPr>
        <w:spacing w:line="24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本选房证一式三联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每一联均具有同等法律效力，征收人、广州市南沙区珠江街道城市</w:t>
      </w:r>
      <w:r>
        <w:rPr>
          <w:rFonts w:hint="eastAsia" w:ascii="仿宋" w:hAnsi="仿宋" w:eastAsia="仿宋" w:cs="仿宋"/>
          <w:sz w:val="24"/>
          <w:lang w:eastAsia="zh-CN"/>
        </w:rPr>
        <w:t>发展服务</w:t>
      </w:r>
      <w:r>
        <w:rPr>
          <w:rFonts w:hint="eastAsia" w:ascii="仿宋" w:hAnsi="仿宋" w:eastAsia="仿宋" w:cs="仿宋"/>
          <w:sz w:val="24"/>
        </w:rPr>
        <w:t>中心</w:t>
      </w:r>
      <w:r>
        <w:rPr>
          <w:rFonts w:hint="eastAsia"/>
          <w:lang w:eastAsia="zh-Hans"/>
        </w:rPr>
        <w:t>（</w:t>
      </w:r>
      <w:r>
        <w:rPr>
          <w:rFonts w:hint="eastAsia"/>
          <w:lang w:val="en-US" w:eastAsia="zh-CN"/>
        </w:rPr>
        <w:t>下</w:t>
      </w:r>
      <w:r>
        <w:rPr>
          <w:rFonts w:hint="eastAsia" w:ascii="仿宋" w:hAnsi="仿宋" w:eastAsia="仿宋" w:cs="仿宋"/>
          <w:sz w:val="24"/>
          <w:lang w:eastAsia="zh-Hans"/>
        </w:rPr>
        <w:t>称</w:t>
      </w:r>
      <w:r>
        <w:rPr>
          <w:rFonts w:hint="eastAsia" w:ascii="仿宋" w:hAnsi="仿宋" w:eastAsia="仿宋" w:cs="仿宋"/>
          <w:sz w:val="24"/>
        </w:rPr>
        <w:t>“</w:t>
      </w:r>
      <w:r>
        <w:rPr>
          <w:rFonts w:hint="eastAsia" w:ascii="仿宋" w:hAnsi="仿宋" w:eastAsia="仿宋" w:cs="仿宋"/>
          <w:sz w:val="24"/>
          <w:lang w:eastAsia="zh-CN"/>
        </w:rPr>
        <w:t>发展服务</w:t>
      </w:r>
      <w:r>
        <w:rPr>
          <w:rFonts w:hint="eastAsia" w:ascii="仿宋" w:hAnsi="仿宋" w:eastAsia="仿宋" w:cs="仿宋"/>
          <w:sz w:val="24"/>
          <w:lang w:eastAsia="zh-Hans"/>
        </w:rPr>
        <w:t>中心</w:t>
      </w:r>
      <w:r>
        <w:rPr>
          <w:rFonts w:hint="eastAsia" w:ascii="仿宋" w:hAnsi="仿宋" w:eastAsia="仿宋" w:cs="仿宋"/>
          <w:sz w:val="24"/>
        </w:rPr>
        <w:t>”</w:t>
      </w:r>
      <w:r>
        <w:rPr>
          <w:rFonts w:hint="eastAsia" w:ascii="仿宋" w:hAnsi="仿宋" w:eastAsia="仿宋" w:cs="仿宋"/>
          <w:sz w:val="24"/>
          <w:lang w:eastAsia="zh-Hans"/>
        </w:rPr>
        <w:t>）</w:t>
      </w:r>
      <w:r>
        <w:rPr>
          <w:rFonts w:hint="eastAsia" w:ascii="仿宋" w:hAnsi="仿宋" w:eastAsia="仿宋" w:cs="仿宋"/>
          <w:sz w:val="24"/>
        </w:rPr>
        <w:t>、被征收人各存一联。</w:t>
      </w:r>
    </w:p>
    <w:p w14:paraId="351D2287">
      <w:pPr>
        <w:spacing w:line="24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被征收人在接到</w:t>
      </w:r>
      <w:r>
        <w:rPr>
          <w:rFonts w:hint="eastAsia" w:ascii="仿宋" w:hAnsi="仿宋" w:eastAsia="仿宋" w:cs="仿宋"/>
          <w:sz w:val="24"/>
          <w:lang w:eastAsia="zh-CN"/>
        </w:rPr>
        <w:t>发展服务</w:t>
      </w:r>
      <w:r>
        <w:rPr>
          <w:rFonts w:hint="eastAsia" w:ascii="仿宋" w:hAnsi="仿宋" w:eastAsia="仿宋" w:cs="仿宋"/>
          <w:sz w:val="24"/>
        </w:rPr>
        <w:t>中心通知后的60天内，前往</w:t>
      </w:r>
      <w:r>
        <w:rPr>
          <w:rFonts w:hint="eastAsia" w:ascii="仿宋" w:hAnsi="仿宋" w:eastAsia="仿宋" w:cs="仿宋"/>
          <w:sz w:val="24"/>
          <w:lang w:eastAsia="zh-CN"/>
        </w:rPr>
        <w:t>发展服务</w:t>
      </w:r>
      <w:r>
        <w:rPr>
          <w:rFonts w:hint="eastAsia" w:ascii="仿宋" w:hAnsi="仿宋" w:eastAsia="仿宋" w:cs="仿宋"/>
          <w:sz w:val="24"/>
        </w:rPr>
        <w:t>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hint="eastAsia" w:ascii="仿宋" w:hAnsi="仿宋" w:eastAsia="仿宋" w:cs="仿宋"/>
          <w:sz w:val="24"/>
          <w:lang w:eastAsia="zh-Hans"/>
        </w:rPr>
        <w:t>天</w:t>
      </w:r>
      <w:r>
        <w:rPr>
          <w:rFonts w:hint="eastAsia" w:ascii="仿宋" w:hAnsi="仿宋" w:eastAsia="仿宋" w:cs="仿宋"/>
          <w:sz w:val="24"/>
        </w:rPr>
        <w:t>的，自60天期限届满之次日起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
          <w:sz w:val="24"/>
        </w:rPr>
        <w:t>临时安置用房的</w:t>
      </w:r>
      <w:r>
        <w:rPr>
          <w:rFonts w:hint="eastAsia" w:ascii="仿宋" w:hAnsi="仿宋" w:eastAsia="仿宋" w:cs="仿宋"/>
          <w:sz w:val="24"/>
          <w:lang w:eastAsia="zh-Hans"/>
        </w:rPr>
        <w:t>也一并</w:t>
      </w:r>
      <w:r>
        <w:rPr>
          <w:rFonts w:hint="eastAsia" w:ascii="仿宋" w:hAnsi="仿宋" w:eastAsia="仿宋" w:cs="仿宋"/>
          <w:sz w:val="24"/>
        </w:rPr>
        <w:t>清退收回。</w:t>
      </w:r>
    </w:p>
    <w:p w14:paraId="3BBA5702">
      <w:pPr>
        <w:spacing w:line="240" w:lineRule="exact"/>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被征收人签订安置房分配合同并办理完成房款结算手续后，凭</w:t>
      </w:r>
      <w:r>
        <w:rPr>
          <w:rFonts w:hint="eastAsia" w:ascii="仿宋" w:hAnsi="仿宋" w:eastAsia="仿宋" w:cs="仿宋"/>
          <w:sz w:val="24"/>
          <w:lang w:eastAsia="zh-CN"/>
        </w:rPr>
        <w:t>发展服务</w:t>
      </w:r>
      <w:r>
        <w:rPr>
          <w:rFonts w:hint="eastAsia" w:ascii="仿宋" w:hAnsi="仿宋" w:eastAsia="仿宋" w:cs="仿宋"/>
          <w:sz w:val="24"/>
        </w:rPr>
        <w:t>中心出具的结算完成证明文件，</w:t>
      </w:r>
      <w:r>
        <w:rPr>
          <w:rFonts w:ascii="仿宋" w:hAnsi="仿宋" w:eastAsia="仿宋" w:cs="仿宋"/>
          <w:sz w:val="24"/>
        </w:rPr>
        <w:t>30天内</w:t>
      </w:r>
      <w:r>
        <w:rPr>
          <w:rFonts w:hint="eastAsia" w:ascii="仿宋" w:hAnsi="仿宋" w:eastAsia="仿宋" w:cs="仿宋"/>
          <w:sz w:val="24"/>
        </w:rPr>
        <w:t>到万悦花园小区</w:t>
      </w:r>
      <w:r>
        <w:rPr>
          <w:rFonts w:ascii="仿宋" w:hAnsi="仿宋" w:eastAsia="仿宋" w:cs="仿宋"/>
          <w:sz w:val="24"/>
        </w:rPr>
        <w:t>物业管理处办理收楼入住手续；逾期未到</w:t>
      </w:r>
      <w:r>
        <w:rPr>
          <w:rFonts w:hint="eastAsia" w:ascii="仿宋" w:hAnsi="仿宋" w:eastAsia="仿宋" w:cs="仿宋"/>
          <w:sz w:val="24"/>
        </w:rPr>
        <w:t>万悦花园小区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hint="eastAsia" w:ascii="仿宋" w:hAnsi="仿宋" w:eastAsia="仿宋" w:cs="仿宋"/>
          <w:sz w:val="24"/>
        </w:rPr>
        <w:t>天届满之次日起按照规定支付相应费用（如需）。</w:t>
      </w:r>
    </w:p>
    <w:p w14:paraId="5ACA033A">
      <w:pPr>
        <w:spacing w:line="240" w:lineRule="exact"/>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_GB2312"/>
          <w:sz w:val="24"/>
        </w:rPr>
        <w:t>被征收人应尊重与服从摇珠选房的结果，摇珠结果对被征收人具有约束力，被征收人应当严格按照摇珠结果按时办理安置房分配合同签订、房款结算、税费缴纳、收楼入住等全部手续，即被征收人就其参与本次摇珠选房所摇中选取的最终安置房对其具有法律效力，不得以任何理由拒绝签署安置房分配合同或拒绝办理结算、收楼手续。如被征收人基于不满意自身所摇中选取的安置房等理由拒绝签收领取本选房证，不影响本选房证所附的全部说明均对被征收人发生效力且被征收人仍应遵守并按照本选房证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5436A252">
      <w:pPr>
        <w:spacing w:line="240" w:lineRule="exact"/>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_GB2312"/>
          <w:sz w:val="24"/>
        </w:rPr>
        <w:t>本选房证所记载被征收人摇中选取的安置房信息与被征收人现场摇中房源号码对应的安置房信息不一致的，被征收人的最终摇珠结果以现场摇中房源号码对应的安置房信息为准。</w:t>
      </w:r>
    </w:p>
    <w:p w14:paraId="1A68DABD">
      <w:pPr>
        <w:spacing w:line="240" w:lineRule="exact"/>
        <w:rPr>
          <w:rFonts w:ascii="仿宋" w:hAnsi="仿宋" w:eastAsia="仿宋" w:cs="仿宋"/>
          <w:sz w:val="24"/>
        </w:rPr>
      </w:pPr>
      <w:r>
        <w:rPr>
          <w:rFonts w:hint="eastAsia" w:ascii="仿宋" w:hAnsi="仿宋" w:eastAsia="仿宋" w:cs="仿宋"/>
          <w:b/>
          <w:bCs/>
          <w:sz w:val="24"/>
        </w:rPr>
        <w:t>#本人已收到并清楚知悉与确认同意本选房证及</w:t>
      </w:r>
      <w:r>
        <w:rPr>
          <w:rFonts w:hint="eastAsia" w:ascii="仿宋" w:hAnsi="仿宋" w:eastAsia="仿宋" w:cs="仿宋"/>
          <w:b/>
          <w:bCs/>
          <w:sz w:val="24"/>
          <w:lang w:eastAsia="zh-Hans"/>
        </w:rPr>
        <w:t>所附</w:t>
      </w:r>
      <w:r>
        <w:rPr>
          <w:rFonts w:hint="eastAsia" w:ascii="仿宋" w:hAnsi="仿宋" w:eastAsia="仿宋" w:cs="仿宋"/>
          <w:b/>
          <w:bCs/>
          <w:sz w:val="24"/>
        </w:rPr>
        <w:t>说明</w:t>
      </w:r>
      <w:r>
        <w:rPr>
          <w:rFonts w:hint="eastAsia" w:ascii="仿宋" w:hAnsi="仿宋" w:eastAsia="仿宋" w:cs="仿宋"/>
          <w:b/>
          <w:bCs/>
          <w:sz w:val="24"/>
          <w:lang w:eastAsia="zh-Hans"/>
        </w:rPr>
        <w:t>的</w:t>
      </w:r>
      <w:r>
        <w:rPr>
          <w:rFonts w:hint="eastAsia" w:ascii="仿宋" w:hAnsi="仿宋" w:eastAsia="仿宋" w:cs="仿宋"/>
          <w:b/>
          <w:bCs/>
          <w:sz w:val="24"/>
        </w:rPr>
        <w:t>全部</w:t>
      </w:r>
      <w:r>
        <w:rPr>
          <w:rFonts w:hint="eastAsia" w:ascii="仿宋" w:hAnsi="仿宋" w:eastAsia="仿宋" w:cs="仿宋"/>
          <w:b/>
          <w:bCs/>
          <w:sz w:val="24"/>
          <w:lang w:eastAsia="zh-Hans"/>
        </w:rPr>
        <w:t>内容</w:t>
      </w:r>
      <w:r>
        <w:rPr>
          <w:rFonts w:hint="eastAsia" w:ascii="仿宋" w:hAnsi="仿宋" w:eastAsia="仿宋" w:cs="仿宋"/>
          <w:b/>
          <w:bCs/>
          <w:sz w:val="24"/>
        </w:rPr>
        <w:t>，清楚与明确知悉违反</w:t>
      </w:r>
      <w:r>
        <w:rPr>
          <w:rFonts w:hint="eastAsia" w:ascii="仿宋" w:hAnsi="仿宋" w:eastAsia="仿宋" w:cs="仿宋"/>
          <w:b/>
          <w:bCs/>
          <w:sz w:val="24"/>
          <w:lang w:eastAsia="zh-Hans"/>
        </w:rPr>
        <w:t>相关内容</w:t>
      </w:r>
      <w:r>
        <w:rPr>
          <w:rFonts w:hint="eastAsia" w:ascii="仿宋" w:hAnsi="仿宋" w:eastAsia="仿宋" w:cs="仿宋"/>
          <w:b/>
          <w:bCs/>
          <w:sz w:val="24"/>
        </w:rPr>
        <w:t>可能引起的全部后果和责任</w:t>
      </w:r>
      <w:r>
        <w:rPr>
          <w:rFonts w:hint="eastAsia" w:ascii="仿宋" w:hAnsi="仿宋" w:eastAsia="仿宋" w:cs="仿宋"/>
          <w:b/>
          <w:bCs/>
          <w:sz w:val="24"/>
          <w:lang w:eastAsia="zh-Hans"/>
        </w:rPr>
        <w:t>，本人</w:t>
      </w:r>
      <w:r>
        <w:rPr>
          <w:rFonts w:hint="eastAsia" w:ascii="仿宋" w:hAnsi="仿宋" w:eastAsia="仿宋" w:cs="仿宋"/>
          <w:b/>
          <w:bCs/>
          <w:sz w:val="24"/>
        </w:rPr>
        <w:t>同意按照本选房证</w:t>
      </w:r>
      <w:r>
        <w:rPr>
          <w:rFonts w:hint="eastAsia" w:ascii="仿宋" w:hAnsi="仿宋" w:eastAsia="仿宋" w:cs="仿宋"/>
          <w:b/>
          <w:bCs/>
          <w:sz w:val="24"/>
          <w:lang w:eastAsia="zh-Hans"/>
        </w:rPr>
        <w:t>及其</w:t>
      </w:r>
      <w:r>
        <w:rPr>
          <w:rFonts w:hint="eastAsia" w:ascii="仿宋" w:hAnsi="仿宋" w:eastAsia="仿宋" w:cs="仿宋"/>
          <w:b/>
          <w:bCs/>
          <w:sz w:val="24"/>
        </w:rPr>
        <w:t>说明履行义务并承担责任</w:t>
      </w:r>
      <w:r>
        <w:rPr>
          <w:rFonts w:hint="eastAsia" w:ascii="仿宋" w:hAnsi="仿宋" w:eastAsia="仿宋" w:cs="仿宋"/>
          <w:b/>
          <w:bCs/>
          <w:sz w:val="24"/>
          <w:lang w:eastAsia="zh-Hans"/>
        </w:rPr>
        <w:t>。</w:t>
      </w:r>
      <w:r>
        <w:rPr>
          <w:rFonts w:hint="eastAsia" w:ascii="仿宋" w:hAnsi="仿宋" w:eastAsia="仿宋" w:cs="仿宋"/>
          <w:b/>
          <w:bCs/>
          <w:sz w:val="24"/>
        </w:rPr>
        <w:t>#</w:t>
      </w:r>
    </w:p>
    <w:sectPr>
      <w:pgSz w:w="11906" w:h="16838"/>
      <w:pgMar w:top="709" w:right="1080" w:bottom="121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jFlNmIzNTNlNjhiMzZkYjQ1Mjk4NjM2MjM0ZGUifQ=="/>
  </w:docVars>
  <w:rsids>
    <w:rsidRoot w:val="005B5B1F"/>
    <w:rsid w:val="00047782"/>
    <w:rsid w:val="000851D9"/>
    <w:rsid w:val="000E0FD3"/>
    <w:rsid w:val="00132566"/>
    <w:rsid w:val="001355BC"/>
    <w:rsid w:val="002135DC"/>
    <w:rsid w:val="0025775A"/>
    <w:rsid w:val="00274AC5"/>
    <w:rsid w:val="002C0035"/>
    <w:rsid w:val="002D73C4"/>
    <w:rsid w:val="00323B2E"/>
    <w:rsid w:val="00343EF2"/>
    <w:rsid w:val="003F4A73"/>
    <w:rsid w:val="00402257"/>
    <w:rsid w:val="004432F2"/>
    <w:rsid w:val="00464B48"/>
    <w:rsid w:val="004962FC"/>
    <w:rsid w:val="004B667E"/>
    <w:rsid w:val="0058790A"/>
    <w:rsid w:val="005B3385"/>
    <w:rsid w:val="005B5B1F"/>
    <w:rsid w:val="005E37A8"/>
    <w:rsid w:val="00651EA2"/>
    <w:rsid w:val="00683388"/>
    <w:rsid w:val="006C4DBE"/>
    <w:rsid w:val="006D03AA"/>
    <w:rsid w:val="00714AF4"/>
    <w:rsid w:val="00716359"/>
    <w:rsid w:val="0073470D"/>
    <w:rsid w:val="00765263"/>
    <w:rsid w:val="00785DC2"/>
    <w:rsid w:val="007F6370"/>
    <w:rsid w:val="00806024"/>
    <w:rsid w:val="00807137"/>
    <w:rsid w:val="00852A42"/>
    <w:rsid w:val="00890E12"/>
    <w:rsid w:val="008C6AE1"/>
    <w:rsid w:val="008D0150"/>
    <w:rsid w:val="00907A7E"/>
    <w:rsid w:val="00952AD3"/>
    <w:rsid w:val="00955310"/>
    <w:rsid w:val="00A24113"/>
    <w:rsid w:val="00A338FE"/>
    <w:rsid w:val="00A945CD"/>
    <w:rsid w:val="00AE1CF3"/>
    <w:rsid w:val="00B50454"/>
    <w:rsid w:val="00B7715B"/>
    <w:rsid w:val="00BC4106"/>
    <w:rsid w:val="00C53555"/>
    <w:rsid w:val="00C72B35"/>
    <w:rsid w:val="00CC149F"/>
    <w:rsid w:val="00CC2C63"/>
    <w:rsid w:val="00D377CE"/>
    <w:rsid w:val="00D66E10"/>
    <w:rsid w:val="00D714A2"/>
    <w:rsid w:val="00DF71C4"/>
    <w:rsid w:val="00E51F41"/>
    <w:rsid w:val="00E52899"/>
    <w:rsid w:val="00F14D5C"/>
    <w:rsid w:val="00F36701"/>
    <w:rsid w:val="00F37137"/>
    <w:rsid w:val="00F45AA3"/>
    <w:rsid w:val="00F974AA"/>
    <w:rsid w:val="02623C6B"/>
    <w:rsid w:val="03685006"/>
    <w:rsid w:val="07CA4470"/>
    <w:rsid w:val="09D16B17"/>
    <w:rsid w:val="09FB6BB8"/>
    <w:rsid w:val="0E5460E6"/>
    <w:rsid w:val="0F175272"/>
    <w:rsid w:val="0F4929D2"/>
    <w:rsid w:val="100C34D6"/>
    <w:rsid w:val="1107127D"/>
    <w:rsid w:val="13381AF4"/>
    <w:rsid w:val="14B0014C"/>
    <w:rsid w:val="14DF394F"/>
    <w:rsid w:val="15766BEB"/>
    <w:rsid w:val="17FC42C3"/>
    <w:rsid w:val="17FF8B53"/>
    <w:rsid w:val="19583B1E"/>
    <w:rsid w:val="1BA57E2E"/>
    <w:rsid w:val="1C3A0F0A"/>
    <w:rsid w:val="1DAE56A1"/>
    <w:rsid w:val="209D3E02"/>
    <w:rsid w:val="245E1496"/>
    <w:rsid w:val="265E4105"/>
    <w:rsid w:val="2720510C"/>
    <w:rsid w:val="2722369F"/>
    <w:rsid w:val="282741B6"/>
    <w:rsid w:val="293B39D3"/>
    <w:rsid w:val="29B645B8"/>
    <w:rsid w:val="2A7D490D"/>
    <w:rsid w:val="2F776D0F"/>
    <w:rsid w:val="30362495"/>
    <w:rsid w:val="3039508C"/>
    <w:rsid w:val="33E2273B"/>
    <w:rsid w:val="36404583"/>
    <w:rsid w:val="389C0140"/>
    <w:rsid w:val="3A5938B0"/>
    <w:rsid w:val="3A865DCD"/>
    <w:rsid w:val="3AC567BE"/>
    <w:rsid w:val="3BBD53FA"/>
    <w:rsid w:val="3C1934F8"/>
    <w:rsid w:val="3CB57CB8"/>
    <w:rsid w:val="3CE97A34"/>
    <w:rsid w:val="3F6B1481"/>
    <w:rsid w:val="41434E52"/>
    <w:rsid w:val="415535B5"/>
    <w:rsid w:val="432E02B9"/>
    <w:rsid w:val="44721B44"/>
    <w:rsid w:val="49647D7D"/>
    <w:rsid w:val="4ACC7AC9"/>
    <w:rsid w:val="4CA757FD"/>
    <w:rsid w:val="4D441F1D"/>
    <w:rsid w:val="50C75846"/>
    <w:rsid w:val="52104155"/>
    <w:rsid w:val="566239B8"/>
    <w:rsid w:val="578F767C"/>
    <w:rsid w:val="57F85BDA"/>
    <w:rsid w:val="590F1AAD"/>
    <w:rsid w:val="59C56AC7"/>
    <w:rsid w:val="5A1F77BC"/>
    <w:rsid w:val="5B75E3DB"/>
    <w:rsid w:val="5BEF9DD6"/>
    <w:rsid w:val="5D161B4B"/>
    <w:rsid w:val="5D33E410"/>
    <w:rsid w:val="5D403FF9"/>
    <w:rsid w:val="5DFD3C10"/>
    <w:rsid w:val="5EAD73F2"/>
    <w:rsid w:val="5EE9D98F"/>
    <w:rsid w:val="5F3F9C58"/>
    <w:rsid w:val="5F7B6960"/>
    <w:rsid w:val="5F8FD94F"/>
    <w:rsid w:val="60BF2D94"/>
    <w:rsid w:val="63123A43"/>
    <w:rsid w:val="662D4D92"/>
    <w:rsid w:val="66FD16BD"/>
    <w:rsid w:val="69246488"/>
    <w:rsid w:val="694D17AD"/>
    <w:rsid w:val="6A6013FA"/>
    <w:rsid w:val="6A800B90"/>
    <w:rsid w:val="6AAF9FD3"/>
    <w:rsid w:val="6BFBD6B9"/>
    <w:rsid w:val="6BFFB19A"/>
    <w:rsid w:val="6D7F00E2"/>
    <w:rsid w:val="6E783FBA"/>
    <w:rsid w:val="6F5F240D"/>
    <w:rsid w:val="6FFF158A"/>
    <w:rsid w:val="73A425C9"/>
    <w:rsid w:val="73DF0DF1"/>
    <w:rsid w:val="75FFDC2A"/>
    <w:rsid w:val="760A673C"/>
    <w:rsid w:val="76C276BE"/>
    <w:rsid w:val="775A3A82"/>
    <w:rsid w:val="77FDBD68"/>
    <w:rsid w:val="77FF2AC5"/>
    <w:rsid w:val="788543C8"/>
    <w:rsid w:val="7ADA6887"/>
    <w:rsid w:val="7AED4F36"/>
    <w:rsid w:val="7B6FAD67"/>
    <w:rsid w:val="7BE93DC4"/>
    <w:rsid w:val="7BF5E17D"/>
    <w:rsid w:val="7BFFE6F3"/>
    <w:rsid w:val="7C8C0C4B"/>
    <w:rsid w:val="7CD5B9C1"/>
    <w:rsid w:val="7D5D3C3F"/>
    <w:rsid w:val="7DBB02F1"/>
    <w:rsid w:val="7DFB24C5"/>
    <w:rsid w:val="7EA0266D"/>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autoRedefine/>
    <w:qFormat/>
    <w:uiPriority w:val="0"/>
    <w:pPr>
      <w:jc w:val="left"/>
    </w:p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4"/>
    <w:autoRedefine/>
    <w:qFormat/>
    <w:uiPriority w:val="0"/>
    <w:rPr>
      <w:b/>
      <w:bCs/>
    </w:rPr>
  </w:style>
  <w:style w:type="character" w:styleId="9">
    <w:name w:val="annotation reference"/>
    <w:basedOn w:val="8"/>
    <w:autoRedefine/>
    <w:qFormat/>
    <w:uiPriority w:val="0"/>
    <w:rPr>
      <w:sz w:val="21"/>
      <w:szCs w:val="21"/>
    </w:rPr>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paragraph" w:customStyle="1" w:styleId="1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3">
    <w:name w:val="批注文字 字符"/>
    <w:basedOn w:val="8"/>
    <w:link w:val="3"/>
    <w:autoRedefine/>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6"/>
    <w:autoRedefine/>
    <w:qFormat/>
    <w:uiPriority w:val="0"/>
    <w:rPr>
      <w:rFonts w:asciiTheme="minorHAnsi" w:hAnsiTheme="minorHAnsi" w:eastAsiaTheme="minorEastAsia" w:cstheme="minorBidi"/>
      <w:b/>
      <w:bCs/>
      <w:kern w:val="2"/>
      <w:sz w:val="21"/>
      <w:szCs w:val="24"/>
    </w:rPr>
  </w:style>
  <w:style w:type="paragraph" w:customStyle="1" w:styleId="15">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6">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4"/>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1481</Words>
  <Characters>1487</Characters>
  <Lines>12</Lines>
  <Paragraphs>3</Paragraphs>
  <TotalTime>8</TotalTime>
  <ScaleCrop>false</ScaleCrop>
  <LinksUpToDate>false</LinksUpToDate>
  <CharactersWithSpaces>1691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Chester</cp:lastModifiedBy>
  <cp:lastPrinted>2023-01-09T03:12:00Z</cp:lastPrinted>
  <dcterms:modified xsi:type="dcterms:W3CDTF">2024-08-08T06:55:31Z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D3A211CE060540E28466D2EDF6C8185C_13</vt:lpwstr>
  </property>
</Properties>
</file>