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DDDDC">
      <w:pPr>
        <w:pStyle w:val="2"/>
        <w:spacing w:before="0" w:after="0" w:line="360" w:lineRule="exact"/>
      </w:pPr>
      <w:r>
        <w:rPr>
          <w:rFonts w:hint="eastAsia"/>
        </w:rPr>
        <w:t>珠江街南悦明珠花园安置区摇珠结果确认书</w:t>
      </w:r>
    </w:p>
    <w:p w14:paraId="2281B7FB">
      <w:pPr>
        <w:spacing w:line="280" w:lineRule="exact"/>
        <w:rPr>
          <w:rFonts w:ascii="仿宋" w:hAnsi="仿宋" w:eastAsia="仿宋" w:cs="仿宋"/>
          <w:b/>
          <w:bCs/>
          <w:sz w:val="24"/>
        </w:rPr>
      </w:pP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摇珠结果确认书编号：</w:t>
      </w:r>
    </w:p>
    <w:p w14:paraId="2984F2CF">
      <w:pPr>
        <w:spacing w:line="280" w:lineRule="exact"/>
        <w:ind w:firstLine="480" w:firstLineChars="200"/>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6400800</wp:posOffset>
                </wp:positionH>
                <wp:positionV relativeFrom="paragraph">
                  <wp:posOffset>46990</wp:posOffset>
                </wp:positionV>
                <wp:extent cx="489585" cy="58712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9585" cy="5871210"/>
                        </a:xfrm>
                        <a:prstGeom prst="rect">
                          <a:avLst/>
                        </a:prstGeom>
                        <a:noFill/>
                        <a:ln w="6350">
                          <a:noFill/>
                        </a:ln>
                      </wps:spPr>
                      <wps:txbx>
                        <w:txbxContent>
                          <w:p w14:paraId="22EABB37">
                            <w:pPr>
                              <w:rPr>
                                <w:spacing w:val="22"/>
                              </w:rPr>
                            </w:pPr>
                            <w:r>
                              <w:rPr>
                                <w:rFonts w:hint="eastAsia"/>
                                <w:spacing w:val="22"/>
                              </w:rPr>
                              <w:t>第三</w:t>
                            </w:r>
                            <w:r>
                              <w:rPr>
                                <w:rFonts w:hint="eastAsia" w:asciiTheme="minorEastAsia" w:hAnsiTheme="minorEastAsia" w:cstheme="minorEastAsia"/>
                                <w:spacing w:val="22"/>
                              </w:rPr>
                              <w:t>联（共三联）：被征收人持有联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pt;margin-top:3.7pt;height:462.3pt;width:38.55pt;z-index:251659264;mso-width-relative:page;mso-height-relative:page;" filled="f" stroked="f" coordsize="21600,21600" o:gfxdata="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6OBcM2QAAAAsBAAAPAAAAAAAAAAEAIAAAACIA&#10;AABkcnMvZG93bnJldi54bWxQSwECFAAUAAAACACHTuJA2WvkjEECAABoBAAADgAAAAAAAAABACAA&#10;AAAoAQAAZHJzL2Uyb0RvYy54bWxQSwUGAAAAAAYABgBZAQAA2wUAAAAA&#10;">
                <v:fill on="f" focussize="0,0"/>
                <v:stroke on="f" weight="0.5pt"/>
                <v:imagedata o:title=""/>
                <o:lock v:ext="edit" aspectratio="f"/>
                <v:textbox style="layout-flow:vertical-ideographic;">
                  <w:txbxContent>
                    <w:p w14:paraId="22EABB37">
                      <w:pPr>
                        <w:rPr>
                          <w:spacing w:val="22"/>
                        </w:rPr>
                      </w:pPr>
                      <w:r>
                        <w:rPr>
                          <w:rFonts w:hint="eastAsia"/>
                          <w:spacing w:val="22"/>
                        </w:rPr>
                        <w:t>第三</w:t>
                      </w:r>
                      <w:r>
                        <w:rPr>
                          <w:rFonts w:hint="eastAsia" w:asciiTheme="minorEastAsia" w:hAnsiTheme="minorEastAsia" w:cstheme="minorEastAsia"/>
                          <w:spacing w:val="22"/>
                        </w:rPr>
                        <w:t>联（共三联）：被征收人持有联</w:t>
                      </w:r>
                    </w:p>
                  </w:txbxContent>
                </v:textbox>
              </v:shape>
            </w:pict>
          </mc:Fallback>
        </mc:AlternateContent>
      </w: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本摇珠结果确认书</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办理换取《选房证》、签订安置房分配合同、结算房款和收楼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573CB415">
      <w:pPr>
        <w:spacing w:line="280" w:lineRule="exact"/>
        <w:ind w:firstLine="480" w:firstLineChars="200"/>
        <w:rPr>
          <w:rFonts w:ascii="仿宋" w:hAnsi="仿宋" w:eastAsia="仿宋" w:cs="仿宋"/>
          <w:b/>
          <w:bCs/>
          <w:sz w:val="24"/>
        </w:rPr>
      </w:pPr>
      <w:r>
        <w:rPr>
          <w:rFonts w:hint="eastAsia" w:ascii="仿宋" w:hAnsi="仿宋" w:eastAsia="仿宋" w:cs="仿宋"/>
          <w:sz w:val="24"/>
        </w:rPr>
        <w:t>南悦明珠花园安置区南悦明珠</w:t>
      </w:r>
      <w:r>
        <w:rPr>
          <w:rFonts w:hint="eastAsia" w:ascii="仿宋" w:hAnsi="仿宋" w:eastAsia="仿宋" w:cs="仿宋"/>
          <w:sz w:val="24"/>
          <w:u w:val="single"/>
        </w:rPr>
        <w:t xml:space="preserve">        </w:t>
      </w:r>
      <w:r>
        <w:rPr>
          <w:rFonts w:hint="eastAsia" w:ascii="仿宋" w:hAnsi="仿宋" w:eastAsia="仿宋" w:cs="仿宋"/>
          <w:sz w:val="24"/>
        </w:rPr>
        <w:t xml:space="preserve"> 街 </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772A2767">
      <w:pPr>
        <w:numPr>
          <w:ilvl w:val="255"/>
          <w:numId w:val="0"/>
        </w:numPr>
        <w:spacing w:line="28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w:t>
      </w:r>
      <w:bookmarkStart w:id="0" w:name="_GoBack"/>
      <w:bookmarkEnd w:id="0"/>
      <w:r>
        <w:rPr>
          <w:rFonts w:hint="eastAsia" w:ascii="仿宋" w:hAnsi="仿宋" w:eastAsia="仿宋" w:cs="仿宋"/>
          <w:sz w:val="24"/>
          <w:lang w:eastAsia="zh-Hans"/>
        </w:rPr>
        <w:t>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w:t>
      </w:r>
      <w:r>
        <w:rPr>
          <w:rFonts w:hint="eastAsia" w:ascii="仿宋" w:hAnsi="仿宋" w:eastAsia="仿宋" w:cs="仿宋"/>
          <w:sz w:val="24"/>
          <w:u w:val="single"/>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3AF13426">
      <w:pPr>
        <w:spacing w:line="280" w:lineRule="exact"/>
        <w:rPr>
          <w:rFonts w:ascii="仿宋" w:hAnsi="仿宋" w:eastAsia="仿宋" w:cs="仿宋"/>
          <w:sz w:val="24"/>
        </w:rPr>
      </w:pPr>
      <w:r>
        <w:rPr>
          <w:rFonts w:hint="eastAsia" w:ascii="仿宋" w:hAnsi="仿宋" w:eastAsia="仿宋" w:cs="仿宋"/>
          <w:sz w:val="24"/>
        </w:rPr>
        <w:t>出具人：广州市南沙区珠江街道城市发展服务中心</w:t>
      </w:r>
      <w:r>
        <w:rPr>
          <w:rFonts w:ascii="仿宋" w:hAnsi="仿宋" w:eastAsia="仿宋" w:cs="仿宋"/>
          <w:sz w:val="24"/>
        </w:rPr>
        <w:t xml:space="preserve">  </w:t>
      </w:r>
    </w:p>
    <w:p w14:paraId="39FA6267">
      <w:pPr>
        <w:spacing w:line="280" w:lineRule="exact"/>
        <w:rPr>
          <w:rFonts w:ascii="仿宋" w:hAnsi="仿宋" w:eastAsia="仿宋" w:cs="仿宋"/>
          <w:sz w:val="24"/>
        </w:rPr>
      </w:pPr>
    </w:p>
    <w:p w14:paraId="49653A31">
      <w:pPr>
        <w:spacing w:line="280" w:lineRule="exact"/>
        <w:rPr>
          <w:rFonts w:ascii="仿宋" w:hAnsi="仿宋" w:eastAsia="仿宋" w:cs="仿宋_GB2312"/>
          <w:sz w:val="24"/>
        </w:rPr>
      </w:pPr>
      <w:r>
        <w:rPr>
          <w:rFonts w:hint="eastAsia" w:ascii="仿宋" w:hAnsi="仿宋" w:eastAsia="仿宋" w:cs="仿宋"/>
          <w:sz w:val="24"/>
          <w:lang w:eastAsia="zh-Hans"/>
        </w:rPr>
        <w:t>签收确认人（被征收人或其委托代理人或其继承人或其监护人）</w:t>
      </w:r>
      <w:r>
        <w:rPr>
          <w:rFonts w:hint="eastAsia" w:ascii="仿宋" w:hAnsi="仿宋" w:eastAsia="仿宋" w:cs="仿宋"/>
          <w:sz w:val="24"/>
        </w:rPr>
        <w:t>：</w:t>
      </w:r>
    </w:p>
    <w:p w14:paraId="6BEFA5CA">
      <w:pPr>
        <w:spacing w:line="280" w:lineRule="exact"/>
        <w:rPr>
          <w:rFonts w:ascii="仿宋" w:hAnsi="仿宋" w:eastAsia="仿宋" w:cs="仿宋"/>
          <w:sz w:val="24"/>
        </w:rPr>
      </w:pPr>
      <w:r>
        <w:rPr>
          <w:rFonts w:hint="eastAsia" w:ascii="仿宋" w:hAnsi="仿宋" w:eastAsia="仿宋" w:cs="仿宋_GB2312"/>
          <w:sz w:val="24"/>
        </w:rPr>
        <w:t>签收确认</w:t>
      </w:r>
      <w:r>
        <w:rPr>
          <w:rFonts w:hint="eastAsia" w:ascii="仿宋" w:hAnsi="仿宋" w:eastAsia="仿宋" w:cs="仿宋"/>
          <w:sz w:val="24"/>
        </w:rPr>
        <w:t>日期：</w:t>
      </w:r>
      <w:r>
        <w:rPr>
          <w:rFonts w:hint="eastAsia" w:ascii="仿宋" w:hAnsi="仿宋" w:eastAsia="仿宋" w:cs="仿宋_GB2312"/>
          <w:sz w:val="24"/>
        </w:rPr>
        <w:t xml:space="preserve"> </w:t>
      </w:r>
      <w:r>
        <w:rPr>
          <w:rFonts w:ascii="仿宋" w:hAnsi="仿宋" w:eastAsia="仿宋" w:cs="仿宋_GB2312"/>
          <w:sz w:val="24"/>
        </w:rPr>
        <w:t xml:space="preserve">         </w:t>
      </w:r>
      <w:r>
        <w:rPr>
          <w:rFonts w:hint="eastAsia" w:ascii="仿宋" w:hAnsi="仿宋" w:eastAsia="仿宋" w:cs="仿宋_GB2312"/>
          <w:sz w:val="24"/>
        </w:rPr>
        <w:t>年</w:t>
      </w:r>
      <w:r>
        <w:rPr>
          <w:rFonts w:ascii="仿宋" w:hAnsi="仿宋" w:eastAsia="仿宋" w:cs="仿宋_GB2312"/>
          <w:sz w:val="24"/>
        </w:rPr>
        <w:t xml:space="preserve">       </w:t>
      </w:r>
      <w:r>
        <w:rPr>
          <w:rFonts w:hint="eastAsia" w:ascii="仿宋" w:hAnsi="仿宋" w:eastAsia="仿宋" w:cs="仿宋_GB2312"/>
          <w:sz w:val="24"/>
        </w:rPr>
        <w:t xml:space="preserve">月 </w:t>
      </w:r>
      <w:r>
        <w:rPr>
          <w:rFonts w:ascii="仿宋" w:hAnsi="仿宋" w:eastAsia="仿宋" w:cs="仿宋_GB2312"/>
          <w:sz w:val="24"/>
        </w:rPr>
        <w:t xml:space="preserve">     </w:t>
      </w:r>
      <w:r>
        <w:rPr>
          <w:rFonts w:hint="eastAsia" w:ascii="仿宋" w:hAnsi="仿宋" w:eastAsia="仿宋" w:cs="仿宋_GB2312"/>
          <w:sz w:val="24"/>
        </w:rPr>
        <w:t>日</w:t>
      </w:r>
    </w:p>
    <w:p w14:paraId="4F8A03BA">
      <w:pPr>
        <w:pStyle w:val="2"/>
        <w:spacing w:before="100" w:after="0" w:line="360" w:lineRule="exact"/>
        <w:rPr>
          <w:sz w:val="32"/>
          <w:szCs w:val="32"/>
        </w:rPr>
      </w:pPr>
      <w:r>
        <w:rPr>
          <w:rFonts w:hint="eastAsia"/>
          <w:sz w:val="32"/>
          <w:szCs w:val="32"/>
        </w:rPr>
        <w:t>珠江街南悦明珠花园安置区摇珠结果确认书说明</w:t>
      </w:r>
    </w:p>
    <w:p w14:paraId="16F63CD2">
      <w:pPr>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1.本摇珠结果确认书作为被征收人确定所选择的置换（购买）安置房的有效凭证，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选房证及正式的安置房分配合同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w:t>
      </w:r>
    </w:p>
    <w:p w14:paraId="21E0F8E8">
      <w:pPr>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2.本摇珠结果确认书一式三联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每一联均具有同等法律效力，广州南沙开发区土地开发中心（下称“征收人”）、广州市南沙区珠江街道城市发展服务中心、被征收人各存一联。</w:t>
      </w:r>
    </w:p>
    <w:p w14:paraId="163E1FF8">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w:t>
      </w:r>
      <w:r>
        <w:rPr>
          <w:rFonts w:hint="eastAsia" w:ascii="仿宋" w:hAnsi="仿宋" w:eastAsia="仿宋" w:cs="仿宋_GB2312"/>
          <w:sz w:val="24"/>
        </w:rPr>
        <w:t>因南悦明珠花园安置房暂未出具正式房屋测绘成果报告等实际情况，故本次公示的南悦明珠花园安置房面积与安置房分配合同约定面积或安置房不动产权登记面积可能存在一定差异，如被征收人已按规定参加南悦明珠花园安置房认购与摇珠选房的，均视为被征收人已经确认并承诺同意此后均不得在本次参与南悦明珠花园安置房摇珠选房后因安置房面积的误差比绝对值问题而选择要求退房或换房。另外，收楼工作须在南悦明珠花园安置房出具正式房屋测绘成果报告等交付条件成就且被征收人按规定签订安置房分配合同并办理房款结算手续后，再由珠江街道城市发展服务中心安排组织被征收人开展相关收楼工作，被征收人签收该确认书即视为被征收人对此知悉确认且无异议。</w:t>
      </w:r>
    </w:p>
    <w:p w14:paraId="429874EC">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w:t>
      </w:r>
      <w:r>
        <w:rPr>
          <w:rFonts w:hint="eastAsia" w:ascii="仿宋" w:hAnsi="仿宋" w:eastAsia="仿宋" w:cs="仿宋_GB2312"/>
          <w:sz w:val="24"/>
        </w:rPr>
        <w:t>因南悦明珠花园安置房暂未出具正式房屋测绘成果报告等实际情况，因此本次南悦明珠花园安置房摇珠选房后，珠江街道城市发展服务中心先向被征收人发放本摇珠结果确认书，在南悦明珠花园安置房出具正式房屋测绘成果报告等交付条件成就后，再由珠江街道城市发展服务中心安排组织被征收人前往珠江街道城市发展服务中心指定地点换取《选房证》。因此，被征收人须凭《摇珠结果确认书》原件，按珠江街道城市发展服务中心通知的日期内及时办理换取《选房证》手续。</w:t>
      </w:r>
    </w:p>
    <w:p w14:paraId="639DC13C">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5.在换取《选房证》并接到珠江街道城市发展服务中心通知后的60天内，被征收人须前往珠江街道城市发展服务中心签订安置房分配合同，并办理完成房款结算手续。逾期不签订安置房分配合同或未办理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_GB2312"/>
          <w:sz w:val="24"/>
        </w:rPr>
        <w:t>临时安置用房</w:t>
      </w:r>
      <w:r>
        <w:rPr>
          <w:rFonts w:hint="eastAsia" w:ascii="仿宋" w:hAnsi="仿宋" w:eastAsia="仿宋" w:cs="仿宋"/>
          <w:sz w:val="24"/>
        </w:rPr>
        <w:t>的</w:t>
      </w:r>
      <w:r>
        <w:rPr>
          <w:rFonts w:hint="eastAsia" w:ascii="仿宋" w:hAnsi="仿宋" w:eastAsia="仿宋" w:cs="仿宋"/>
          <w:sz w:val="24"/>
          <w:lang w:eastAsia="zh-Hans"/>
        </w:rPr>
        <w:t>也一并</w:t>
      </w:r>
      <w:r>
        <w:rPr>
          <w:rFonts w:hint="eastAsia" w:ascii="仿宋" w:hAnsi="仿宋" w:eastAsia="仿宋" w:cs="仿宋"/>
          <w:sz w:val="24"/>
        </w:rPr>
        <w:t>清退收回。</w:t>
      </w:r>
    </w:p>
    <w:p w14:paraId="48E6C51E">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6.被征收人签订安置房分配合同并办理完成房款结算手续后，凭珠江街道城市发展服务中心出具的结算完成证明文件，</w:t>
      </w:r>
      <w:r>
        <w:rPr>
          <w:rFonts w:ascii="仿宋" w:hAnsi="仿宋" w:eastAsia="仿宋" w:cs="仿宋"/>
          <w:sz w:val="24"/>
        </w:rPr>
        <w:t>30天内</w:t>
      </w:r>
      <w:r>
        <w:rPr>
          <w:rFonts w:hint="eastAsia" w:ascii="仿宋" w:hAnsi="仿宋" w:eastAsia="仿宋" w:cs="仿宋"/>
          <w:sz w:val="24"/>
        </w:rPr>
        <w:t>到南悦明珠花园小区</w:t>
      </w:r>
      <w:r>
        <w:rPr>
          <w:rFonts w:ascii="仿宋" w:hAnsi="仿宋" w:eastAsia="仿宋" w:cs="仿宋"/>
          <w:sz w:val="24"/>
        </w:rPr>
        <w:t>物业管理处办理收楼入住手续；逾期未到</w:t>
      </w:r>
      <w:r>
        <w:rPr>
          <w:rFonts w:hint="eastAsia" w:ascii="仿宋" w:hAnsi="仿宋" w:eastAsia="仿宋" w:cs="仿宋"/>
          <w:sz w:val="24"/>
        </w:rPr>
        <w:t>南悦明珠花园小区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4A52F31C">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7.被征收人应尊重与服从摇珠选房的结果，摇珠结果对被征收人具有约束力，被征收人应当严格按照摇珠结果按时办理换取《选房证》、安置房分配合同签订、房款结算、税费缴纳、收楼入住等全部手续，即被征收人就其参与本次摇珠选房所摇中选取的最终安置房对其具有法律效力，不得以任何理由拒绝换取《选房证》、签署安置房分配合同或拒绝办理结算、收楼手续。如被征收人基于不满意自身所摇中选取的安置房等理由拒绝签收领取本摇珠结果确认书，不影响本摇珠结果确认书所附的全部说明均对被征收人发生效力且被征收人仍应遵守并按照本摇珠结果确认书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5FDF97AA">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_GB2312"/>
          <w:sz w:val="24"/>
        </w:rPr>
        <w:t>8.本摇珠结果确认书所记载被征收人摇中选取的安置房信息与被征收人现场摇中房源号码对应的安置房信息不一致的，被征收人的最终摇珠结果以现场摇中房源号码对应的安置房信息为准。</w:t>
      </w:r>
    </w:p>
    <w:p w14:paraId="545696CA">
      <w:pPr>
        <w:spacing w:line="240" w:lineRule="exact"/>
        <w:rPr>
          <w:rFonts w:ascii="仿宋" w:hAnsi="仿宋" w:eastAsia="仿宋" w:cs="仿宋"/>
          <w:sz w:val="24"/>
          <w:u w:val="thick"/>
        </w:rPr>
      </w:pPr>
      <w:r>
        <w:rPr>
          <w:rFonts w:ascii="仿宋" w:hAnsi="仿宋" w:eastAsia="仿宋" w:cs="仿宋"/>
          <w:b/>
          <w:bCs/>
          <w:sz w:val="24"/>
          <w:u w:val="thick"/>
        </w:rPr>
        <w:t>#</w:t>
      </w:r>
      <w:r>
        <w:rPr>
          <w:rFonts w:hint="eastAsia" w:ascii="仿宋" w:hAnsi="仿宋" w:eastAsia="仿宋" w:cs="仿宋"/>
          <w:b/>
          <w:bCs/>
          <w:sz w:val="24"/>
          <w:u w:val="thick"/>
        </w:rPr>
        <w:t>本人已收到并清楚知悉与确认同意本摇珠结果确认书及</w:t>
      </w:r>
      <w:r>
        <w:rPr>
          <w:rFonts w:hint="eastAsia" w:ascii="仿宋" w:hAnsi="仿宋" w:eastAsia="仿宋" w:cs="仿宋"/>
          <w:b/>
          <w:bCs/>
          <w:sz w:val="24"/>
          <w:u w:val="thick"/>
          <w:lang w:eastAsia="zh-Hans"/>
        </w:rPr>
        <w:t>所附</w:t>
      </w:r>
      <w:r>
        <w:rPr>
          <w:rFonts w:hint="eastAsia" w:ascii="仿宋" w:hAnsi="仿宋" w:eastAsia="仿宋" w:cs="仿宋"/>
          <w:b/>
          <w:bCs/>
          <w:sz w:val="24"/>
          <w:u w:val="thick"/>
        </w:rPr>
        <w:t>说明</w:t>
      </w:r>
      <w:r>
        <w:rPr>
          <w:rFonts w:hint="eastAsia" w:ascii="仿宋" w:hAnsi="仿宋" w:eastAsia="仿宋" w:cs="仿宋"/>
          <w:b/>
          <w:bCs/>
          <w:sz w:val="24"/>
          <w:u w:val="thick"/>
          <w:lang w:eastAsia="zh-Hans"/>
        </w:rPr>
        <w:t>的</w:t>
      </w:r>
      <w:r>
        <w:rPr>
          <w:rFonts w:hint="eastAsia" w:ascii="仿宋" w:hAnsi="仿宋" w:eastAsia="仿宋" w:cs="仿宋"/>
          <w:b/>
          <w:bCs/>
          <w:sz w:val="24"/>
          <w:u w:val="thick"/>
        </w:rPr>
        <w:t>全部</w:t>
      </w:r>
      <w:r>
        <w:rPr>
          <w:rFonts w:hint="eastAsia" w:ascii="仿宋" w:hAnsi="仿宋" w:eastAsia="仿宋" w:cs="仿宋"/>
          <w:b/>
          <w:bCs/>
          <w:sz w:val="24"/>
          <w:u w:val="thick"/>
          <w:lang w:eastAsia="zh-Hans"/>
        </w:rPr>
        <w:t>内容</w:t>
      </w:r>
      <w:r>
        <w:rPr>
          <w:rFonts w:hint="eastAsia" w:ascii="仿宋" w:hAnsi="仿宋" w:eastAsia="仿宋" w:cs="仿宋"/>
          <w:b/>
          <w:bCs/>
          <w:sz w:val="24"/>
          <w:u w:val="thick"/>
        </w:rPr>
        <w:t>，清楚与明确知悉违反</w:t>
      </w:r>
      <w:r>
        <w:rPr>
          <w:rFonts w:hint="eastAsia" w:ascii="仿宋" w:hAnsi="仿宋" w:eastAsia="仿宋" w:cs="仿宋"/>
          <w:b/>
          <w:bCs/>
          <w:sz w:val="24"/>
          <w:u w:val="thick"/>
          <w:lang w:eastAsia="zh-Hans"/>
        </w:rPr>
        <w:t>相关内容</w:t>
      </w:r>
      <w:r>
        <w:rPr>
          <w:rFonts w:hint="eastAsia" w:ascii="仿宋" w:hAnsi="仿宋" w:eastAsia="仿宋" w:cs="仿宋"/>
          <w:b/>
          <w:bCs/>
          <w:sz w:val="24"/>
          <w:u w:val="thick"/>
        </w:rPr>
        <w:t>可能引起的全部后果和责任</w:t>
      </w:r>
      <w:r>
        <w:rPr>
          <w:rFonts w:hint="eastAsia" w:ascii="仿宋" w:hAnsi="仿宋" w:eastAsia="仿宋" w:cs="仿宋"/>
          <w:b/>
          <w:bCs/>
          <w:sz w:val="24"/>
          <w:u w:val="thick"/>
          <w:lang w:eastAsia="zh-Hans"/>
        </w:rPr>
        <w:t>，本人</w:t>
      </w:r>
      <w:r>
        <w:rPr>
          <w:rFonts w:hint="eastAsia" w:ascii="仿宋" w:hAnsi="仿宋" w:eastAsia="仿宋" w:cs="仿宋"/>
          <w:b/>
          <w:bCs/>
          <w:sz w:val="24"/>
          <w:u w:val="thick"/>
        </w:rPr>
        <w:t>同意按照本摇珠结果确认书</w:t>
      </w:r>
      <w:r>
        <w:rPr>
          <w:rFonts w:hint="eastAsia" w:ascii="仿宋" w:hAnsi="仿宋" w:eastAsia="仿宋" w:cs="仿宋"/>
          <w:b/>
          <w:bCs/>
          <w:sz w:val="24"/>
          <w:u w:val="thick"/>
          <w:lang w:eastAsia="zh-Hans"/>
        </w:rPr>
        <w:t>及其</w:t>
      </w:r>
      <w:r>
        <w:rPr>
          <w:rFonts w:hint="eastAsia" w:ascii="仿宋" w:hAnsi="仿宋" w:eastAsia="仿宋" w:cs="仿宋"/>
          <w:b/>
          <w:bCs/>
          <w:sz w:val="24"/>
          <w:u w:val="thick"/>
        </w:rPr>
        <w:t>说明履行义务并承担责任</w:t>
      </w:r>
      <w:r>
        <w:rPr>
          <w:rFonts w:hint="eastAsia" w:ascii="仿宋" w:hAnsi="仿宋" w:eastAsia="仿宋" w:cs="仿宋"/>
          <w:b/>
          <w:bCs/>
          <w:sz w:val="24"/>
          <w:u w:val="thick"/>
          <w:lang w:eastAsia="zh-Hans"/>
        </w:rPr>
        <w:t>。</w:t>
      </w:r>
      <w:r>
        <w:rPr>
          <w:rFonts w:ascii="仿宋" w:hAnsi="仿宋" w:eastAsia="仿宋" w:cs="仿宋"/>
          <w:b/>
          <w:bCs/>
          <w:sz w:val="24"/>
          <w:u w:val="thick"/>
        </w:rPr>
        <w:t>#</w:t>
      </w:r>
    </w:p>
    <w:sectPr>
      <w:pgSz w:w="11906" w:h="16838"/>
      <w:pgMar w:top="446" w:right="856" w:bottom="432"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2135DC"/>
    <w:rsid w:val="0025775A"/>
    <w:rsid w:val="00274AC5"/>
    <w:rsid w:val="002C0035"/>
    <w:rsid w:val="002D73C4"/>
    <w:rsid w:val="00323B2E"/>
    <w:rsid w:val="00343EF2"/>
    <w:rsid w:val="003D1FEF"/>
    <w:rsid w:val="003F4A73"/>
    <w:rsid w:val="0042772E"/>
    <w:rsid w:val="00464B48"/>
    <w:rsid w:val="004962FC"/>
    <w:rsid w:val="004B667E"/>
    <w:rsid w:val="0058790A"/>
    <w:rsid w:val="005B3385"/>
    <w:rsid w:val="005B5B1F"/>
    <w:rsid w:val="005E37A8"/>
    <w:rsid w:val="00651EA2"/>
    <w:rsid w:val="006C4DBE"/>
    <w:rsid w:val="006D03AA"/>
    <w:rsid w:val="00714AF4"/>
    <w:rsid w:val="00716359"/>
    <w:rsid w:val="0073470D"/>
    <w:rsid w:val="00765263"/>
    <w:rsid w:val="00785DC2"/>
    <w:rsid w:val="007F6370"/>
    <w:rsid w:val="00806024"/>
    <w:rsid w:val="00807137"/>
    <w:rsid w:val="00807FAD"/>
    <w:rsid w:val="00852A42"/>
    <w:rsid w:val="00890E12"/>
    <w:rsid w:val="008C6AE1"/>
    <w:rsid w:val="008D0150"/>
    <w:rsid w:val="00907A7E"/>
    <w:rsid w:val="00952AD3"/>
    <w:rsid w:val="00955310"/>
    <w:rsid w:val="00A24113"/>
    <w:rsid w:val="00A338FE"/>
    <w:rsid w:val="00A945CD"/>
    <w:rsid w:val="00AB7E39"/>
    <w:rsid w:val="00AE1CF3"/>
    <w:rsid w:val="00B50454"/>
    <w:rsid w:val="00B7715B"/>
    <w:rsid w:val="00BB2614"/>
    <w:rsid w:val="00BC4106"/>
    <w:rsid w:val="00C67A07"/>
    <w:rsid w:val="00C72B35"/>
    <w:rsid w:val="00CC149F"/>
    <w:rsid w:val="00CC2C63"/>
    <w:rsid w:val="00D2693C"/>
    <w:rsid w:val="00D377CE"/>
    <w:rsid w:val="00D66E10"/>
    <w:rsid w:val="00D714A2"/>
    <w:rsid w:val="00DF71C4"/>
    <w:rsid w:val="00E51F41"/>
    <w:rsid w:val="00E52899"/>
    <w:rsid w:val="00F14D5C"/>
    <w:rsid w:val="00F36701"/>
    <w:rsid w:val="00F37137"/>
    <w:rsid w:val="00F45AA3"/>
    <w:rsid w:val="00F974AA"/>
    <w:rsid w:val="02623C6B"/>
    <w:rsid w:val="05317A03"/>
    <w:rsid w:val="07B54BA4"/>
    <w:rsid w:val="07CA4470"/>
    <w:rsid w:val="07D827C1"/>
    <w:rsid w:val="083B347B"/>
    <w:rsid w:val="09FB6BB8"/>
    <w:rsid w:val="0C284FB1"/>
    <w:rsid w:val="0F175272"/>
    <w:rsid w:val="0F4929D2"/>
    <w:rsid w:val="100C34D6"/>
    <w:rsid w:val="1107127D"/>
    <w:rsid w:val="125E66E4"/>
    <w:rsid w:val="127268A0"/>
    <w:rsid w:val="13381AF4"/>
    <w:rsid w:val="147111AE"/>
    <w:rsid w:val="14B0014C"/>
    <w:rsid w:val="14DF394F"/>
    <w:rsid w:val="15766BEB"/>
    <w:rsid w:val="17FC42C3"/>
    <w:rsid w:val="17FF8B53"/>
    <w:rsid w:val="19157D18"/>
    <w:rsid w:val="1BA57E2E"/>
    <w:rsid w:val="1BD21183"/>
    <w:rsid w:val="1C3A0F0A"/>
    <w:rsid w:val="1C8A0687"/>
    <w:rsid w:val="1D8058CD"/>
    <w:rsid w:val="1DAE56A1"/>
    <w:rsid w:val="1F244811"/>
    <w:rsid w:val="209D3E02"/>
    <w:rsid w:val="237C68FB"/>
    <w:rsid w:val="245E1496"/>
    <w:rsid w:val="26373227"/>
    <w:rsid w:val="265E4105"/>
    <w:rsid w:val="26B50445"/>
    <w:rsid w:val="2720510C"/>
    <w:rsid w:val="2722369F"/>
    <w:rsid w:val="282741B6"/>
    <w:rsid w:val="293B39D3"/>
    <w:rsid w:val="295B0034"/>
    <w:rsid w:val="29B645B8"/>
    <w:rsid w:val="2A7D490D"/>
    <w:rsid w:val="2F776D0F"/>
    <w:rsid w:val="30362495"/>
    <w:rsid w:val="3039508C"/>
    <w:rsid w:val="33E2273B"/>
    <w:rsid w:val="36404583"/>
    <w:rsid w:val="389C0140"/>
    <w:rsid w:val="3A5938B0"/>
    <w:rsid w:val="3A865DCD"/>
    <w:rsid w:val="3AC567BE"/>
    <w:rsid w:val="3BBD53FA"/>
    <w:rsid w:val="3C1934F8"/>
    <w:rsid w:val="3CB57CB8"/>
    <w:rsid w:val="3E9F35EE"/>
    <w:rsid w:val="3F6B1481"/>
    <w:rsid w:val="41434E52"/>
    <w:rsid w:val="415535B5"/>
    <w:rsid w:val="432E02B9"/>
    <w:rsid w:val="44721B44"/>
    <w:rsid w:val="46427125"/>
    <w:rsid w:val="49647D7D"/>
    <w:rsid w:val="4ACC7AC9"/>
    <w:rsid w:val="4B1B78CE"/>
    <w:rsid w:val="4CA757FD"/>
    <w:rsid w:val="4D441F1D"/>
    <w:rsid w:val="4E93778C"/>
    <w:rsid w:val="50C75846"/>
    <w:rsid w:val="52104155"/>
    <w:rsid w:val="566239B8"/>
    <w:rsid w:val="578F767C"/>
    <w:rsid w:val="57F85BDA"/>
    <w:rsid w:val="58900714"/>
    <w:rsid w:val="590F1AAD"/>
    <w:rsid w:val="59C56AC7"/>
    <w:rsid w:val="5A1F77BC"/>
    <w:rsid w:val="5A584D94"/>
    <w:rsid w:val="5ABC0595"/>
    <w:rsid w:val="5B75E3DB"/>
    <w:rsid w:val="5BEF9DD6"/>
    <w:rsid w:val="5D161B4B"/>
    <w:rsid w:val="5D33E410"/>
    <w:rsid w:val="5D403FF9"/>
    <w:rsid w:val="5DFD3C10"/>
    <w:rsid w:val="5EAD73F2"/>
    <w:rsid w:val="5EE9D98F"/>
    <w:rsid w:val="5F3F9C58"/>
    <w:rsid w:val="5F7B6960"/>
    <w:rsid w:val="5F8FD94F"/>
    <w:rsid w:val="601A0365"/>
    <w:rsid w:val="60BF2D94"/>
    <w:rsid w:val="62C441A0"/>
    <w:rsid w:val="63123A43"/>
    <w:rsid w:val="63181564"/>
    <w:rsid w:val="654E25D6"/>
    <w:rsid w:val="6618187B"/>
    <w:rsid w:val="662D4D92"/>
    <w:rsid w:val="66FD16BD"/>
    <w:rsid w:val="69246488"/>
    <w:rsid w:val="694D17AD"/>
    <w:rsid w:val="6A6013FA"/>
    <w:rsid w:val="6A800B90"/>
    <w:rsid w:val="6AAF9FD3"/>
    <w:rsid w:val="6B1F62A6"/>
    <w:rsid w:val="6BFBD6B9"/>
    <w:rsid w:val="6BFFB19A"/>
    <w:rsid w:val="6C8A0B1D"/>
    <w:rsid w:val="6D7F00E2"/>
    <w:rsid w:val="6F03756C"/>
    <w:rsid w:val="6F5F240D"/>
    <w:rsid w:val="6FFF158A"/>
    <w:rsid w:val="71A74FB7"/>
    <w:rsid w:val="722A3062"/>
    <w:rsid w:val="73A425C9"/>
    <w:rsid w:val="73DF0DF1"/>
    <w:rsid w:val="75FFDC2A"/>
    <w:rsid w:val="760A673C"/>
    <w:rsid w:val="775A3A82"/>
    <w:rsid w:val="77FDBD68"/>
    <w:rsid w:val="77FF2AC5"/>
    <w:rsid w:val="7ADA6887"/>
    <w:rsid w:val="7AED4F36"/>
    <w:rsid w:val="7B6FAD67"/>
    <w:rsid w:val="7B866F34"/>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8"/>
    <w:link w:val="3"/>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autoRedefine/>
    <w:qFormat/>
    <w:uiPriority w:val="0"/>
    <w:rPr>
      <w:rFonts w:asciiTheme="minorHAnsi" w:hAnsiTheme="minorHAnsi" w:eastAsiaTheme="minorEastAsia" w:cstheme="minorBidi"/>
      <w:b/>
      <w:bCs/>
      <w:kern w:val="2"/>
      <w:sz w:val="21"/>
      <w:szCs w:val="24"/>
    </w:rPr>
  </w:style>
  <w:style w:type="paragraph" w:customStyle="1" w:styleId="15">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4"/>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2040</Words>
  <Characters>2054</Characters>
  <Lines>15</Lines>
  <Paragraphs>4</Paragraphs>
  <TotalTime>3</TotalTime>
  <ScaleCrop>false</ScaleCrop>
  <LinksUpToDate>false</LinksUpToDate>
  <CharactersWithSpaces>2217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2023-01-09T03:12:00Z</cp:lastPrinted>
  <dcterms:modified xsi:type="dcterms:W3CDTF">2024-08-06T12:46:56Z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DF685E33D5494CD68BBEB76ACBC52593_13</vt:lpwstr>
  </property>
</Properties>
</file>