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  <w:lang w:val="en-US" w:eastAsia="zh-CN"/>
        </w:rPr>
        <w:t>南沙区关于开展2024年度“美好生活·民法典相伴”主题宣传主场活动服务项目评分标准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0"/>
          <w:szCs w:val="40"/>
          <w:lang w:val="en-US" w:eastAsia="zh-CN"/>
        </w:rPr>
      </w:pPr>
    </w:p>
    <w:tbl>
      <w:tblPr>
        <w:tblStyle w:val="8"/>
        <w:tblW w:w="8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2"/>
        <w:gridCol w:w="5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72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8"/>
                <w:szCs w:val="28"/>
              </w:rPr>
              <w:t>评标项目</w:t>
            </w:r>
          </w:p>
        </w:tc>
        <w:tc>
          <w:tcPr>
            <w:tcW w:w="5901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8"/>
                <w:szCs w:val="28"/>
              </w:rPr>
              <w:t>评分要求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2722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 xml:space="preserve">价格评分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shd w:val="clear" w:color="auto" w:fill="auto"/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分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en-US"/>
              </w:rPr>
              <w:t>）</w:t>
            </w:r>
          </w:p>
        </w:tc>
        <w:tc>
          <w:tcPr>
            <w:tcW w:w="5901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right="0" w:rightChars="0" w:firstLine="0" w:firstLineChars="0"/>
              <w:jc w:val="both"/>
              <w:rPr>
                <w:rFonts w:hint="eastAsia" w:ascii="Times New Roman" w:hAnsi="Times New Roman" w:eastAsiaTheme="minorEastAsia" w:cstheme="minorEastAsia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采用低价优先法计算。满足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eastAsia="zh-CN"/>
              </w:rPr>
              <w:t>招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标文件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zh-CN" w:eastAsia="zh-CN"/>
              </w:rPr>
              <w:t>要求且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投标价格最低的投标报价为评标基准价，其价格分为满分。其他投标人的价格分按照下列公式计算（小数点后保留2位）：投标报价得分=（评标基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zh-CN" w:eastAsia="zh-CN"/>
              </w:rPr>
              <w:t>准价/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投标报价）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×20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  <w:jc w:val="center"/>
        </w:trPr>
        <w:tc>
          <w:tcPr>
            <w:tcW w:w="2722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240" w:hanging="240" w:hangingChars="100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评分</w:t>
            </w:r>
          </w:p>
          <w:p>
            <w:pPr>
              <w:shd w:val="clear" w:color="auto" w:fill="auto"/>
              <w:spacing w:line="360" w:lineRule="auto"/>
              <w:ind w:left="240" w:hanging="240" w:hangingChars="100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5901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right="0" w:rightChars="0" w:firstLine="0" w:firstLineChars="0"/>
              <w:jc w:val="both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采购项目内容响应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采购项目内容响应情况，全满足招标文件要求得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分，不满足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eastAsia="zh-CN"/>
              </w:rPr>
              <w:t>不得分；</w:t>
            </w:r>
          </w:p>
          <w:p>
            <w:pPr>
              <w:shd w:val="clear" w:color="auto" w:fill="auto"/>
              <w:spacing w:line="360" w:lineRule="auto"/>
              <w:ind w:left="0" w:leftChars="0" w:right="0" w:rightChars="0" w:firstLine="0" w:firstLineChars="0"/>
              <w:jc w:val="both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2.设计方案。供应商需根据采购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购买服务项目内容，分门别类列出设计方案，方案应详细具体，详细列明每一项需求所需物料、单价、材质、设备、保障人员等，并配备效果、设计图等。方案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最优得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分，次之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以5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分递减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不提供不得分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shd w:val="clear" w:color="auto" w:fill="auto"/>
              <w:spacing w:line="360" w:lineRule="auto"/>
              <w:ind w:left="0" w:leftChars="0" w:right="0" w:rightChars="0" w:firstLine="0" w:firstLineChars="0"/>
              <w:jc w:val="both"/>
              <w:rPr>
                <w:rFonts w:hint="eastAsia" w:ascii="Times New Roman" w:hAnsi="Times New Roman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3.应急方案。供应商应根据活动内容出具应急方案，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eastAsia="zh-CN"/>
              </w:rPr>
              <w:t>最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优得10分；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良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得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分；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中得6分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差得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分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2722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rtl w:val="0"/>
                <w:lang w:val="en-US" w:eastAsia="zh-CN"/>
              </w:rPr>
              <w:t>业绩评分</w:t>
            </w:r>
          </w:p>
          <w:p>
            <w:pPr>
              <w:shd w:val="clear" w:color="auto" w:fill="auto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rtl w:val="0"/>
                <w:lang w:val="en-US" w:eastAsia="zh-CN"/>
              </w:rPr>
              <w:t>（10分）</w:t>
            </w:r>
          </w:p>
        </w:tc>
        <w:tc>
          <w:tcPr>
            <w:tcW w:w="5901" w:type="dxa"/>
            <w:noWrap w:val="0"/>
            <w:vAlign w:val="center"/>
          </w:tcPr>
          <w:p>
            <w:pPr>
              <w:shd w:val="clear" w:color="auto" w:fill="auto"/>
              <w:spacing w:line="360" w:lineRule="auto"/>
              <w:ind w:left="0" w:leftChars="0" w:right="0" w:rightChars="0" w:firstLine="0" w:firstLineChars="0"/>
              <w:jc w:val="both"/>
              <w:rPr>
                <w:rFonts w:hint="eastAsia" w:ascii="Times New Roman" w:hAnsi="Times New Roman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2020年至今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的同类业绩情况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每提供一份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eastAsia="zh-CN"/>
              </w:rPr>
              <w:t>类似项目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的业绩证明文件得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分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（最高得10分）</w:t>
            </w:r>
          </w:p>
          <w:p>
            <w:pPr>
              <w:shd w:val="clear" w:color="auto" w:fill="auto"/>
              <w:spacing w:line="360" w:lineRule="auto"/>
              <w:ind w:left="0" w:leftChars="0" w:right="0" w:rightChars="0" w:firstLine="0" w:firstLineChars="0"/>
              <w:jc w:val="both"/>
              <w:rPr>
                <w:rFonts w:hint="eastAsia" w:ascii="Times New Roman" w:hAnsi="Times New Roman" w:eastAsiaTheme="minorEastAsia" w:cstheme="minorEastAsia"/>
                <w:color w:val="000000"/>
                <w:kern w:val="0"/>
                <w:sz w:val="24"/>
                <w:szCs w:val="24"/>
                <w:rtl w:val="0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注：提供相关证明材料，无提供不得分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36CFB"/>
    <w:rsid w:val="2253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left="2082" w:leftChars="496" w:hanging="1040" w:hangingChars="200"/>
    </w:pPr>
    <w:rPr>
      <w:sz w:val="52"/>
    </w:rPr>
  </w:style>
  <w:style w:type="paragraph" w:styleId="4">
    <w:name w:val="Body Text"/>
    <w:basedOn w:val="1"/>
    <w:next w:val="1"/>
    <w:qFormat/>
    <w:uiPriority w:val="1"/>
    <w:pPr>
      <w:ind w:left="131"/>
    </w:pPr>
    <w:rPr>
      <w:rFonts w:ascii="宋体" w:hAnsi="宋体" w:eastAsia="宋体"/>
      <w:sz w:val="29"/>
      <w:szCs w:val="29"/>
    </w:rPr>
  </w:style>
  <w:style w:type="paragraph" w:styleId="5">
    <w:name w:val="Body Text First Indent"/>
    <w:basedOn w:val="4"/>
    <w:unhideWhenUsed/>
    <w:qFormat/>
    <w:uiPriority w:val="99"/>
    <w:pPr>
      <w:spacing w:after="120"/>
      <w:ind w:firstLine="420" w:firstLineChars="100"/>
    </w:pPr>
    <w:rPr>
      <w:sz w:val="22"/>
      <w:szCs w:val="22"/>
    </w:rPr>
  </w:style>
  <w:style w:type="paragraph" w:styleId="6">
    <w:name w:val="Normal Indent"/>
    <w:basedOn w:val="1"/>
    <w:qFormat/>
    <w:uiPriority w:val="0"/>
    <w:pPr>
      <w:ind w:firstLine="420"/>
    </w:pPr>
    <w:rPr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2024-04-26T03:50:00Z</dcterms:created>
  <dc:creator>HP</dc:creator>
  <cp:lastModifiedBy>HP</cp:lastModifiedBy>
  <dcterms:modified xsi:type="dcterms:W3CDTF">2024-04-26T03:51:20Z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E6356635F12A45D0998626D67700B03D</vt:lpwstr>
  </property>
</Properties>
</file>