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outlineLvl w:val="0"/>
        <w:rPr>
          <w:rFonts w:ascii="黑体" w:hAnsi="黑体" w:eastAsia="黑体"/>
          <w:sz w:val="32"/>
          <w:szCs w:val="32"/>
        </w:rPr>
      </w:pPr>
      <w:bookmarkStart w:id="0" w:name="_GoBack"/>
      <w:bookmarkEnd w:id="0"/>
      <w:r>
        <w:rPr>
          <w:rFonts w:ascii="黑体" w:hAnsi="黑体" w:eastAsia="黑体"/>
          <w:sz w:val="32"/>
          <w:szCs w:val="32"/>
        </w:rPr>
        <w:t>附件</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广州市人民政府关于将部分市级行政职权项调整由南沙区实施的决定（征求意见稿）</w:t>
      </w:r>
      <w:r>
        <w:rPr>
          <w:rFonts w:hint="eastAsia" w:ascii="方正小标宋简体" w:hAnsi="方正小标宋简体" w:eastAsia="方正小标宋简体" w:cs="方正小标宋简体"/>
          <w:sz w:val="44"/>
          <w:szCs w:val="44"/>
        </w:rPr>
        <w:t>》公众意见征询及采纳情况汇总表</w:t>
      </w:r>
    </w:p>
    <w:p>
      <w:pPr>
        <w:jc w:val="center"/>
        <w:outlineLvl w:val="0"/>
        <w:rPr>
          <w:rFonts w:ascii="方正小标宋简体" w:hAnsi="方正小标宋简体" w:eastAsia="方正小标宋简体" w:cs="方正小标宋简体"/>
          <w:sz w:val="32"/>
          <w:szCs w:val="32"/>
        </w:rPr>
      </w:pP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851"/>
        <w:gridCol w:w="5773"/>
        <w:gridCol w:w="5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25" w:type="pct"/>
            <w:shd w:val="clear" w:color="auto" w:fill="95B3D7"/>
            <w:vAlign w:val="center"/>
          </w:tcPr>
          <w:p>
            <w:pPr>
              <w:adjustRightInd w:val="0"/>
              <w:snapToGrid w:val="0"/>
              <w:jc w:val="center"/>
              <w:rPr>
                <w:rFonts w:ascii="黑体" w:hAnsi="黑体" w:eastAsia="黑体" w:cs="仿宋_GB2312"/>
                <w:sz w:val="30"/>
                <w:szCs w:val="30"/>
              </w:rPr>
            </w:pPr>
            <w:r>
              <w:rPr>
                <w:rFonts w:hint="eastAsia" w:ascii="黑体" w:hAnsi="黑体" w:eastAsia="黑体" w:cs="仿宋_GB2312"/>
                <w:sz w:val="30"/>
                <w:szCs w:val="30"/>
              </w:rPr>
              <w:t>单位或姓名</w:t>
            </w:r>
          </w:p>
        </w:tc>
        <w:tc>
          <w:tcPr>
            <w:tcW w:w="300" w:type="pct"/>
            <w:shd w:val="clear" w:color="auto" w:fill="95B3D7"/>
            <w:vAlign w:val="center"/>
          </w:tcPr>
          <w:p>
            <w:pPr>
              <w:jc w:val="center"/>
              <w:rPr>
                <w:rFonts w:ascii="黑体" w:hAnsi="黑体" w:eastAsia="黑体" w:cs="仿宋_GB2312"/>
                <w:sz w:val="30"/>
                <w:szCs w:val="30"/>
              </w:rPr>
            </w:pPr>
            <w:r>
              <w:rPr>
                <w:rFonts w:hint="eastAsia" w:ascii="黑体" w:hAnsi="黑体" w:eastAsia="黑体" w:cs="仿宋_GB2312"/>
                <w:sz w:val="30"/>
                <w:szCs w:val="30"/>
              </w:rPr>
              <w:t>序号</w:t>
            </w:r>
          </w:p>
        </w:tc>
        <w:tc>
          <w:tcPr>
            <w:tcW w:w="2036" w:type="pct"/>
            <w:shd w:val="clear" w:color="auto" w:fill="95B3D7"/>
            <w:vAlign w:val="center"/>
          </w:tcPr>
          <w:p>
            <w:pPr>
              <w:jc w:val="center"/>
              <w:rPr>
                <w:rFonts w:ascii="黑体" w:hAnsi="黑体" w:eastAsia="黑体" w:cs="仿宋_GB2312"/>
                <w:sz w:val="30"/>
                <w:szCs w:val="30"/>
              </w:rPr>
            </w:pPr>
            <w:r>
              <w:rPr>
                <w:rFonts w:hint="eastAsia" w:ascii="黑体" w:hAnsi="黑体" w:eastAsia="黑体" w:cs="仿宋_GB2312"/>
                <w:sz w:val="30"/>
                <w:szCs w:val="30"/>
              </w:rPr>
              <w:t>反馈意见</w:t>
            </w:r>
          </w:p>
        </w:tc>
        <w:tc>
          <w:tcPr>
            <w:tcW w:w="2036" w:type="pct"/>
            <w:shd w:val="clear" w:color="auto" w:fill="95B3D7"/>
            <w:vAlign w:val="center"/>
          </w:tcPr>
          <w:p>
            <w:pPr>
              <w:jc w:val="center"/>
              <w:rPr>
                <w:rFonts w:ascii="黑体" w:hAnsi="黑体" w:eastAsia="黑体" w:cs="仿宋_GB2312"/>
                <w:sz w:val="30"/>
                <w:szCs w:val="30"/>
              </w:rPr>
            </w:pPr>
            <w:r>
              <w:rPr>
                <w:rFonts w:hint="eastAsia" w:ascii="黑体" w:hAnsi="黑体" w:eastAsia="黑体" w:cs="仿宋_GB2312"/>
                <w:sz w:val="30"/>
                <w:szCs w:val="30"/>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625" w:type="pct"/>
            <w:vAlign w:val="center"/>
          </w:tcPr>
          <w:p>
            <w:pPr>
              <w:adjustRightInd w:val="0"/>
              <w:snapToGrid w:val="0"/>
              <w:spacing w:line="240" w:lineRule="atLeas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古彩婷</w:t>
            </w:r>
          </w:p>
        </w:tc>
        <w:tc>
          <w:tcPr>
            <w:tcW w:w="300" w:type="pct"/>
            <w:vAlign w:val="center"/>
          </w:tcPr>
          <w:p>
            <w:pPr>
              <w:adjustRightInd w:val="0"/>
              <w:snapToGrid w:val="0"/>
              <w:spacing w:line="24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036" w:type="pct"/>
            <w:vAlign w:val="center"/>
          </w:tcPr>
          <w:p>
            <w:pPr>
              <w:adjustRightInd w:val="0"/>
              <w:snapToGrid w:val="0"/>
              <w:spacing w:line="24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市级事项清单第</w:t>
            </w:r>
            <w:r>
              <w:rPr>
                <w:rFonts w:hint="eastAsia" w:ascii="仿宋_GB2312" w:hAnsi="仿宋_GB2312" w:eastAsia="仿宋_GB2312" w:cs="仿宋_GB2312"/>
                <w:sz w:val="28"/>
                <w:szCs w:val="28"/>
                <w:lang w:val="en-US" w:eastAsia="zh-CN"/>
              </w:rPr>
              <w:t>20项“生猪定点屠宰厂（场）设置审查”事项市级实施单位是市政府（由市农业农村局承办），建议区级承接单位修改为“区政府（由区农业农村局承办）</w:t>
            </w:r>
          </w:p>
        </w:tc>
        <w:tc>
          <w:tcPr>
            <w:tcW w:w="2036" w:type="pct"/>
            <w:vAlign w:val="center"/>
          </w:tcPr>
          <w:p>
            <w:pPr>
              <w:adjustRightInd w:val="0"/>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采纳</w:t>
            </w:r>
            <w:r>
              <w:rPr>
                <w:rFonts w:hint="eastAsia" w:ascii="仿宋_GB2312" w:hAnsi="仿宋_GB2312" w:eastAsia="仿宋_GB2312" w:cs="仿宋_GB2312"/>
                <w:sz w:val="28"/>
                <w:szCs w:val="28"/>
                <w:lang w:eastAsia="zh-CN"/>
              </w:rPr>
              <w:t>。</w:t>
            </w:r>
          </w:p>
          <w:p>
            <w:pPr>
              <w:adjustRightInd w:val="0"/>
              <w:snapToGrid w:val="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对于市级事项清单第20项事项“生猪定点屠宰厂（场）设置审查”，确实不宜直接调整南沙区农业农村局实施。根据《生猪屠宰管理条例》规定屠宰场的设置审批权由市政府行使，是属于市政府的职权事项，仅是由市农业农村局承办实施，基于合理行政原则，市政府的行政职能不应越过区政府直接调整区部门承接。综合考虑，清单第20项的区级承接单位调整为区政府（由区农业农村局承办）。</w:t>
            </w:r>
          </w:p>
        </w:tc>
      </w:tr>
    </w:tbl>
    <w:p/>
    <w:sectPr>
      <w:footerReference r:id="rId3" w:type="default"/>
      <w:pgSz w:w="16838" w:h="11906" w:orient="landscape"/>
      <w:pgMar w:top="1349" w:right="1440" w:bottom="1519"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EU-BZ"/>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EU-BZ"/>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0" b="0"/>
              <wp:wrapNone/>
              <wp:docPr id="1" name="_x0000_s1026"/>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YXVhmdIAAAAEAQAADwAAAAAAAAABACAA&#10;AAA4AAAAZHJzL2Rvd25yZXYueG1sUEsBAhQAFAAAAAgAh07iQHQ8iEf9AQAAAwQAAA4AAAAAAAAA&#10;AQAgAAAANwEAAGRycy9lMm9Eb2MueG1sUEsFBgAAAAAGAAYAWQEAAKYFAAAAAA==&#10;">
              <v:fill on="f" focussize="0,0"/>
              <v:stroke on="f"/>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JiYzRjZDg4ODIxMmZkMzVjYzYxNzIzMDEwYjJjY2IifQ=="/>
  </w:docVars>
  <w:rsids>
    <w:rsidRoot w:val="00172A27"/>
    <w:rsid w:val="000074D9"/>
    <w:rsid w:val="00040FDD"/>
    <w:rsid w:val="00172A27"/>
    <w:rsid w:val="001A6C9F"/>
    <w:rsid w:val="001D4A10"/>
    <w:rsid w:val="001F7698"/>
    <w:rsid w:val="002E7069"/>
    <w:rsid w:val="00397675"/>
    <w:rsid w:val="00467B98"/>
    <w:rsid w:val="004F4C44"/>
    <w:rsid w:val="005B139F"/>
    <w:rsid w:val="005B1E25"/>
    <w:rsid w:val="007D0701"/>
    <w:rsid w:val="00821091"/>
    <w:rsid w:val="00885EC3"/>
    <w:rsid w:val="00972A30"/>
    <w:rsid w:val="009D219F"/>
    <w:rsid w:val="00AA063B"/>
    <w:rsid w:val="00AE60A1"/>
    <w:rsid w:val="00C00865"/>
    <w:rsid w:val="00D62B47"/>
    <w:rsid w:val="00D65DFE"/>
    <w:rsid w:val="00D93DEA"/>
    <w:rsid w:val="00EC7078"/>
    <w:rsid w:val="00EF4A94"/>
    <w:rsid w:val="00F450BE"/>
    <w:rsid w:val="00F4796F"/>
    <w:rsid w:val="00FE4761"/>
    <w:rsid w:val="0373299E"/>
    <w:rsid w:val="03F97356"/>
    <w:rsid w:val="08911916"/>
    <w:rsid w:val="0D2F7FF4"/>
    <w:rsid w:val="14BC213E"/>
    <w:rsid w:val="1CE02F27"/>
    <w:rsid w:val="24F22AC4"/>
    <w:rsid w:val="2E9A1EFA"/>
    <w:rsid w:val="2EC36C88"/>
    <w:rsid w:val="35C93029"/>
    <w:rsid w:val="3760179A"/>
    <w:rsid w:val="38581A33"/>
    <w:rsid w:val="3CC52D38"/>
    <w:rsid w:val="3DBF71A0"/>
    <w:rsid w:val="3EA40F42"/>
    <w:rsid w:val="430143AE"/>
    <w:rsid w:val="47F9079C"/>
    <w:rsid w:val="4CEF4C93"/>
    <w:rsid w:val="4DC165E2"/>
    <w:rsid w:val="52B23B53"/>
    <w:rsid w:val="538E6079"/>
    <w:rsid w:val="55FB32F8"/>
    <w:rsid w:val="56ED4000"/>
    <w:rsid w:val="57A557E8"/>
    <w:rsid w:val="615362B5"/>
    <w:rsid w:val="669E2445"/>
    <w:rsid w:val="6C1847E2"/>
    <w:rsid w:val="6DCD14A6"/>
    <w:rsid w:val="7FEEC467"/>
    <w:rsid w:val="9FEB3FD1"/>
    <w:rsid w:val="DDA6E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b/>
      <w:kern w:val="44"/>
      <w:sz w:val="48"/>
      <w:szCs w:val="48"/>
    </w:rPr>
  </w:style>
  <w:style w:type="paragraph" w:styleId="3">
    <w:name w:val="heading 2"/>
    <w:basedOn w:val="1"/>
    <w:next w:val="1"/>
    <w:qFormat/>
    <w:uiPriority w:val="0"/>
    <w:pPr>
      <w:keepNext/>
      <w:keepLines/>
      <w:spacing w:line="416" w:lineRule="auto"/>
      <w:outlineLvl w:val="1"/>
    </w:pPr>
    <w:rPr>
      <w:rFonts w:ascii="Cambria" w:hAnsi="Cambria"/>
      <w:b/>
      <w:kern w:val="0"/>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rPr>
      <w:rFonts w:ascii="等线" w:hAnsi="等线" w:eastAsia="等线"/>
      <w:szCs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First Indent 2"/>
    <w:basedOn w:val="4"/>
    <w:qFormat/>
    <w:uiPriority w:val="0"/>
    <w:pPr>
      <w:ind w:firstLine="420" w:firstLineChars="200"/>
    </w:pPr>
    <w:rPr>
      <w:rFonts w:ascii="Calibri" w:hAnsi="Calibri" w:eastAsia="宋体"/>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仿宋三号"/>
    <w:basedOn w:val="1"/>
    <w:qFormat/>
    <w:uiPriority w:val="0"/>
    <w:pPr>
      <w:spacing w:line="560" w:lineRule="exact"/>
      <w:ind w:firstLine="640" w:firstLineChars="200"/>
    </w:pPr>
    <w:rPr>
      <w:rFonts w:ascii="Times New Roman" w:hAnsi="Times New Roman" w:eastAsia="仿宋_GB2312" w:cs="仿宋_GB2312"/>
      <w:color w:val="auto"/>
      <w:sz w:val="32"/>
      <w:szCs w:val="32"/>
      <w:u w:val="none"/>
    </w:rPr>
  </w:style>
  <w:style w:type="paragraph" w:customStyle="1" w:styleId="13">
    <w:name w:val="Default"/>
    <w:qFormat/>
    <w:uiPriority w:val="0"/>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paragraph" w:customStyle="1" w:styleId="14">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77</Words>
  <Characters>444</Characters>
  <Lines>3</Lines>
  <Paragraphs>1</Paragraphs>
  <TotalTime>0</TotalTime>
  <ScaleCrop>false</ScaleCrop>
  <LinksUpToDate>false</LinksUpToDate>
  <CharactersWithSpaces>520</CharactersWithSpaces>
  <Application>WPS Office_11.8.2.12009_F1E327BC-269C-435d-A152-05C5408002CA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2023-04-26T17:23:00Z</dcterms:created>
  <dc:creator>Administrator</dc:creator>
  <cp:lastModifiedBy>huawei</cp:lastModifiedBy>
  <cp:lastPrinted>2023-05-24T18:18:00Z</cp:lastPrinted>
  <dcterms:modified xsi:type="dcterms:W3CDTF">2024-04-01T14:14:07Z</dcterms:modified>
  <dc:title>huang wenhua</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2052-11.8.2.12009</vt:lpwstr>
  </property>
  <property fmtid="{D5CDD505-2E9C-101B-9397-08002B2CF9AE}" pid="3" name="ICV">
    <vt:lpwstr>16369AD7714F1ECFAF500A66AA6267E1</vt:lpwstr>
  </property>
</Properties>
</file>