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trike w:val="0"/>
          <w:color w:val="auto"/>
          <w:sz w:val="44"/>
          <w:szCs w:val="44"/>
          <w:highlight w:val="none"/>
          <w:lang w:val="en-US" w:eastAsia="zh-CN"/>
        </w:rPr>
      </w:pPr>
      <w:r>
        <w:rPr>
          <w:rFonts w:hint="eastAsia" w:ascii="方正小标宋简体" w:hAnsi="方正小标宋简体" w:eastAsia="方正小标宋简体" w:cs="方正小标宋简体"/>
          <w:b w:val="0"/>
          <w:bCs w:val="0"/>
          <w:strike w:val="0"/>
          <w:color w:val="auto"/>
          <w:sz w:val="44"/>
          <w:szCs w:val="44"/>
          <w:highlight w:val="none"/>
          <w:lang w:val="en-US" w:eastAsia="zh-CN"/>
        </w:rPr>
        <w:t>广州南沙人才卡申领指南</w:t>
      </w:r>
    </w:p>
    <w:p>
      <w:pPr>
        <w:pStyle w:val="3"/>
        <w:pageBreakBefore w:val="0"/>
        <w:widowControl w:val="0"/>
        <w:numPr>
          <w:ilvl w:val="0"/>
          <w:numId w:val="0"/>
        </w:numPr>
        <w:kinsoku/>
        <w:wordWrap/>
        <w:overflowPunct/>
        <w:topLinePunct w:val="0"/>
        <w:autoSpaceDE/>
        <w:autoSpaceDN/>
        <w:bidi w:val="0"/>
        <w:adjustRightInd/>
        <w:spacing w:before="0" w:beforeLines="0" w:after="0" w:afterLines="0" w:line="580" w:lineRule="exact"/>
        <w:ind w:right="0" w:rightChars="0" w:firstLine="640" w:firstLineChars="200"/>
        <w:jc w:val="left"/>
        <w:textAlignment w:val="auto"/>
        <w:rPr>
          <w:rFonts w:hint="eastAsia" w:ascii="黑体" w:hAnsi="黑体" w:eastAsia="黑体" w:cs="黑体"/>
          <w:b w:val="0"/>
          <w:strike w:val="0"/>
          <w:color w:val="auto"/>
          <w:sz w:val="32"/>
          <w:szCs w:val="32"/>
          <w:highlight w:val="none"/>
          <w:lang w:val="en-US" w:eastAsia="zh-CN"/>
        </w:rPr>
      </w:pPr>
    </w:p>
    <w:p>
      <w:pPr>
        <w:pStyle w:val="3"/>
        <w:pageBreakBefore w:val="0"/>
        <w:widowControl w:val="0"/>
        <w:numPr>
          <w:ilvl w:val="0"/>
          <w:numId w:val="0"/>
        </w:numPr>
        <w:kinsoku/>
        <w:wordWrap/>
        <w:overflowPunct/>
        <w:topLinePunct w:val="0"/>
        <w:autoSpaceDE/>
        <w:autoSpaceDN/>
        <w:bidi w:val="0"/>
        <w:adjustRightInd/>
        <w:spacing w:before="0" w:beforeLines="0" w:after="0" w:afterLines="0" w:line="580" w:lineRule="exact"/>
        <w:ind w:right="0" w:rightChars="0" w:firstLine="640" w:firstLineChars="200"/>
        <w:jc w:val="left"/>
        <w:textAlignment w:val="auto"/>
        <w:rPr>
          <w:rFonts w:hint="eastAsia" w:ascii="黑体" w:hAnsi="黑体" w:eastAsia="黑体" w:cs="黑体"/>
          <w:b w:val="0"/>
          <w:strike w:val="0"/>
          <w:color w:val="auto"/>
          <w:sz w:val="32"/>
          <w:szCs w:val="32"/>
          <w:highlight w:val="none"/>
          <w:lang w:val="en-US" w:eastAsia="zh-CN"/>
        </w:rPr>
      </w:pPr>
      <w:bookmarkStart w:id="0" w:name="_GoBack"/>
      <w:bookmarkEnd w:id="0"/>
    </w:p>
    <w:p>
      <w:pPr>
        <w:pStyle w:val="3"/>
        <w:pageBreakBefore w:val="0"/>
        <w:widowControl w:val="0"/>
        <w:numPr>
          <w:ilvl w:val="0"/>
          <w:numId w:val="0"/>
        </w:numPr>
        <w:kinsoku/>
        <w:wordWrap/>
        <w:overflowPunct/>
        <w:topLinePunct w:val="0"/>
        <w:autoSpaceDE/>
        <w:autoSpaceDN/>
        <w:bidi w:val="0"/>
        <w:adjustRightInd/>
        <w:spacing w:before="0" w:beforeLines="0" w:after="0" w:afterLines="0" w:line="580" w:lineRule="exact"/>
        <w:ind w:right="0" w:rightChars="0" w:firstLine="640" w:firstLineChars="200"/>
        <w:jc w:val="left"/>
        <w:textAlignment w:val="auto"/>
        <w:rPr>
          <w:rFonts w:hint="eastAsia" w:ascii="黑体" w:hAnsi="黑体" w:eastAsia="黑体" w:cs="黑体"/>
          <w:b w:val="0"/>
          <w:strike w:val="0"/>
          <w:color w:val="auto"/>
          <w:sz w:val="32"/>
          <w:szCs w:val="32"/>
          <w:highlight w:val="none"/>
          <w:lang w:val="en-US" w:eastAsia="zh-CN"/>
        </w:rPr>
      </w:pPr>
      <w:r>
        <w:rPr>
          <w:rFonts w:hint="eastAsia" w:ascii="黑体" w:hAnsi="黑体" w:eastAsia="黑体" w:cs="黑体"/>
          <w:b w:val="0"/>
          <w:strike w:val="0"/>
          <w:color w:val="auto"/>
          <w:sz w:val="32"/>
          <w:szCs w:val="32"/>
          <w:highlight w:val="none"/>
          <w:lang w:val="en-US" w:eastAsia="zh-CN"/>
        </w:rPr>
        <w:t>一、政策依据</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《广州南沙优化人才服务保障实施细则》</w:t>
      </w:r>
      <w:r>
        <w:rPr>
          <w:rFonts w:hint="eastAsia" w:ascii="仿宋_GB2312" w:hAnsi="仿宋_GB2312" w:eastAsia="仿宋_GB2312" w:cs="仿宋_GB2312"/>
          <w:color w:val="auto"/>
          <w:sz w:val="32"/>
          <w:szCs w:val="32"/>
          <w:highlight w:val="none"/>
          <w:lang w:eastAsia="zh-CN"/>
        </w:rPr>
        <w:t>。</w:t>
      </w:r>
    </w:p>
    <w:p>
      <w:pPr>
        <w:pStyle w:val="3"/>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jc w:val="left"/>
        <w:textAlignment w:val="auto"/>
        <w:rPr>
          <w:rFonts w:hint="default" w:ascii="黑体" w:hAnsi="黑体" w:eastAsia="黑体" w:cs="黑体"/>
          <w:b w:val="0"/>
          <w:strike w:val="0"/>
          <w:color w:val="auto"/>
          <w:sz w:val="32"/>
          <w:szCs w:val="32"/>
          <w:highlight w:val="none"/>
          <w:lang w:val="en-US"/>
        </w:rPr>
      </w:pPr>
      <w:r>
        <w:rPr>
          <w:rFonts w:hint="eastAsia" w:ascii="黑体" w:hAnsi="黑体" w:eastAsia="黑体" w:cs="黑体"/>
          <w:b w:val="0"/>
          <w:strike w:val="0"/>
          <w:color w:val="auto"/>
          <w:sz w:val="32"/>
          <w:szCs w:val="32"/>
          <w:highlight w:val="none"/>
          <w:lang w:eastAsia="zh-CN"/>
        </w:rPr>
        <w:t>二、</w:t>
      </w:r>
      <w:r>
        <w:rPr>
          <w:rFonts w:hint="eastAsia" w:ascii="黑体" w:hAnsi="黑体" w:eastAsia="黑体" w:cs="黑体"/>
          <w:b w:val="0"/>
          <w:strike w:val="0"/>
          <w:color w:val="auto"/>
          <w:sz w:val="32"/>
          <w:szCs w:val="32"/>
          <w:highlight w:val="none"/>
          <w:lang w:val="en-US" w:eastAsia="zh-CN"/>
        </w:rPr>
        <w:t>南沙人才卡类别</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南沙人才主卡。</w:t>
      </w:r>
      <w:r>
        <w:rPr>
          <w:rFonts w:hint="eastAsia" w:ascii="Times New Roman" w:hAnsi="Times New Roman" w:eastAsia="仿宋_GB2312" w:cs="Times New Roman"/>
          <w:color w:val="auto"/>
          <w:sz w:val="32"/>
          <w:szCs w:val="32"/>
          <w:lang w:val="en-US" w:eastAsia="zh-CN"/>
        </w:rPr>
        <w:t>南沙人才卡主卡分为A、B卡两类，根据人才层次、需求进行细分。</w:t>
      </w:r>
      <w:r>
        <w:rPr>
          <w:rFonts w:hint="eastAsia" w:ascii="Times New Roman" w:hAnsi="Times New Roman" w:eastAsia="仿宋_GB2312" w:cs="Times New Roman"/>
          <w:color w:val="auto"/>
          <w:sz w:val="32"/>
          <w:szCs w:val="32"/>
          <w:lang w:val="en-US" w:eastAsia="zh-Hans"/>
        </w:rPr>
        <w:t>对港澳台人才</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Hans"/>
        </w:rPr>
        <w:t>外籍人才发放的南沙人才卡</w:t>
      </w:r>
      <w:r>
        <w:rPr>
          <w:rFonts w:hint="eastAsia" w:ascii="Times New Roman" w:hAnsi="Times New Roman" w:eastAsia="仿宋_GB2312" w:cs="Times New Roman"/>
          <w:color w:val="auto"/>
          <w:sz w:val="32"/>
          <w:szCs w:val="32"/>
          <w:lang w:val="en-US" w:eastAsia="zh-CN"/>
        </w:rPr>
        <w:t>将分别</w:t>
      </w:r>
      <w:r>
        <w:rPr>
          <w:rFonts w:hint="eastAsia" w:ascii="Times New Roman" w:hAnsi="Times New Roman" w:eastAsia="仿宋_GB2312" w:cs="Times New Roman"/>
          <w:color w:val="auto"/>
          <w:sz w:val="32"/>
          <w:szCs w:val="32"/>
          <w:lang w:val="en-US" w:eastAsia="zh-Hans"/>
        </w:rPr>
        <w:t>加注“HMT”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Hans"/>
        </w:rPr>
        <w:t>“FOR”字样。</w:t>
      </w:r>
      <w:r>
        <w:rPr>
          <w:rFonts w:hint="eastAsia" w:ascii="Times New Roman" w:hAnsi="Times New Roman" w:eastAsia="仿宋_GB2312" w:cs="Times New Roman"/>
          <w:color w:val="auto"/>
          <w:sz w:val="32"/>
          <w:szCs w:val="32"/>
          <w:lang w:val="en-US" w:eastAsia="zh-CN"/>
        </w:rPr>
        <w:t>南沙人才卡类别及标识可</w:t>
      </w:r>
      <w:r>
        <w:rPr>
          <w:rFonts w:hint="eastAsia" w:ascii="Times New Roman" w:hAnsi="Times New Roman" w:eastAsia="仿宋_GB2312" w:cs="Times New Roman"/>
          <w:color w:val="auto"/>
          <w:sz w:val="32"/>
          <w:szCs w:val="32"/>
          <w:lang w:val="en-US" w:eastAsia="zh-Hans"/>
        </w:rPr>
        <w:t>根据实施情况适时调整</w:t>
      </w:r>
      <w:r>
        <w:rPr>
          <w:rFonts w:hint="eastAsia" w:ascii="Times New Roman" w:hAnsi="Times New Roman" w:eastAsia="仿宋_GB2312" w:cs="Times New Roman"/>
          <w:color w:val="auto"/>
          <w:sz w:val="32"/>
          <w:szCs w:val="32"/>
          <w:lang w:val="en-US" w:eastAsia="zh-CN"/>
        </w:rPr>
        <w:t>。</w:t>
      </w:r>
    </w:p>
    <w:p>
      <w:pPr>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（二）南沙人才卡副卡。</w:t>
      </w:r>
      <w:r>
        <w:rPr>
          <w:rFonts w:hint="eastAsia" w:ascii="Times New Roman" w:hAnsi="Times New Roman" w:eastAsia="仿宋_GB2312" w:cs="Times New Roman"/>
          <w:color w:val="auto"/>
          <w:sz w:val="32"/>
          <w:szCs w:val="32"/>
          <w:lang w:val="en-US" w:eastAsia="zh-CN"/>
        </w:rPr>
        <w:t>南沙人才卡副卡与主卡之间为从属关系，仅面向A卡持卡人的配偶、子女、父母、配偶父母发放，作为人才亲属享受相关服务待遇的凭证。</w:t>
      </w:r>
    </w:p>
    <w:p>
      <w:pPr>
        <w:pageBreakBefore w:val="0"/>
        <w:kinsoku/>
        <w:wordWrap/>
        <w:overflowPunct/>
        <w:topLinePunct w:val="0"/>
        <w:autoSpaceDE/>
        <w:autoSpaceDN/>
        <w:bidi w:val="0"/>
        <w:spacing w:line="58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三、申领条件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（一）在南沙区工作，申领时在</w:t>
      </w:r>
      <w:r>
        <w:rPr>
          <w:rFonts w:hint="eastAsia" w:ascii="仿宋_GB2312" w:hAnsi="仿宋_GB2312" w:eastAsia="仿宋_GB2312" w:cs="仿宋_GB2312"/>
          <w:color w:val="auto"/>
          <w:kern w:val="0"/>
          <w:sz w:val="32"/>
          <w:szCs w:val="32"/>
          <w:lang w:val="en-US" w:eastAsia="zh-CN"/>
        </w:rPr>
        <w:t>南沙区参加城镇职工社会保险。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（二）具备以下申领资格之一：</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2"/>
        <w:gridCol w:w="3223"/>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eastAsia" w:ascii="黑体" w:hAnsi="黑体" w:eastAsia="黑体" w:cs="黑体"/>
                <w:color w:val="auto"/>
                <w:sz w:val="24"/>
                <w:szCs w:val="24"/>
                <w:u w:val="none"/>
                <w:vertAlign w:val="baseline"/>
                <w:lang w:val="en-US" w:eastAsia="zh-CN"/>
              </w:rPr>
            </w:pPr>
            <w:r>
              <w:rPr>
                <w:rFonts w:hint="eastAsia" w:ascii="黑体" w:hAnsi="黑体" w:eastAsia="黑体" w:cs="黑体"/>
                <w:color w:val="auto"/>
                <w:sz w:val="24"/>
                <w:szCs w:val="24"/>
                <w:u w:val="none"/>
                <w:vertAlign w:val="baseline"/>
                <w:lang w:val="en-US" w:eastAsia="zh-CN"/>
              </w:rPr>
              <w:t>南沙人才主卡</w:t>
            </w:r>
          </w:p>
        </w:tc>
        <w:tc>
          <w:tcPr>
            <w:tcW w:w="718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黑体" w:hAnsi="黑体" w:eastAsia="黑体" w:cs="黑体"/>
                <w:color w:val="auto"/>
                <w:sz w:val="24"/>
                <w:szCs w:val="24"/>
                <w:u w:val="none"/>
                <w:vertAlign w:val="baseline"/>
                <w:lang w:val="en-US" w:eastAsia="zh-CN"/>
              </w:rPr>
            </w:pPr>
            <w:r>
              <w:rPr>
                <w:rFonts w:hint="eastAsia" w:ascii="黑体" w:hAnsi="黑体" w:eastAsia="黑体" w:cs="黑体"/>
                <w:color w:val="auto"/>
                <w:sz w:val="24"/>
                <w:szCs w:val="24"/>
                <w:u w:val="none"/>
                <w:vertAlign w:val="baseline"/>
                <w:lang w:val="en-US" w:eastAsia="zh-CN"/>
              </w:rPr>
              <w:t>申领资格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auto"/>
              <w:rPr>
                <w:rFonts w:hint="eastAsia" w:ascii="黑体" w:hAnsi="黑体" w:eastAsia="黑体" w:cs="黑体"/>
                <w:color w:val="auto"/>
                <w:sz w:val="24"/>
                <w:szCs w:val="24"/>
                <w:u w:val="none"/>
                <w:vertAlign w:val="baseline"/>
                <w:lang w:val="en-US" w:eastAsia="zh-CN"/>
              </w:rPr>
            </w:pPr>
          </w:p>
        </w:tc>
        <w:tc>
          <w:tcPr>
            <w:tcW w:w="32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eastAsia" w:ascii="黑体" w:hAnsi="黑体" w:eastAsia="黑体" w:cs="黑体"/>
                <w:color w:val="auto"/>
                <w:sz w:val="24"/>
                <w:szCs w:val="24"/>
                <w:u w:val="none"/>
                <w:vertAlign w:val="baseline"/>
                <w:lang w:val="en-US" w:eastAsia="zh-CN"/>
              </w:rPr>
            </w:pPr>
            <w:r>
              <w:rPr>
                <w:rFonts w:hint="eastAsia" w:ascii="黑体" w:hAnsi="黑体" w:eastAsia="黑体" w:cs="黑体"/>
                <w:color w:val="auto"/>
                <w:sz w:val="24"/>
                <w:szCs w:val="24"/>
                <w:u w:val="none"/>
                <w:vertAlign w:val="baseline"/>
                <w:lang w:val="en-US" w:eastAsia="zh-CN"/>
              </w:rPr>
              <w:t>已参加南沙相关评定程序的人才</w:t>
            </w:r>
          </w:p>
        </w:tc>
        <w:tc>
          <w:tcPr>
            <w:tcW w:w="3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eastAsia" w:ascii="黑体" w:hAnsi="黑体" w:eastAsia="黑体" w:cs="黑体"/>
                <w:color w:val="auto"/>
                <w:sz w:val="24"/>
                <w:szCs w:val="24"/>
                <w:u w:val="none"/>
                <w:vertAlign w:val="baseline"/>
                <w:lang w:val="en-US" w:eastAsia="zh-CN"/>
              </w:rPr>
            </w:pPr>
            <w:r>
              <w:rPr>
                <w:rFonts w:hint="eastAsia" w:ascii="黑体" w:hAnsi="黑体" w:eastAsia="黑体" w:cs="黑体"/>
                <w:color w:val="auto"/>
                <w:sz w:val="24"/>
                <w:szCs w:val="24"/>
                <w:u w:val="none"/>
                <w:vertAlign w:val="baseline"/>
                <w:lang w:val="en-US" w:eastAsia="zh-CN"/>
              </w:rPr>
              <w:t>未参加南沙相关评定程序的人才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A卡</w:t>
            </w:r>
          </w:p>
        </w:tc>
        <w:tc>
          <w:tcPr>
            <w:tcW w:w="32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auto"/>
              <w:rPr>
                <w:rFonts w:hint="default"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1.本区评定的领军人才、杰出人才、优秀人才、菁英人才；2.招商大使。</w:t>
            </w:r>
          </w:p>
        </w:tc>
        <w:tc>
          <w:tcPr>
            <w:tcW w:w="3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广东省人才优粤卡</w:t>
            </w:r>
            <w:r>
              <w:rPr>
                <w:rFonts w:hint="eastAsia" w:ascii="仿宋_GB2312" w:hAnsi="仿宋_GB2312" w:eastAsia="仿宋_GB2312" w:cs="仿宋_GB2312"/>
                <w:color w:val="auto"/>
                <w:sz w:val="24"/>
                <w:szCs w:val="24"/>
                <w:u w:val="none"/>
                <w:vertAlign w:val="baseline"/>
                <w:lang w:val="en-US" w:eastAsia="zh-CN"/>
              </w:rPr>
              <w:t>持卡人；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2.广州市评定的高层次人才。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B卡</w:t>
            </w: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B-1卡</w:t>
            </w:r>
          </w:p>
        </w:tc>
        <w:tc>
          <w:tcPr>
            <w:tcW w:w="32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1.持有南沙区外国人工作许可证A类人员；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2.高管人才。</w:t>
            </w:r>
          </w:p>
        </w:tc>
        <w:tc>
          <w:tcPr>
            <w:tcW w:w="3964" w:type="dxa"/>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ascii="仿宋_GB2312" w:hAnsi="宋体" w:eastAsia="仿宋_GB2312" w:cs="仿宋_GB2312"/>
                <w:color w:val="000000"/>
                <w:kern w:val="0"/>
                <w:sz w:val="24"/>
                <w:szCs w:val="24"/>
                <w:lang w:val="en-US" w:eastAsia="zh-CN" w:bidi="ar"/>
              </w:rPr>
              <w:t xml:space="preserve">具有博士学位的人才；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仿宋_GB2312" w:hAnsi="宋体" w:eastAsia="仿宋_GB2312" w:cs="仿宋_GB2312"/>
                <w:color w:val="000000"/>
                <w:kern w:val="0"/>
                <w:sz w:val="24"/>
                <w:szCs w:val="24"/>
                <w:lang w:val="en-US" w:eastAsia="zh-CN" w:bidi="ar"/>
              </w:rPr>
              <w:t xml:space="preserve">具有副高级以上职称的人才； </w:t>
            </w:r>
          </w:p>
          <w:p>
            <w:pPr>
              <w:keepNext w:val="0"/>
              <w:keepLines w:val="0"/>
              <w:widowControl/>
              <w:suppressLineNumbers w:val="0"/>
              <w:jc w:val="left"/>
              <w:rPr>
                <w:rFonts w:hint="eastAsia" w:ascii="仿宋_GB2312" w:hAnsi="仿宋_GB2312" w:eastAsia="仿宋_GB2312" w:cs="仿宋_GB2312"/>
                <w:color w:val="auto"/>
                <w:sz w:val="24"/>
                <w:szCs w:val="24"/>
                <w:u w:val="none"/>
                <w:vertAlign w:val="baseline"/>
                <w:lang w:val="en-US" w:eastAsia="zh-CN"/>
              </w:rPr>
            </w:pPr>
            <w:r>
              <w:rPr>
                <w:rFonts w:hint="default" w:ascii="Times New Roman" w:hAnsi="Times New Roman" w:eastAsia="宋体" w:cs="Times New Roman"/>
                <w:color w:val="000000"/>
                <w:kern w:val="0"/>
                <w:sz w:val="24"/>
                <w:szCs w:val="24"/>
                <w:lang w:val="en-US" w:eastAsia="zh-CN" w:bidi="ar"/>
              </w:rPr>
              <w:t>3.</w:t>
            </w:r>
            <w:r>
              <w:rPr>
                <w:rFonts w:hint="eastAsia" w:ascii="仿宋_GB2312" w:hAnsi="宋体" w:eastAsia="仿宋_GB2312" w:cs="仿宋_GB2312"/>
                <w:color w:val="000000"/>
                <w:kern w:val="0"/>
                <w:sz w:val="24"/>
                <w:szCs w:val="24"/>
                <w:lang w:val="en-US" w:eastAsia="zh-CN" w:bidi="ar"/>
              </w:rPr>
              <w:t>具有特级技师技能等级的人才。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仿宋_GB2312" w:cs="Times New Roman"/>
                <w:color w:val="auto"/>
                <w:sz w:val="24"/>
                <w:szCs w:val="24"/>
                <w:u w:val="none"/>
                <w:vertAlign w:val="baseline"/>
                <w:lang w:val="en-US" w:eastAsia="zh-CN"/>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eastAsia" w:ascii="Times New Roman" w:hAnsi="Times New Roman" w:cs="Times New Roman"/>
                <w:color w:val="auto"/>
                <w:sz w:val="24"/>
                <w:szCs w:val="24"/>
                <w:u w:val="none"/>
                <w:vertAlign w:val="baseline"/>
                <w:lang w:val="en-US" w:eastAsia="zh-CN"/>
              </w:rPr>
              <w:t>B-2卡</w:t>
            </w:r>
          </w:p>
        </w:tc>
        <w:tc>
          <w:tcPr>
            <w:tcW w:w="32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1.持有南沙区外国人工作许可证B类人员；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auto"/>
              <w:rPr>
                <w:rFonts w:hint="default"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2.骨干人才。</w:t>
            </w:r>
          </w:p>
        </w:tc>
        <w:tc>
          <w:tcPr>
            <w:tcW w:w="3964" w:type="dxa"/>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ascii="仿宋_GB2312" w:hAnsi="宋体" w:eastAsia="仿宋_GB2312" w:cs="仿宋_GB2312"/>
                <w:color w:val="000000"/>
                <w:kern w:val="0"/>
                <w:sz w:val="24"/>
                <w:szCs w:val="24"/>
                <w:lang w:val="en-US" w:eastAsia="zh-CN" w:bidi="ar"/>
              </w:rPr>
              <w:t xml:space="preserve">具有学士、硕士学位的人才；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仿宋_GB2312" w:hAnsi="宋体" w:eastAsia="仿宋_GB2312" w:cs="仿宋_GB2312"/>
                <w:color w:val="000000"/>
                <w:kern w:val="0"/>
                <w:sz w:val="24"/>
                <w:szCs w:val="24"/>
                <w:lang w:val="en-US" w:eastAsia="zh-CN" w:bidi="ar"/>
              </w:rPr>
              <w:t xml:space="preserve">具有中级职称的人才； </w:t>
            </w:r>
          </w:p>
          <w:p>
            <w:pPr>
              <w:keepNext w:val="0"/>
              <w:keepLines w:val="0"/>
              <w:widowControl/>
              <w:suppressLineNumbers w:val="0"/>
              <w:jc w:val="left"/>
              <w:rPr>
                <w:rFonts w:hint="eastAsia" w:ascii="仿宋_GB2312" w:hAnsi="仿宋_GB2312" w:eastAsia="仿宋_GB2312" w:cs="仿宋_GB2312"/>
                <w:color w:val="auto"/>
                <w:sz w:val="24"/>
                <w:szCs w:val="24"/>
                <w:u w:val="none"/>
                <w:vertAlign w:val="baseline"/>
                <w:lang w:val="en-US" w:eastAsia="zh-CN"/>
              </w:rPr>
            </w:pPr>
            <w:r>
              <w:rPr>
                <w:rFonts w:hint="default" w:ascii="Times New Roman" w:hAnsi="Times New Roman" w:eastAsia="宋体" w:cs="Times New Roman"/>
                <w:color w:val="000000"/>
                <w:kern w:val="0"/>
                <w:sz w:val="24"/>
                <w:szCs w:val="24"/>
                <w:lang w:val="en-US" w:eastAsia="zh-CN" w:bidi="ar"/>
              </w:rPr>
              <w:t>3.</w:t>
            </w:r>
            <w:r>
              <w:rPr>
                <w:rFonts w:hint="eastAsia" w:ascii="仿宋_GB2312" w:hAnsi="宋体" w:eastAsia="仿宋_GB2312" w:cs="仿宋_GB2312"/>
                <w:color w:val="000000"/>
                <w:kern w:val="0"/>
                <w:sz w:val="24"/>
                <w:szCs w:val="24"/>
                <w:lang w:val="en-US" w:eastAsia="zh-CN" w:bidi="ar"/>
              </w:rPr>
              <w:t>具有技师、高级技师技能等级的人才。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仿宋_GB2312" w:cs="Times New Roman"/>
                <w:color w:val="auto"/>
                <w:sz w:val="24"/>
                <w:szCs w:val="24"/>
                <w:u w:val="none"/>
                <w:vertAlign w:val="baseline"/>
                <w:lang w:val="en-US" w:eastAsia="zh-CN"/>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eastAsia="仿宋_GB2312" w:cs="Times New Roman"/>
                <w:color w:val="auto"/>
                <w:kern w:val="2"/>
                <w:sz w:val="24"/>
                <w:szCs w:val="24"/>
                <w:u w:val="none"/>
                <w:vertAlign w:val="baseline"/>
                <w:lang w:val="en-US" w:eastAsia="zh-CN" w:bidi="ar-SA"/>
              </w:rPr>
            </w:pPr>
            <w:r>
              <w:rPr>
                <w:rFonts w:hint="default" w:ascii="Times New Roman" w:hAnsi="Times New Roman" w:eastAsia="仿宋_GB2312" w:cs="Times New Roman"/>
                <w:color w:val="auto"/>
                <w:sz w:val="24"/>
                <w:szCs w:val="24"/>
                <w:u w:val="none"/>
                <w:vertAlign w:val="baseline"/>
                <w:lang w:val="en-US" w:eastAsia="zh-CN"/>
              </w:rPr>
              <w:t>B-</w:t>
            </w:r>
            <w:r>
              <w:rPr>
                <w:rFonts w:hint="default" w:ascii="Times New Roman" w:hAnsi="Times New Roman" w:cs="Times New Roman"/>
                <w:color w:val="auto"/>
                <w:sz w:val="24"/>
                <w:szCs w:val="24"/>
                <w:u w:val="none"/>
                <w:vertAlign w:val="baseline"/>
                <w:lang w:eastAsia="zh-CN"/>
              </w:rPr>
              <w:t>3</w:t>
            </w:r>
            <w:r>
              <w:rPr>
                <w:rFonts w:hint="default" w:ascii="Times New Roman" w:hAnsi="Times New Roman" w:eastAsia="仿宋_GB2312" w:cs="Times New Roman"/>
                <w:color w:val="auto"/>
                <w:sz w:val="24"/>
                <w:szCs w:val="24"/>
                <w:u w:val="none"/>
                <w:vertAlign w:val="baseline"/>
                <w:lang w:val="en-US" w:eastAsia="zh-CN"/>
              </w:rPr>
              <w:t>卡</w:t>
            </w:r>
          </w:p>
        </w:tc>
        <w:tc>
          <w:tcPr>
            <w:tcW w:w="32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w:t>
            </w:r>
          </w:p>
        </w:tc>
        <w:tc>
          <w:tcPr>
            <w:tcW w:w="3964" w:type="dxa"/>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ascii="仿宋_GB2312" w:hAnsi="宋体" w:eastAsia="仿宋_GB2312" w:cs="仿宋_GB2312"/>
                <w:color w:val="000000"/>
                <w:kern w:val="0"/>
                <w:sz w:val="24"/>
                <w:szCs w:val="24"/>
                <w:lang w:val="en-US" w:eastAsia="zh-CN" w:bidi="ar"/>
              </w:rPr>
              <w:t xml:space="preserve">具有大专学历的人才；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仿宋_GB2312" w:hAnsi="宋体" w:eastAsia="仿宋_GB2312" w:cs="仿宋_GB2312"/>
                <w:color w:val="000000"/>
                <w:kern w:val="0"/>
                <w:sz w:val="24"/>
                <w:szCs w:val="24"/>
                <w:lang w:val="en-US" w:eastAsia="zh-CN" w:bidi="ar"/>
              </w:rPr>
              <w:t xml:space="preserve">具有初级职称的人才； </w:t>
            </w:r>
          </w:p>
          <w:p>
            <w:pPr>
              <w:keepNext w:val="0"/>
              <w:keepLines w:val="0"/>
              <w:widowControl/>
              <w:suppressLineNumbers w:val="0"/>
              <w:jc w:val="left"/>
              <w:rPr>
                <w:rFonts w:hint="eastAsia" w:ascii="仿宋_GB2312" w:hAnsi="仿宋_GB2312" w:eastAsia="仿宋_GB2312" w:cs="仿宋_GB2312"/>
                <w:color w:val="auto"/>
                <w:sz w:val="24"/>
                <w:szCs w:val="24"/>
                <w:u w:val="none"/>
                <w:vertAlign w:val="baseline"/>
                <w:lang w:val="en-US" w:eastAsia="zh-CN"/>
              </w:rPr>
            </w:pPr>
            <w:r>
              <w:rPr>
                <w:rFonts w:hint="default" w:ascii="Times New Roman" w:hAnsi="Times New Roman" w:eastAsia="宋体" w:cs="Times New Roman"/>
                <w:color w:val="000000"/>
                <w:kern w:val="0"/>
                <w:sz w:val="24"/>
                <w:szCs w:val="24"/>
                <w:lang w:val="en-US" w:eastAsia="zh-CN" w:bidi="ar"/>
              </w:rPr>
              <w:t>3.</w:t>
            </w:r>
            <w:r>
              <w:rPr>
                <w:rFonts w:hint="eastAsia" w:ascii="仿宋_GB2312" w:hAnsi="宋体" w:eastAsia="仿宋_GB2312" w:cs="仿宋_GB2312"/>
                <w:color w:val="000000"/>
                <w:kern w:val="0"/>
                <w:sz w:val="24"/>
                <w:szCs w:val="24"/>
                <w:lang w:val="en-US" w:eastAsia="zh-CN" w:bidi="ar"/>
              </w:rPr>
              <w:t>具有高级工技能等级的人才。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291" w:type="dxa"/>
            <w:gridSpan w:val="4"/>
            <w:tcBorders>
              <w:bottom w:val="single" w:color="auto" w:sz="4" w:space="0"/>
            </w:tcBorders>
            <w:noWrap w:val="0"/>
            <w:vAlign w:val="center"/>
          </w:tcPr>
          <w:p>
            <w:pPr>
              <w:keepNext w:val="0"/>
              <w:keepLines w:val="0"/>
              <w:widowControl/>
              <w:suppressLineNumbers w:val="0"/>
              <w:jc w:val="left"/>
              <w:rPr>
                <w:rFonts w:hint="default"/>
                <w:lang w:val="en-US" w:eastAsia="zh-CN"/>
              </w:rPr>
            </w:pPr>
            <w:r>
              <w:rPr>
                <w:rFonts w:hint="eastAsia" w:ascii="黑体" w:hAnsi="宋体" w:eastAsia="黑体" w:cs="黑体"/>
                <w:color w:val="000000"/>
                <w:kern w:val="0"/>
                <w:sz w:val="24"/>
                <w:szCs w:val="24"/>
                <w:lang w:val="en-US" w:eastAsia="zh-CN" w:bidi="ar"/>
              </w:rPr>
              <w:t>备注</w:t>
            </w:r>
            <w:r>
              <w:rPr>
                <w:rFonts w:ascii="黑体" w:hAnsi="宋体" w:eastAsia="黑体" w:cs="黑体"/>
                <w:color w:val="000000"/>
                <w:kern w:val="0"/>
                <w:sz w:val="24"/>
                <w:szCs w:val="24"/>
                <w:lang w:val="en-US" w:eastAsia="zh-CN" w:bidi="ar"/>
              </w:rPr>
              <w:t>：</w:t>
            </w:r>
            <w:r>
              <w:rPr>
                <w:rFonts w:hint="eastAsia" w:ascii="仿宋_GB2312" w:hAnsi="仿宋_GB2312" w:eastAsia="仿宋_GB2312" w:cs="仿宋_GB2312"/>
                <w:color w:val="000000"/>
                <w:kern w:val="0"/>
                <w:sz w:val="24"/>
                <w:szCs w:val="24"/>
                <w:lang w:val="en-US" w:eastAsia="zh-CN" w:bidi="ar"/>
              </w:rPr>
              <w:t>表中所列专业技术人才、技能人才所持有的资质证书，应在本区急需紧缺技能等级、职称目录内，具体以责任单位动态发布的为准。</w:t>
            </w:r>
          </w:p>
        </w:tc>
      </w:tr>
    </w:tbl>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人才优粤卡持卡人、广州市评定的高层次人才申领南沙人才卡A卡的，申领人应与所在单位建立劳动关系，依法在本区缴纳个人所得税和社会保险（中央、省属、市属驻区单位人员以及境外人员提供劳动合同，可不受在本区缴纳社会保险条件限制）；其所在单位的注册登记地、主管税务机关、统计关系应在本区，具有独立法人资格（含视同法人单位的专业服务机构），且在本区实际办公（经营场地面积按不低于单位在本区缴纳个人所得税员工人数三分之一、人均10平方米核算），区内高校、科研机构、机关事业单位、区属国企、规上工业企业、享受南沙企业所得税优惠政策的企业、经管委会或区政府审定与本区签订投资协议的重点招商引资项目，可直接确认符合实际办公条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对于不符合相关条件但对本区作出重要贡献的人才，经区委人才工作领导小组审定可申领南沙人才卡A卡，经区委人才工作领导小组办公室审定可申领南沙人才卡B卡。</w:t>
      </w:r>
    </w:p>
    <w:p>
      <w:pPr>
        <w:keepNext w:val="0"/>
        <w:keepLines w:val="0"/>
        <w:pageBreakBefore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trike w:val="0"/>
          <w:color w:val="auto"/>
          <w:sz w:val="32"/>
          <w:szCs w:val="32"/>
          <w:highlight w:val="none"/>
          <w:u w:val="none" w:color="auto"/>
          <w:lang w:val="en-US" w:eastAsia="zh-CN"/>
        </w:rPr>
      </w:pPr>
      <w:r>
        <w:rPr>
          <w:rFonts w:hint="eastAsia" w:ascii="黑体" w:hAnsi="黑体" w:eastAsia="黑体" w:cs="黑体"/>
          <w:strike w:val="0"/>
          <w:color w:val="auto"/>
          <w:sz w:val="32"/>
          <w:szCs w:val="32"/>
          <w:highlight w:val="none"/>
          <w:u w:val="none" w:color="auto"/>
          <w:lang w:val="en-US" w:eastAsia="zh-CN"/>
        </w:rPr>
        <w:t>四、持卡待遇</w:t>
      </w:r>
    </w:p>
    <w:p>
      <w:pPr>
        <w:keepNext w:val="0"/>
        <w:keepLines w:val="0"/>
        <w:pageBreakBefore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根据持卡类型享受子女教育、人才安居、健康医疗等专属服务，具体以最新发布的《广州南沙人才卡服务清单》为准。</w:t>
      </w:r>
    </w:p>
    <w:p>
      <w:pPr>
        <w:keepNext w:val="0"/>
        <w:keepLines w:val="0"/>
        <w:pageBreakBefore w:val="0"/>
        <w:numPr>
          <w:ilvl w:val="0"/>
          <w:numId w:val="0"/>
        </w:numPr>
        <w:tabs>
          <w:tab w:val="left" w:pos="0"/>
        </w:tabs>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trike w:val="0"/>
          <w:color w:val="auto"/>
          <w:sz w:val="32"/>
          <w:szCs w:val="32"/>
          <w:highlight w:val="none"/>
          <w:u w:val="none" w:color="auto"/>
          <w:lang w:val="en-US" w:eastAsia="zh-CN"/>
        </w:rPr>
      </w:pPr>
      <w:r>
        <w:rPr>
          <w:rFonts w:hint="eastAsia" w:ascii="黑体" w:hAnsi="黑体" w:eastAsia="黑体" w:cs="黑体"/>
          <w:strike w:val="0"/>
          <w:color w:val="auto"/>
          <w:sz w:val="32"/>
          <w:szCs w:val="32"/>
          <w:highlight w:val="none"/>
          <w:u w:val="none" w:color="auto"/>
          <w:lang w:val="en-US" w:eastAsia="zh-CN"/>
        </w:rPr>
        <w:t>五、申请材料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（一）必备材料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1.资格认定材料（</w:t>
      </w:r>
      <w:r>
        <w:rPr>
          <w:rFonts w:hint="eastAsia" w:ascii="仿宋_GB2312" w:hAnsi="微软雅黑" w:eastAsia="仿宋_GB2312" w:cs="宋体"/>
          <w:color w:val="auto"/>
          <w:kern w:val="0"/>
          <w:sz w:val="32"/>
          <w:szCs w:val="32"/>
          <w:lang w:val="en-US" w:eastAsia="zh-CN"/>
        </w:rPr>
        <w:t>原色照片或扫描件</w:t>
      </w:r>
      <w:r>
        <w:rPr>
          <w:rFonts w:hint="eastAsia" w:ascii="仿宋_GB2312" w:hAnsi="仿宋_GB2312" w:eastAsia="仿宋_GB2312" w:cs="仿宋_GB2312"/>
          <w:color w:val="auto"/>
          <w:kern w:val="0"/>
          <w:sz w:val="32"/>
          <w:szCs w:val="32"/>
          <w:lang w:val="en-US" w:eastAsia="zh-CN"/>
        </w:rPr>
        <w:t>）。</w:t>
      </w:r>
      <w:r>
        <w:rPr>
          <w:rFonts w:hint="eastAsia" w:ascii="仿宋_GB2312" w:hAnsi="微软雅黑" w:eastAsia="仿宋_GB2312" w:cs="宋体"/>
          <w:color w:val="auto"/>
          <w:kern w:val="0"/>
          <w:sz w:val="32"/>
          <w:szCs w:val="32"/>
          <w:lang w:val="en-US" w:eastAsia="zh-CN"/>
        </w:rPr>
        <w:t>人才资格认定材料详见下表：</w:t>
      </w:r>
    </w:p>
    <w:p>
      <w:pPr>
        <w:bidi w:val="0"/>
        <w:rPr>
          <w:rFonts w:hint="eastAsia"/>
          <w:lang w:val="en-US" w:eastAsia="zh-CN"/>
        </w:rPr>
      </w:pPr>
    </w:p>
    <w:tbl>
      <w:tblPr>
        <w:tblStyle w:val="9"/>
        <w:tblW w:w="9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3361"/>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人才类型</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资格认定材料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广东省人才优粤卡持卡人、广州市评定的高层次人才</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rPr>
            </w:pPr>
            <w:r>
              <w:rPr>
                <w:rFonts w:hint="eastAsia" w:ascii="仿宋_GB2312" w:hAnsi="微软雅黑" w:eastAsia="仿宋_GB2312" w:cs="宋体"/>
                <w:color w:val="auto"/>
                <w:kern w:val="0"/>
                <w:sz w:val="32"/>
                <w:szCs w:val="32"/>
                <w:lang w:val="en-US" w:eastAsia="zh-CN"/>
              </w:rPr>
              <w:t>有关部门颁发的证书</w:t>
            </w:r>
            <w:r>
              <w:rPr>
                <w:rFonts w:hint="eastAsia" w:ascii="仿宋_GB2312" w:hAnsi="宋体"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南沙区评定的领军人才、杰出人才、优秀人才、菁英人才、招商大使、高管人才、骨干人才</w:t>
            </w:r>
          </w:p>
        </w:tc>
        <w:tc>
          <w:tcPr>
            <w:tcW w:w="5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无需提供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1" w:hRule="atLeast"/>
          <w:jc w:val="center"/>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其他类型人才</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根据人才类型提供学历及学位证书、专业技术人员资格证书（职称证书）、国家职业资格证书（含专业技术人员职业资格及技能人员职业资格）、外国人工作许可证等其中一项证书。</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注：上述证书须可通过学信网、全国专业技术人员职业资格证书查询验证系统、广东省专业技术人才职称管理系统、技能人才评价证书全国联网查询系统等公开官方权威平台进行验证。属于单位自主评审职称或无法通过公开查询渠道查验职称证书的，须提供相关职称评审表及人社部授权书。学历、学位证书无法通过学信网查验的，须提供教育部门出具的认证报告。</w:t>
            </w:r>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2.承诺书（附件）。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auto"/>
          <w:kern w:val="0"/>
          <w:sz w:val="32"/>
          <w:szCs w:val="32"/>
          <w:lang w:val="en-US" w:eastAsia="zh-CN"/>
        </w:rPr>
        <w:t>（二）其他材料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境外及外籍申领人请根据情况提供下表有效身份证件之一的原色照片或扫描件。</w:t>
      </w:r>
    </w:p>
    <w:tbl>
      <w:tblPr>
        <w:tblStyle w:val="9"/>
        <w:tblW w:w="9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41"/>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人才类别</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外国国籍人士</w:t>
            </w:r>
          </w:p>
        </w:tc>
        <w:tc>
          <w:tcPr>
            <w:tcW w:w="5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护照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港澳居民</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1.香港、澳门地区永久性居民身份证</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2.港澳居民来往内地通行证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取得国外长期（或永久）居留权的海外华侨</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中国护照（或居民身份证）、国外长期（或永久）居留凭证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3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取得国外长期（或永久）居留权的归国留学人才</w:t>
            </w:r>
          </w:p>
        </w:tc>
        <w:tc>
          <w:tcPr>
            <w:tcW w:w="5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中国护照（或居民身份证）、国外长期（或永久）居留凭证、《国外学历学位认证书》或留学回国人员证明</w:t>
            </w:r>
          </w:p>
        </w:tc>
      </w:tr>
    </w:tbl>
    <w:p>
      <w:pPr>
        <w:pageBreakBefore w:val="0"/>
        <w:widowControl/>
        <w:kinsoku/>
        <w:wordWrap/>
        <w:overflowPunct/>
        <w:topLinePunct w:val="0"/>
        <w:autoSpaceDE/>
        <w:autoSpaceDN/>
        <w:bidi w:val="0"/>
        <w:spacing w:line="580" w:lineRule="exact"/>
        <w:ind w:firstLine="640" w:firstLineChars="200"/>
        <w:jc w:val="left"/>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sz w:val="32"/>
          <w:szCs w:val="32"/>
          <w:highlight w:val="none"/>
          <w:lang w:val="en-US" w:eastAsia="zh-CN"/>
        </w:rPr>
        <w:t>注：</w:t>
      </w:r>
      <w:r>
        <w:rPr>
          <w:rFonts w:hint="eastAsia" w:ascii="楷体_GB2312" w:hAnsi="楷体_GB2312" w:eastAsia="楷体_GB2312" w:cs="楷体_GB2312"/>
          <w:color w:val="auto"/>
          <w:sz w:val="32"/>
          <w:szCs w:val="32"/>
          <w:highlight w:val="none"/>
        </w:rPr>
        <w:t>审核部门如对申请人提供的国外长期（或永久）居留证存疑时，可以要求申请人提供住在国中国使领馆出具的长期（或永久）居留权公证书、认证书或住在国驻华使领馆出具的公证书和住在国居留记录。</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六、申请流程</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（一）申请人通过“才汇南沙”微信小程序进行微信实名认证。</w:t>
      </w:r>
    </w:p>
    <w:p>
      <w:pPr>
        <w:pageBreakBefore w:val="0"/>
        <w:widowControl/>
        <w:kinsoku/>
        <w:wordWrap/>
        <w:overflowPunct/>
        <w:topLinePunct w:val="0"/>
        <w:autoSpaceDE/>
        <w:autoSpaceDN/>
        <w:bidi w:val="0"/>
        <w:spacing w:line="580" w:lineRule="exact"/>
        <w:ind w:firstLine="640" w:firstLineChars="200"/>
        <w:jc w:val="left"/>
        <w:textAlignment w:val="auto"/>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（二）点击“人才卡申请”填报个人信息并上传申请材料。</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（三）业务部门审核通过后，合作银行将联系申领人办理实体卡发放事宜。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（一）存在下列情形之一的，将取消申领人持卡资格</w:t>
      </w:r>
      <w:r>
        <w:rPr>
          <w:rFonts w:hint="eastAsia" w:ascii="Times New Roman" w:hAnsi="Times New Roman" w:eastAsia="仿宋_GB2312" w:cs="Times New Roman"/>
          <w:color w:val="auto"/>
          <w:sz w:val="32"/>
          <w:szCs w:val="32"/>
          <w:lang w:val="en-US" w:eastAsia="zh-CN"/>
        </w:rPr>
        <w:t>，终止其享受的相关服务：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1.提供虚假申请材料的。</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2.违反职业道德，学术不端造成恶劣影响的。</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3.被列入严重失信主体名单的。</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宋体" w:eastAsia="仿宋_GB2312" w:cs="仿宋_GB2312"/>
          <w:color w:val="000000"/>
          <w:kern w:val="0"/>
          <w:sz w:val="31"/>
          <w:szCs w:val="31"/>
          <w:lang w:val="en-US" w:eastAsia="zh-CN" w:bidi="ar"/>
        </w:rPr>
        <w:t>4.存在其他违反法律、法规行为或其他需要取消情形的</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（二）机关事业单位（科研机构除外）在编人员、法定机构员工原则上不适用本指南。</w:t>
      </w:r>
    </w:p>
    <w:p>
      <w:pPr>
        <w:keepNext w:val="0"/>
        <w:keepLines w:val="0"/>
        <w:pageBreakBefore w:val="0"/>
        <w:widowControl w:val="0"/>
        <w:kinsoku/>
        <w:wordWrap/>
        <w:overflowPunct/>
        <w:topLinePunct w:val="0"/>
        <w:autoSpaceDE/>
        <w:autoSpaceDN/>
        <w:bidi w:val="0"/>
        <w:adjustRightInd w:val="0"/>
        <w:snapToGrid w:val="0"/>
        <w:spacing w:line="580" w:lineRule="exact"/>
        <w:ind w:firstLine="620"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对已按照《广州南沙新区(自贸片区)集聚人才创新发展若干措施》评定的高端领军人才发放A卡，对已申领B卡的高端领军人才统一更换A卡；已申领B卡的其他类型人才无需更换实体卡，南沙人才卡管理平台将统一更换虚拟卡持卡类型标识。</w:t>
      </w:r>
    </w:p>
    <w:p>
      <w:pPr>
        <w:pageBreakBefore w:val="0"/>
        <w:widowControl/>
        <w:kinsoku/>
        <w:wordWrap/>
        <w:overflowPunct/>
        <w:topLinePunct w:val="0"/>
        <w:autoSpaceDE/>
        <w:autoSpaceDN/>
        <w:bidi w:val="0"/>
        <w:spacing w:line="58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黑体"/>
          <w:color w:val="auto"/>
          <w:kern w:val="0"/>
          <w:sz w:val="32"/>
          <w:szCs w:val="32"/>
          <w:lang w:val="en-US" w:eastAsia="zh-CN"/>
        </w:rPr>
        <w:t>八</w:t>
      </w:r>
      <w:r>
        <w:rPr>
          <w:rFonts w:hint="eastAsia" w:ascii="黑体" w:hAnsi="黑体" w:eastAsia="黑体" w:cs="黑体"/>
          <w:color w:val="auto"/>
          <w:kern w:val="0"/>
          <w:sz w:val="32"/>
          <w:szCs w:val="32"/>
        </w:rPr>
        <w:t>、业务咨询电话</w:t>
      </w:r>
    </w:p>
    <w:p>
      <w:pPr>
        <w:pageBreakBefore w:val="0"/>
        <w:widowControl/>
        <w:kinsoku/>
        <w:wordWrap/>
        <w:overflowPunct/>
        <w:topLinePunct w:val="0"/>
        <w:autoSpaceDE/>
        <w:autoSpaceDN/>
        <w:bidi w:val="0"/>
        <w:spacing w:line="580" w:lineRule="exact"/>
        <w:ind w:left="640" w:hanging="640" w:hangingChars="200"/>
        <w:jc w:val="left"/>
        <w:textAlignment w:val="auto"/>
        <w:rPr>
          <w:rFonts w:hint="eastAsia" w:ascii="仿宋_GB2312" w:hAnsi="微软雅黑" w:eastAsia="仿宋_GB2312" w:cs="宋体"/>
          <w:b w:val="0"/>
          <w:bCs w:val="0"/>
          <w:color w:val="auto"/>
          <w:kern w:val="0"/>
          <w:sz w:val="32"/>
          <w:szCs w:val="32"/>
        </w:rPr>
      </w:pPr>
      <w:r>
        <w:rPr>
          <w:rFonts w:hint="eastAsia" w:ascii="仿宋_GB2312" w:hAnsi="微软雅黑" w:eastAsia="仿宋_GB2312" w:cs="宋体"/>
          <w:b w:val="0"/>
          <w:bCs w:val="0"/>
          <w:color w:val="auto"/>
          <w:kern w:val="0"/>
          <w:sz w:val="32"/>
          <w:szCs w:val="32"/>
        </w:rPr>
        <w:t xml:space="preserve">    业务咨询部门：</w:t>
      </w:r>
      <w:r>
        <w:rPr>
          <w:rFonts w:hint="eastAsia" w:ascii="仿宋_GB2312" w:hAnsi="微软雅黑" w:eastAsia="仿宋_GB2312" w:cs="宋体"/>
          <w:b w:val="0"/>
          <w:bCs w:val="0"/>
          <w:color w:val="auto"/>
          <w:kern w:val="0"/>
          <w:sz w:val="32"/>
          <w:szCs w:val="32"/>
          <w:lang w:val="en-US" w:eastAsia="zh-CN"/>
        </w:rPr>
        <w:t>广州市南沙区人力资源和社会保障局</w:t>
      </w:r>
      <w:r>
        <w:rPr>
          <w:rFonts w:hint="eastAsia" w:ascii="仿宋_GB2312" w:hAnsi="微软雅黑" w:eastAsia="仿宋_GB2312" w:cs="宋体"/>
          <w:b w:val="0"/>
          <w:bCs w:val="0"/>
          <w:color w:val="auto"/>
          <w:kern w:val="0"/>
          <w:sz w:val="32"/>
          <w:szCs w:val="32"/>
        </w:rPr>
        <w:t xml:space="preserve">    联系电话：</w:t>
      </w:r>
      <w:r>
        <w:rPr>
          <w:rFonts w:hint="eastAsia" w:ascii="仿宋_GB2312" w:hAnsi="仿宋_GB2312" w:eastAsia="仿宋_GB2312" w:cs="仿宋_GB2312"/>
          <w:b w:val="0"/>
          <w:bCs w:val="0"/>
          <w:color w:val="auto"/>
          <w:kern w:val="0"/>
          <w:sz w:val="32"/>
          <w:szCs w:val="32"/>
          <w:lang w:bidi="ar"/>
        </w:rPr>
        <w:t>020-</w:t>
      </w:r>
      <w:r>
        <w:rPr>
          <w:rFonts w:hint="eastAsia" w:ascii="仿宋_GB2312" w:hAnsi="仿宋_GB2312" w:eastAsia="仿宋_GB2312" w:cs="仿宋_GB2312"/>
          <w:b w:val="0"/>
          <w:bCs w:val="0"/>
          <w:color w:val="auto"/>
          <w:kern w:val="0"/>
          <w:sz w:val="32"/>
          <w:szCs w:val="32"/>
          <w:lang w:eastAsia="zh-CN" w:bidi="ar"/>
        </w:rPr>
        <w:t>8</w:t>
      </w:r>
      <w:r>
        <w:rPr>
          <w:rFonts w:hint="eastAsia" w:ascii="仿宋_GB2312" w:hAnsi="仿宋_GB2312" w:eastAsia="仿宋_GB2312" w:cs="仿宋_GB2312"/>
          <w:b w:val="0"/>
          <w:bCs w:val="0"/>
          <w:color w:val="auto"/>
          <w:kern w:val="0"/>
          <w:sz w:val="32"/>
          <w:szCs w:val="32"/>
          <w:lang w:val="en-US" w:eastAsia="zh-CN" w:bidi="ar"/>
        </w:rPr>
        <w:t>6936204</w:t>
      </w:r>
    </w:p>
    <w:p>
      <w:pPr>
        <w:bidi w:val="0"/>
        <w:rPr>
          <w:rFonts w:hint="eastAsia"/>
          <w:sz w:val="32"/>
          <w:szCs w:val="32"/>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附件：承诺书</w:t>
      </w:r>
    </w:p>
    <w:p>
      <w:pPr>
        <w:bidi w:val="0"/>
        <w:rPr>
          <w:rFonts w:hint="eastAsia"/>
          <w:lang w:val="en-US" w:eastAsia="zh-CN"/>
        </w:rPr>
      </w:pPr>
    </w:p>
    <w:p>
      <w:pPr>
        <w:pStyle w:val="2"/>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承诺书</w:t>
      </w:r>
    </w:p>
    <w:p>
      <w:pPr>
        <w:rPr>
          <w:rFonts w:ascii="仿宋_GB2312" w:hAnsi="仿宋_GB2312" w:eastAsia="仿宋_GB2312" w:cs="仿宋_GB2312"/>
          <w:sz w:val="32"/>
          <w:szCs w:val="32"/>
          <w:highlight w:val="none"/>
        </w:rPr>
      </w:pPr>
    </w:p>
    <w:p>
      <w:pPr>
        <w:numPr>
          <w:ilvl w:val="0"/>
          <w:numId w:val="1"/>
        </w:num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本人自愿</w:t>
      </w:r>
      <w:r>
        <w:rPr>
          <w:rFonts w:hint="eastAsia" w:ascii="Times New Roman" w:hAnsi="Times New Roman" w:eastAsia="仿宋_GB2312" w:cs="Times New Roman"/>
          <w:sz w:val="32"/>
          <w:szCs w:val="32"/>
          <w:highlight w:val="none"/>
          <w:lang w:val="en-US" w:eastAsia="zh-CN"/>
        </w:rPr>
        <w:t>申领广州南沙人才卡</w:t>
      </w:r>
      <w:r>
        <w:rPr>
          <w:rFonts w:hint="default" w:ascii="Times New Roman" w:hAnsi="Times New Roman" w:eastAsia="仿宋_GB2312" w:cs="Times New Roman"/>
          <w:sz w:val="32"/>
          <w:szCs w:val="32"/>
          <w:highlight w:val="none"/>
          <w:lang w:val="en-US" w:eastAsia="zh-CN"/>
        </w:rPr>
        <w:t>。</w:t>
      </w:r>
    </w:p>
    <w:p>
      <w:pPr>
        <w:numPr>
          <w:ilvl w:val="0"/>
          <w:numId w:val="1"/>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本人承诺不存在以下情况：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宋体" w:eastAsia="仿宋_GB2312" w:cs="仿宋_GB2312"/>
          <w:color w:val="000000"/>
          <w:kern w:val="0"/>
          <w:sz w:val="31"/>
          <w:szCs w:val="31"/>
          <w:lang w:val="en-US" w:eastAsia="zh-CN" w:bidi="ar"/>
        </w:rPr>
        <w:t>违反职业道德，学术不端造成恶劣影响</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宋体" w:eastAsia="仿宋_GB2312" w:cs="仿宋_GB2312"/>
          <w:color w:val="000000"/>
          <w:kern w:val="0"/>
          <w:sz w:val="31"/>
          <w:szCs w:val="31"/>
          <w:lang w:val="en-US" w:eastAsia="zh-CN" w:bidi="ar"/>
        </w:rPr>
        <w:t>被列入严重失信主体名单</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宋体" w:eastAsia="仿宋_GB2312" w:cs="仿宋_GB2312"/>
          <w:color w:val="000000"/>
          <w:kern w:val="0"/>
          <w:sz w:val="31"/>
          <w:szCs w:val="31"/>
          <w:lang w:val="en-US" w:eastAsia="zh-CN" w:bidi="ar"/>
        </w:rPr>
        <w:t>存在其他违反法律、法规行为或其他需要取消情形</w:t>
      </w:r>
      <w:r>
        <w:rPr>
          <w:rFonts w:hint="eastAsia"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、本人承诺本次</w:t>
      </w:r>
      <w:r>
        <w:rPr>
          <w:rFonts w:hint="eastAsia" w:ascii="仿宋_GB2312" w:hAnsi="仿宋_GB2312" w:eastAsia="仿宋_GB2312" w:cs="仿宋_GB2312"/>
          <w:sz w:val="32"/>
          <w:szCs w:val="32"/>
          <w:highlight w:val="none"/>
          <w:lang w:val="en-US" w:eastAsia="zh-CN"/>
        </w:rPr>
        <w:t>申领</w:t>
      </w:r>
      <w:r>
        <w:rPr>
          <w:rFonts w:hint="eastAsia" w:ascii="仿宋_GB2312" w:hAnsi="仿宋_GB2312" w:eastAsia="仿宋_GB2312" w:cs="仿宋_GB2312"/>
          <w:sz w:val="32"/>
          <w:szCs w:val="32"/>
          <w:highlight w:val="none"/>
        </w:rPr>
        <w:t>提交的所有形式材料</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真实有效，如存在弄虚作假骗取</w:t>
      </w:r>
      <w:r>
        <w:rPr>
          <w:rFonts w:hint="eastAsia" w:ascii="仿宋_GB2312" w:hAnsi="仿宋_GB2312" w:eastAsia="仿宋_GB2312" w:cs="仿宋_GB2312"/>
          <w:sz w:val="32"/>
          <w:szCs w:val="32"/>
          <w:highlight w:val="none"/>
          <w:lang w:val="en-US" w:eastAsia="zh-CN"/>
        </w:rPr>
        <w:t>持卡</w:t>
      </w:r>
      <w:r>
        <w:rPr>
          <w:rFonts w:hint="eastAsia" w:ascii="仿宋_GB2312" w:hAnsi="仿宋_GB2312" w:eastAsia="仿宋_GB2312" w:cs="仿宋_GB2312"/>
          <w:sz w:val="32"/>
          <w:szCs w:val="32"/>
          <w:highlight w:val="none"/>
        </w:rPr>
        <w:t>资格的，</w:t>
      </w:r>
      <w:r>
        <w:rPr>
          <w:rFonts w:hint="eastAsia" w:ascii="仿宋_GB2312" w:hAnsi="仿宋_GB2312" w:eastAsia="仿宋_GB2312" w:cs="仿宋_GB2312"/>
          <w:sz w:val="32"/>
          <w:szCs w:val="32"/>
          <w:highlight w:val="none"/>
          <w:lang w:val="en-US" w:eastAsia="zh-CN"/>
        </w:rPr>
        <w:t>有关</w:t>
      </w:r>
      <w:r>
        <w:rPr>
          <w:rFonts w:hint="eastAsia" w:ascii="仿宋_GB2312" w:hAnsi="仿宋_GB2312" w:eastAsia="仿宋_GB2312" w:cs="仿宋_GB2312"/>
          <w:sz w:val="32"/>
          <w:szCs w:val="32"/>
          <w:highlight w:val="none"/>
        </w:rPr>
        <w:t>部门有权</w:t>
      </w:r>
      <w:r>
        <w:rPr>
          <w:rFonts w:hint="eastAsia" w:ascii="仿宋_GB2312" w:hAnsi="仿宋_GB2312" w:eastAsia="仿宋_GB2312" w:cs="仿宋_GB2312"/>
          <w:sz w:val="32"/>
          <w:szCs w:val="32"/>
          <w:highlight w:val="none"/>
          <w:lang w:val="en-US" w:eastAsia="zh-CN"/>
        </w:rPr>
        <w:t>收回持卡资格、</w:t>
      </w:r>
      <w:r>
        <w:rPr>
          <w:rFonts w:hint="eastAsia" w:ascii="Times New Roman" w:hAnsi="Times New Roman" w:eastAsia="仿宋_GB2312" w:cs="Times New Roman"/>
          <w:color w:val="auto"/>
          <w:sz w:val="32"/>
          <w:szCs w:val="32"/>
          <w:lang w:val="en-US" w:eastAsia="zh-CN"/>
        </w:rPr>
        <w:t>终止提供相关服务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并将情况通报</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rPr>
        <w:t>南沙区相关部门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纳入黑名单。</w:t>
      </w:r>
    </w:p>
    <w:p>
      <w:pPr>
        <w:spacing w:line="560" w:lineRule="exact"/>
        <w:ind w:firstLine="640" w:firstLineChars="200"/>
        <w:rPr>
          <w:rFonts w:ascii="仿宋_GB2312" w:hAnsi="仿宋_GB2312" w:eastAsia="仿宋_GB2312" w:cs="仿宋_GB2312"/>
          <w:sz w:val="32"/>
          <w:szCs w:val="32"/>
          <w:highlight w:val="none"/>
        </w:rPr>
      </w:pPr>
    </w:p>
    <w:p>
      <w:pPr>
        <w:spacing w:line="560" w:lineRule="exact"/>
        <w:ind w:firstLine="640" w:firstLineChars="200"/>
        <w:rPr>
          <w:rFonts w:ascii="仿宋_GB2312" w:hAnsi="仿宋_GB2312" w:eastAsia="仿宋_GB2312" w:cs="仿宋_GB2312"/>
          <w:sz w:val="32"/>
          <w:szCs w:val="32"/>
          <w:highlight w:val="none"/>
        </w:rPr>
      </w:pPr>
    </w:p>
    <w:p>
      <w:pPr>
        <w:spacing w:line="560" w:lineRule="exact"/>
        <w:ind w:firstLine="640" w:firstLineChars="200"/>
        <w:rPr>
          <w:rFonts w:ascii="仿宋_GB2312" w:hAnsi="仿宋_GB2312" w:eastAsia="仿宋_GB2312" w:cs="仿宋_GB2312"/>
          <w:sz w:val="32"/>
          <w:szCs w:val="32"/>
          <w:highlight w:val="none"/>
        </w:rPr>
      </w:pPr>
    </w:p>
    <w:p>
      <w:pPr>
        <w:spacing w:line="560" w:lineRule="exact"/>
        <w:ind w:firstLine="4480" w:firstLineChars="1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申领</w:t>
      </w:r>
      <w:r>
        <w:rPr>
          <w:rFonts w:hint="eastAsia" w:ascii="仿宋_GB2312" w:hAnsi="仿宋_GB2312" w:eastAsia="仿宋_GB2312" w:cs="仿宋_GB2312"/>
          <w:sz w:val="32"/>
          <w:szCs w:val="32"/>
          <w:highlight w:val="none"/>
        </w:rPr>
        <w:t>人签名：</w:t>
      </w:r>
    </w:p>
    <w:p>
      <w:pPr>
        <w:spacing w:line="560" w:lineRule="exact"/>
        <w:ind w:firstLine="5440" w:firstLineChars="1700"/>
        <w:rPr>
          <w:rFonts w:ascii="方正小标宋简体" w:hAnsi="方正小标宋简体" w:eastAsia="方正小标宋简体" w:cs="方正小标宋简体"/>
          <w:sz w:val="44"/>
          <w:szCs w:val="44"/>
          <w:highlight w:val="none"/>
        </w:rPr>
      </w:pPr>
      <w:r>
        <w:rPr>
          <w:rFonts w:hint="eastAsia" w:ascii="仿宋_GB2312" w:hAnsi="仿宋_GB2312" w:eastAsia="仿宋_GB2312" w:cs="仿宋_GB2312"/>
          <w:sz w:val="32"/>
          <w:szCs w:val="32"/>
          <w:highlight w:val="none"/>
        </w:rPr>
        <w:t>年    月    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E72CE"/>
    <w:multiLevelType w:val="singleLevel"/>
    <w:tmpl w:val="D33E72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ODAwZmNlMzU4ZDY4NWFmNGMzMjRjN2ZmN2IxZGIifQ=="/>
  </w:docVars>
  <w:rsids>
    <w:rsidRoot w:val="00000000"/>
    <w:rsid w:val="00867757"/>
    <w:rsid w:val="00950F84"/>
    <w:rsid w:val="0C370E4F"/>
    <w:rsid w:val="1065771A"/>
    <w:rsid w:val="133D7572"/>
    <w:rsid w:val="15A96BAD"/>
    <w:rsid w:val="19FF3345"/>
    <w:rsid w:val="1FD0624F"/>
    <w:rsid w:val="2D355E3C"/>
    <w:rsid w:val="2D3D715C"/>
    <w:rsid w:val="333C4FE6"/>
    <w:rsid w:val="349B028A"/>
    <w:rsid w:val="35A143E1"/>
    <w:rsid w:val="35D03558"/>
    <w:rsid w:val="36880925"/>
    <w:rsid w:val="36940D18"/>
    <w:rsid w:val="38E96573"/>
    <w:rsid w:val="3B351FFD"/>
    <w:rsid w:val="3D1E2E07"/>
    <w:rsid w:val="404F648A"/>
    <w:rsid w:val="46A864BB"/>
    <w:rsid w:val="49793828"/>
    <w:rsid w:val="4CF17B79"/>
    <w:rsid w:val="4D36000E"/>
    <w:rsid w:val="541A0886"/>
    <w:rsid w:val="544A49D8"/>
    <w:rsid w:val="546404F2"/>
    <w:rsid w:val="56D66486"/>
    <w:rsid w:val="5B6669C4"/>
    <w:rsid w:val="61CC3DB2"/>
    <w:rsid w:val="69B42DE4"/>
    <w:rsid w:val="6E4F2D4A"/>
    <w:rsid w:val="76FA4E27"/>
    <w:rsid w:val="7A643ED4"/>
    <w:rsid w:val="7BBE45F0"/>
    <w:rsid w:val="7D9E02EB"/>
    <w:rsid w:val="7EFE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autoRedefine/>
    <w:unhideWhenUsed/>
    <w:qFormat/>
    <w:uiPriority w:val="0"/>
    <w:pPr>
      <w:keepNext/>
      <w:keepLines/>
      <w:spacing w:before="260" w:beforeLines="0" w:after="260" w:afterLines="0" w:line="416" w:lineRule="auto"/>
      <w:outlineLvl w:val="1"/>
    </w:pPr>
    <w:rPr>
      <w:rFonts w:ascii="Cambria" w:hAnsi="Cambria" w:eastAsia="宋体" w:cs="Times New Roman"/>
      <w:kern w:val="0"/>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pPr>
      <w:spacing w:after="120"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paragraph" w:styleId="8">
    <w:name w:val="Title"/>
    <w:basedOn w:val="1"/>
    <w:next w:val="1"/>
    <w:autoRedefine/>
    <w:qFormat/>
    <w:uiPriority w:val="0"/>
    <w:pPr>
      <w:spacing w:before="240" w:beforeLines="0" w:after="60" w:afterLines="0"/>
      <w:jc w:val="center"/>
      <w:outlineLvl w:val="0"/>
    </w:pPr>
    <w:rPr>
      <w:rFonts w:ascii="Cambria" w:hAnsi="Cambria" w:eastAsia="宋体" w:cs="黑体"/>
      <w:b/>
      <w:bCs/>
      <w:sz w:val="32"/>
      <w:szCs w:val="32"/>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Emphasis"/>
    <w:basedOn w:val="11"/>
    <w:autoRedefine/>
    <w:qFormat/>
    <w:uiPriority w:val="0"/>
    <w:rPr>
      <w:i/>
    </w:rPr>
  </w:style>
  <w:style w:type="character" w:styleId="14">
    <w:name w:val="Hyperlink"/>
    <w:basedOn w:val="11"/>
    <w:autoRedefine/>
    <w:qFormat/>
    <w:uiPriority w:val="0"/>
    <w:rPr>
      <w:color w:val="0000FF"/>
      <w:u w:val="single"/>
    </w:rPr>
  </w:style>
  <w:style w:type="paragraph" w:customStyle="1" w:styleId="15">
    <w:name w:val="p18"/>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16">
    <w:name w:val="font51"/>
    <w:basedOn w:val="11"/>
    <w:autoRedefine/>
    <w:qFormat/>
    <w:uiPriority w:val="0"/>
    <w:rPr>
      <w:rFonts w:hint="default" w:ascii="Times New Roman" w:hAnsi="Times New Roman" w:cs="Times New Roman"/>
      <w:color w:val="000000"/>
      <w:sz w:val="28"/>
      <w:szCs w:val="28"/>
      <w:u w:val="none"/>
    </w:rPr>
  </w:style>
  <w:style w:type="paragraph" w:customStyle="1" w:styleId="17">
    <w:name w:val="Char Char Char Char"/>
    <w:basedOn w:val="1"/>
    <w:autoRedefine/>
    <w:qFormat/>
    <w:uiPriority w:val="0"/>
    <w:rPr>
      <w:rFonts w:ascii="Tahoma" w:hAnsi="Tahoma"/>
      <w:sz w:val="24"/>
      <w:szCs w:val="20"/>
    </w:rPr>
  </w:style>
  <w:style w:type="character" w:customStyle="1" w:styleId="18">
    <w:name w:val="font01"/>
    <w:basedOn w:val="11"/>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1960</Words>
  <Characters>2010</Characters>
  <Lines>0</Lines>
  <Paragraphs>0</Paragraphs>
  <TotalTime>8</TotalTime>
  <ScaleCrop>false</ScaleCrop>
  <LinksUpToDate>false</LinksUpToDate>
  <CharactersWithSpaces>2025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2023-05-30T09:15:00Z</dcterms:created>
  <dc:creator>RZ</dc:creator>
  <cp:lastModifiedBy>ZZ</cp:lastModifiedBy>
  <cp:lastPrinted>2024-02-29T06:23:00Z</cp:lastPrinted>
  <dcterms:modified xsi:type="dcterms:W3CDTF">2024-03-06T06:33:16Z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12C5942020F54E638D7B5514B2A68819_13</vt:lpwstr>
  </property>
</Properties>
</file>