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Pr>
      <w:bookmarkStart w:id="130" w:name="_GoBack"/>
      <w:bookmarkEnd w:id="130"/>
      <w:r>
        <w:rPr>
          <w:rFonts w:hint="eastAsia"/>
        </w:rPr>
        <w:t>南沙区生活垃圾分类收运系统</w:t>
      </w:r>
    </w:p>
    <w:p>
      <w:pPr>
        <w:pStyle w:val="13"/>
        <w:rPr>
          <w:rFonts w:hint="eastAsia"/>
        </w:rPr>
      </w:pPr>
      <w:r>
        <w:rPr>
          <w:rFonts w:hint="eastAsia"/>
        </w:rPr>
        <w:t>专项规划及实施方案</w:t>
      </w:r>
    </w:p>
    <w:p>
      <w:pPr>
        <w:pStyle w:val="13"/>
        <w:rPr>
          <w:rFonts w:hint="eastAsia"/>
        </w:rPr>
      </w:pPr>
    </w:p>
    <w:p>
      <w:pPr>
        <w:pStyle w:val="13"/>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黑体" w:hAnsi="黑体" w:eastAsia="黑体" w:cs="黑体"/>
          <w:b w:val="0"/>
          <w:bCs w:val="0"/>
          <w:sz w:val="36"/>
          <w:szCs w:val="32"/>
        </w:rPr>
      </w:pPr>
      <w:r>
        <w:rPr>
          <w:rFonts w:hint="eastAsia" w:ascii="黑体" w:hAnsi="黑体" w:eastAsia="黑体" w:cs="黑体"/>
          <w:b w:val="0"/>
          <w:bCs w:val="0"/>
          <w:sz w:val="36"/>
          <w:szCs w:val="32"/>
        </w:rPr>
        <w:t>目 录</w:t>
      </w:r>
    </w:p>
    <w:p>
      <w:pPr>
        <w:pStyle w:val="22"/>
        <w:tabs>
          <w:tab w:val="right" w:leader="dot" w:pos="8845"/>
          <w:tab w:val="clear" w:pos="10243"/>
        </w:tabs>
        <w:ind w:left="0" w:leftChars="0" w:firstLine="0" w:firstLineChars="0"/>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TOC \o "1-2" \h \z \u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_Toc6507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第一部分  规划部分</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_Toc6507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5"/>
        <w:tabs>
          <w:tab w:val="right" w:leader="dot" w:pos="8845"/>
        </w:tabs>
        <w:ind w:left="0" w:leftChars="0" w:firstLine="0" w:firstLineChars="0"/>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_Toc17060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第一章 规划总则</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_Toc17060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3</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5"/>
        <w:tabs>
          <w:tab w:val="right" w:leader="dot" w:pos="8845"/>
        </w:tabs>
        <w:ind w:left="0" w:leftChars="0" w:firstLine="0" w:firstLineChars="0"/>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_Toc31624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第二章 生活垃圾量预测</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_Toc31624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9</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5"/>
        <w:tabs>
          <w:tab w:val="right" w:leader="dot" w:pos="8845"/>
        </w:tabs>
        <w:ind w:left="0" w:leftChars="0" w:firstLine="0" w:firstLineChars="0"/>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_Toc22755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第三章 生活垃圾分类体系规划</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_Toc22755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10</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5"/>
        <w:tabs>
          <w:tab w:val="right" w:leader="dot" w:pos="8845"/>
        </w:tabs>
        <w:ind w:left="0" w:leftChars="0" w:firstLine="0" w:firstLineChars="0"/>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_Toc30637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第四章 生活垃圾收运系统规划</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_Toc30637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15</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5"/>
        <w:tabs>
          <w:tab w:val="right" w:leader="dot" w:pos="8845"/>
        </w:tabs>
        <w:ind w:left="0" w:leftChars="0" w:firstLine="0" w:firstLineChars="0"/>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_Toc18926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第五章 近期建设规划</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_Toc18926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20</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5"/>
        <w:tabs>
          <w:tab w:val="right" w:leader="dot" w:pos="8845"/>
        </w:tabs>
        <w:ind w:left="0" w:leftChars="0" w:firstLine="0" w:firstLineChars="0"/>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_Toc3519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第六章 规划实施建议</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_Toc3519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21</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2"/>
        <w:tabs>
          <w:tab w:val="right" w:leader="dot" w:pos="8845"/>
          <w:tab w:val="clear" w:pos="10243"/>
        </w:tabs>
        <w:ind w:left="0" w:leftChars="0" w:firstLine="0" w:firstLineChars="0"/>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_Toc32578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第二部分  实施方案</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_Toc32578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24</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5"/>
        <w:tabs>
          <w:tab w:val="right" w:leader="dot" w:pos="8845"/>
        </w:tabs>
        <w:ind w:left="0" w:leftChars="0" w:firstLine="0" w:firstLineChars="0"/>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_Toc28104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第一章 工作目标</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_Toc28104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24</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5"/>
        <w:tabs>
          <w:tab w:val="right" w:leader="dot" w:pos="8845"/>
        </w:tabs>
        <w:ind w:left="0" w:leftChars="0" w:firstLine="0" w:firstLineChars="0"/>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_Toc11066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第二章 生活垃圾分类收运责任分工</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_Toc11066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25</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pStyle w:val="25"/>
        <w:tabs>
          <w:tab w:val="right" w:leader="dot" w:pos="8845"/>
        </w:tabs>
        <w:ind w:left="0" w:leftChars="0" w:firstLine="0" w:firstLineChars="0"/>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HYPERLINK \l _Toc8521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第三章 主要任务</w:t>
      </w:r>
      <w:r>
        <w:rPr>
          <w:rFonts w:hint="default" w:ascii="Times New Roman" w:hAnsi="Times New Roman" w:cs="Times New Roman"/>
          <w:sz w:val="32"/>
          <w:szCs w:val="32"/>
        </w:rPr>
        <w:tab/>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PAGEREF _Toc8521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26</w:t>
      </w:r>
      <w:r>
        <w:rPr>
          <w:rFonts w:hint="default" w:ascii="Times New Roman" w:hAnsi="Times New Roman" w:cs="Times New Roman"/>
          <w:sz w:val="32"/>
          <w:szCs w:val="32"/>
        </w:rPr>
        <w:fldChar w:fldCharType="end"/>
      </w:r>
      <w:r>
        <w:rPr>
          <w:rFonts w:hint="default" w:ascii="Times New Roman" w:hAnsi="Times New Roman" w:cs="Times New Roman"/>
          <w:sz w:val="32"/>
          <w:szCs w:val="32"/>
        </w:rPr>
        <w:fldChar w:fldCharType="end"/>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distribute"/>
        <w:textAlignment w:val="auto"/>
        <w:rPr>
          <w:rFonts w:hint="eastAsia"/>
        </w:rPr>
      </w:pPr>
      <w:r>
        <w:rPr>
          <w:rFonts w:hint="default" w:ascii="Times New Roman" w:hAnsi="Times New Roman" w:cs="Times New Roman"/>
          <w:sz w:val="32"/>
          <w:szCs w:val="32"/>
        </w:rPr>
        <w:fldChar w:fldCharType="end"/>
      </w:r>
    </w:p>
    <w:p>
      <w:pPr>
        <w:spacing w:line="400" w:lineRule="exact"/>
        <w:ind w:left="524" w:leftChars="166" w:right="72" w:rightChars="23" w:firstLine="35" w:firstLineChars="11"/>
      </w:pPr>
    </w:p>
    <w:p>
      <w:pPr>
        <w:pStyle w:val="49"/>
        <w:spacing w:after="326"/>
        <w:outlineLvl w:val="9"/>
        <w:rPr>
          <w:rFonts w:ascii="Times New Roman" w:hAnsi="Times New Roman" w:eastAsia="微软雅黑"/>
        </w:rPr>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1247" w:gutter="0"/>
          <w:pgNumType w:fmt="decimal"/>
          <w:cols w:space="720" w:num="1"/>
          <w:docGrid w:type="linesAndChars" w:linePitch="579" w:charSpace="-842"/>
        </w:sectPr>
      </w:pPr>
    </w:p>
    <w:p>
      <w:pPr>
        <w:pStyle w:val="7"/>
        <w:pageBreakBefore w:val="0"/>
        <w:widowControl w:val="0"/>
        <w:kinsoku/>
        <w:wordWrap/>
        <w:overflowPunct/>
        <w:topLinePunct w:val="0"/>
        <w:autoSpaceDE/>
        <w:autoSpaceDN/>
        <w:bidi w:val="0"/>
        <w:snapToGrid w:val="0"/>
        <w:spacing w:line="560" w:lineRule="exact"/>
        <w:textAlignment w:val="auto"/>
      </w:pPr>
      <w:bookmarkStart w:id="0" w:name="_Toc132985616"/>
      <w:bookmarkStart w:id="1" w:name="_Toc132986087"/>
      <w:bookmarkStart w:id="2" w:name="_Toc6507"/>
      <w:bookmarkStart w:id="3" w:name="_Toc132989534"/>
      <w:r>
        <w:rPr>
          <w:rFonts w:hint="eastAsia"/>
        </w:rPr>
        <w:t>第一部分  规划部分</w:t>
      </w:r>
      <w:bookmarkEnd w:id="0"/>
      <w:bookmarkEnd w:id="1"/>
      <w:bookmarkEnd w:id="2"/>
      <w:bookmarkEnd w:id="3"/>
    </w:p>
    <w:p>
      <w:pPr>
        <w:pStyle w:val="8"/>
        <w:pageBreakBefore w:val="0"/>
        <w:widowControl w:val="0"/>
        <w:kinsoku/>
        <w:wordWrap/>
        <w:overflowPunct/>
        <w:topLinePunct w:val="0"/>
        <w:autoSpaceDE/>
        <w:autoSpaceDN/>
        <w:bidi w:val="0"/>
        <w:snapToGrid w:val="0"/>
        <w:spacing w:line="560" w:lineRule="exact"/>
        <w:textAlignment w:val="auto"/>
        <w:rPr>
          <w:rFonts w:hint="eastAsia"/>
        </w:rPr>
      </w:pPr>
      <w:bookmarkStart w:id="4" w:name="_Toc132985617"/>
      <w:bookmarkStart w:id="5" w:name="_Toc132986088"/>
      <w:bookmarkStart w:id="6" w:name="_Toc17060"/>
      <w:bookmarkStart w:id="7" w:name="_Toc132989535"/>
    </w:p>
    <w:p>
      <w:pPr>
        <w:pStyle w:val="8"/>
        <w:pageBreakBefore w:val="0"/>
        <w:widowControl w:val="0"/>
        <w:kinsoku/>
        <w:wordWrap/>
        <w:overflowPunct/>
        <w:topLinePunct w:val="0"/>
        <w:autoSpaceDE/>
        <w:autoSpaceDN/>
        <w:bidi w:val="0"/>
        <w:snapToGrid w:val="0"/>
        <w:spacing w:line="560" w:lineRule="exact"/>
        <w:textAlignment w:val="auto"/>
      </w:pPr>
      <w:r>
        <w:rPr>
          <w:rFonts w:hint="eastAsia"/>
        </w:rPr>
        <w:t>第一章 规划总则</w:t>
      </w:r>
      <w:bookmarkEnd w:id="4"/>
      <w:bookmarkEnd w:id="5"/>
      <w:bookmarkEnd w:id="6"/>
      <w:bookmarkEnd w:id="7"/>
    </w:p>
    <w:p>
      <w:pPr>
        <w:pStyle w:val="9"/>
        <w:pageBreakBefore w:val="0"/>
        <w:widowControl w:val="0"/>
        <w:kinsoku/>
        <w:wordWrap/>
        <w:overflowPunct/>
        <w:topLinePunct w:val="0"/>
        <w:autoSpaceDE/>
        <w:autoSpaceDN/>
        <w:bidi w:val="0"/>
        <w:snapToGrid w:val="0"/>
        <w:spacing w:line="560" w:lineRule="exact"/>
        <w:ind w:firstLine="640" w:firstLineChars="200"/>
        <w:textAlignment w:val="auto"/>
      </w:pPr>
      <w:bookmarkStart w:id="8" w:name="_Toc132989536"/>
      <w:bookmarkStart w:id="9" w:name="_Toc132986089"/>
      <w:bookmarkStart w:id="10" w:name="_Toc132985618"/>
      <w:r>
        <w:rPr>
          <w:rFonts w:hint="eastAsia"/>
        </w:rPr>
        <w:t>1.1规划期限</w:t>
      </w:r>
      <w:bookmarkEnd w:id="8"/>
      <w:bookmarkEnd w:id="9"/>
      <w:bookmarkEnd w:id="10"/>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规划近期：2021年</w:t>
      </w:r>
      <w:r>
        <w:rPr>
          <w:rFonts w:hint="eastAsia" w:ascii="仿宋_GB2312" w:hAnsi="仿宋_GB2312"/>
        </w:rPr>
        <w:t>-</w:t>
      </w:r>
      <w:r>
        <w:rPr>
          <w:rFonts w:hint="eastAsia"/>
        </w:rPr>
        <w:t>2025年；</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规划远期：2026年</w:t>
      </w:r>
      <w:r>
        <w:rPr>
          <w:rFonts w:hint="eastAsia" w:ascii="仿宋_GB2312" w:hAnsi="仿宋_GB2312"/>
        </w:rPr>
        <w:t>-</w:t>
      </w:r>
      <w:r>
        <w:rPr>
          <w:rFonts w:hint="eastAsia"/>
        </w:rPr>
        <w:t>2035年。</w:t>
      </w:r>
    </w:p>
    <w:p>
      <w:pPr>
        <w:pStyle w:val="9"/>
        <w:pageBreakBefore w:val="0"/>
        <w:widowControl w:val="0"/>
        <w:kinsoku/>
        <w:wordWrap/>
        <w:overflowPunct/>
        <w:topLinePunct w:val="0"/>
        <w:autoSpaceDE/>
        <w:autoSpaceDN/>
        <w:bidi w:val="0"/>
        <w:snapToGrid w:val="0"/>
        <w:spacing w:line="560" w:lineRule="exact"/>
        <w:ind w:firstLine="640" w:firstLineChars="200"/>
        <w:textAlignment w:val="auto"/>
      </w:pPr>
      <w:bookmarkStart w:id="11" w:name="_Toc132989537"/>
      <w:bookmarkStart w:id="12" w:name="_Toc132986090"/>
      <w:bookmarkStart w:id="13" w:name="_Toc132985619"/>
      <w:r>
        <w:rPr>
          <w:rFonts w:hint="eastAsia"/>
        </w:rPr>
        <w:t>1.2规划范围</w:t>
      </w:r>
      <w:bookmarkEnd w:id="11"/>
      <w:bookmarkEnd w:id="12"/>
      <w:bookmarkEnd w:id="13"/>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南沙新区行政区划范围，803平方公里，包括3个街道、6个镇，分别为南沙街、珠江街、龙穴街、东涌镇、榄核镇、大岗镇、黄阁镇、横沥镇、万顷沙镇。</w:t>
      </w:r>
    </w:p>
    <w:p>
      <w:pPr>
        <w:pStyle w:val="9"/>
        <w:pageBreakBefore w:val="0"/>
        <w:widowControl w:val="0"/>
        <w:kinsoku/>
        <w:wordWrap/>
        <w:overflowPunct/>
        <w:topLinePunct w:val="0"/>
        <w:autoSpaceDE/>
        <w:autoSpaceDN/>
        <w:bidi w:val="0"/>
        <w:snapToGrid w:val="0"/>
        <w:spacing w:line="560" w:lineRule="exact"/>
        <w:ind w:firstLine="640" w:firstLineChars="200"/>
        <w:textAlignment w:val="auto"/>
      </w:pPr>
      <w:bookmarkStart w:id="14" w:name="_Toc132985620"/>
      <w:bookmarkStart w:id="15" w:name="_Toc132986091"/>
      <w:bookmarkStart w:id="16" w:name="_Toc132989540"/>
      <w:r>
        <w:rPr>
          <w:rFonts w:hint="eastAsia"/>
        </w:rPr>
        <w:t>1.3规划依据</w:t>
      </w:r>
      <w:bookmarkEnd w:id="14"/>
      <w:bookmarkEnd w:id="15"/>
      <w:bookmarkEnd w:id="16"/>
    </w:p>
    <w:p>
      <w:pPr>
        <w:pStyle w:val="10"/>
        <w:pageBreakBefore w:val="0"/>
        <w:widowControl w:val="0"/>
        <w:kinsoku/>
        <w:wordWrap/>
        <w:overflowPunct/>
        <w:topLinePunct w:val="0"/>
        <w:autoSpaceDE/>
        <w:autoSpaceDN/>
        <w:bidi w:val="0"/>
        <w:snapToGrid w:val="0"/>
        <w:spacing w:line="560" w:lineRule="exact"/>
        <w:ind w:firstLine="642" w:firstLineChars="200"/>
        <w:textAlignment w:val="auto"/>
      </w:pPr>
      <w:r>
        <w:rPr>
          <w:rFonts w:hint="eastAsia"/>
        </w:rPr>
        <w:t>1.3.1国家和行业标准</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《中华人民共和国城市容貌标准》（</w:t>
      </w:r>
      <w:r>
        <w:t>GB 50449</w:t>
      </w:r>
      <w:r>
        <w:rPr>
          <w:rFonts w:ascii="仿宋_GB2312" w:hAnsi="仿宋_GB2312"/>
        </w:rPr>
        <w:t>-</w:t>
      </w:r>
      <w:r>
        <w:t>2008</w:t>
      </w:r>
      <w:r>
        <w:rPr>
          <w:rFonts w:hint="eastAsia"/>
        </w:rPr>
        <w:t>）</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《生活垃圾焚烧污染控制标准》（</w:t>
      </w:r>
      <w:r>
        <w:t>GB 18485</w:t>
      </w:r>
      <w:r>
        <w:rPr>
          <w:rFonts w:ascii="仿宋_GB2312" w:hAnsi="仿宋_GB2312"/>
        </w:rPr>
        <w:t>-</w:t>
      </w:r>
      <w:r>
        <w:t>2014</w:t>
      </w:r>
      <w:r>
        <w:rPr>
          <w:rFonts w:hint="eastAsia"/>
        </w:rPr>
        <w:t>）</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《生活垃圾卫生填埋处理技术规范》（</w:t>
      </w:r>
      <w:r>
        <w:t>GB 50869</w:t>
      </w:r>
      <w:r>
        <w:rPr>
          <w:rFonts w:ascii="仿宋_GB2312" w:hAnsi="仿宋_GB2312"/>
        </w:rPr>
        <w:t>-</w:t>
      </w:r>
      <w:r>
        <w:t>2013</w:t>
      </w:r>
      <w:r>
        <w:rPr>
          <w:rFonts w:hint="eastAsia"/>
        </w:rPr>
        <w:t>）</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《生活垃圾收集站技术规程》（</w:t>
      </w:r>
      <w:r>
        <w:t>CJJ 179</w:t>
      </w:r>
      <w:r>
        <w:rPr>
          <w:rFonts w:ascii="仿宋_GB2312" w:hAnsi="仿宋_GB2312"/>
        </w:rPr>
        <w:t>-</w:t>
      </w:r>
      <w:r>
        <w:t>2012</w:t>
      </w:r>
      <w:r>
        <w:rPr>
          <w:rFonts w:hint="eastAsia"/>
        </w:rPr>
        <w:t>）</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《生活垃圾转运站技术规范》（</w:t>
      </w:r>
      <w:r>
        <w:t>CJJ/T 47</w:t>
      </w:r>
      <w:r>
        <w:rPr>
          <w:rFonts w:ascii="仿宋_GB2312" w:hAnsi="仿宋_GB2312"/>
        </w:rPr>
        <w:t>-</w:t>
      </w:r>
      <w:r>
        <w:t>2016</w:t>
      </w:r>
      <w:r>
        <w:rPr>
          <w:rFonts w:hint="eastAsia"/>
        </w:rPr>
        <w:t>）</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《环境卫生设施设置标准》（</w:t>
      </w:r>
      <w:r>
        <w:t>CJJ</w:t>
      </w:r>
      <w:r>
        <w:rPr>
          <w:rFonts w:hint="eastAsia"/>
          <w:lang w:val="en-US" w:eastAsia="zh-CN"/>
        </w:rPr>
        <w:t xml:space="preserve"> </w:t>
      </w:r>
      <w:r>
        <w:t>27</w:t>
      </w:r>
      <w:r>
        <w:rPr>
          <w:rFonts w:hint="eastAsia" w:ascii="仿宋_GB2312" w:hAnsi="仿宋_GB2312"/>
        </w:rPr>
        <w:t>-</w:t>
      </w:r>
      <w:r>
        <w:t>2012</w:t>
      </w:r>
      <w:r>
        <w:rPr>
          <w:rFonts w:hint="eastAsia"/>
        </w:rPr>
        <w:t>）</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rPr>
      </w:pPr>
      <w:r>
        <w:rPr>
          <w:rFonts w:hint="eastAsia"/>
        </w:rPr>
        <w:t>《环境卫生技术规范》（</w:t>
      </w:r>
      <w:r>
        <w:t>GB</w:t>
      </w:r>
      <w:r>
        <w:rPr>
          <w:rFonts w:hint="eastAsia"/>
          <w:lang w:val="en-US" w:eastAsia="zh-CN"/>
        </w:rPr>
        <w:t xml:space="preserve"> </w:t>
      </w:r>
      <w:r>
        <w:t>51260</w:t>
      </w:r>
      <w:r>
        <w:rPr>
          <w:rFonts w:ascii="仿宋_GB2312" w:hAnsi="仿宋_GB2312"/>
        </w:rPr>
        <w:t>-</w:t>
      </w:r>
      <w:r>
        <w:t>2017</w:t>
      </w:r>
      <w:r>
        <w:rPr>
          <w:rFonts w:hint="eastAsia"/>
        </w:rPr>
        <w:t>）</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rPr>
      </w:pPr>
      <w:r>
        <w:rPr>
          <w:rFonts w:hint="eastAsia"/>
        </w:rPr>
        <w:t>《城市环境卫生设施规划标准》（GBT 50337</w:t>
      </w:r>
      <w:r>
        <w:rPr>
          <w:rFonts w:hint="eastAsia" w:ascii="仿宋_GB2312" w:hAnsi="仿宋_GB2312"/>
        </w:rPr>
        <w:t>-</w:t>
      </w:r>
      <w:r>
        <w:rPr>
          <w:rFonts w:hint="eastAsia"/>
        </w:rPr>
        <w:t>2018）</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rPr>
      </w:pPr>
      <w:r>
        <w:rPr>
          <w:rFonts w:hint="eastAsia"/>
        </w:rPr>
        <w:t>《餐厨垃圾处理技术规范》（CJJ 184</w:t>
      </w:r>
      <w:r>
        <w:rPr>
          <w:rFonts w:hint="eastAsia" w:ascii="仿宋_GB2312" w:hAnsi="仿宋_GB2312"/>
        </w:rPr>
        <w:t>-</w:t>
      </w:r>
      <w:r>
        <w:rPr>
          <w:rFonts w:hint="eastAsia"/>
        </w:rPr>
        <w:t>2012）</w:t>
      </w:r>
    </w:p>
    <w:p>
      <w:pPr>
        <w:pStyle w:val="10"/>
        <w:pageBreakBefore w:val="0"/>
        <w:widowControl w:val="0"/>
        <w:kinsoku/>
        <w:wordWrap/>
        <w:overflowPunct/>
        <w:topLinePunct w:val="0"/>
        <w:autoSpaceDE/>
        <w:autoSpaceDN/>
        <w:bidi w:val="0"/>
        <w:snapToGrid w:val="0"/>
        <w:spacing w:line="560" w:lineRule="exact"/>
        <w:ind w:firstLine="642" w:firstLineChars="200"/>
        <w:textAlignment w:val="auto"/>
      </w:pPr>
      <w:r>
        <w:rPr>
          <w:rFonts w:hint="eastAsia"/>
        </w:rPr>
        <w:t>1.3.2部委政策法规文件</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《中华人民共和国固体废弃物污染环境防治法》（2020年修订）</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《中华人民共和国循环经济促进法》（2018年修订）</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《城市市容和环境卫生管理条例》（国务院第</w:t>
      </w:r>
      <w:r>
        <w:t>101</w:t>
      </w:r>
      <w:r>
        <w:rPr>
          <w:rFonts w:hint="eastAsia" w:ascii="仿宋_GB2312" w:hAnsi="仿宋_GB2312"/>
        </w:rPr>
        <w:t>号</w:t>
      </w:r>
      <w:r>
        <w:rPr>
          <w:rFonts w:hint="eastAsia"/>
        </w:rPr>
        <w:t>令）</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《生活垃圾分类制度实施方案》（国办发〔</w:t>
      </w:r>
      <w:r>
        <w:t>2017</w:t>
      </w:r>
      <w:r>
        <w:rPr>
          <w:rFonts w:hint="eastAsia"/>
        </w:rPr>
        <w:t>〕</w:t>
      </w:r>
      <w:r>
        <w:t>26</w:t>
      </w:r>
      <w:r>
        <w:rPr>
          <w:rFonts w:hint="eastAsia" w:ascii="仿宋_GB2312" w:hAnsi="仿宋_GB2312"/>
        </w:rPr>
        <w:t>号</w:t>
      </w:r>
      <w:r>
        <w:rPr>
          <w:rFonts w:hint="eastAsia"/>
        </w:rPr>
        <w:t>）</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《城市生活垃圾处理及污染防治技术政策》（建城〔</w:t>
      </w:r>
      <w:r>
        <w:t>2000</w:t>
      </w:r>
      <w:r>
        <w:rPr>
          <w:rFonts w:hint="eastAsia"/>
        </w:rPr>
        <w:t>〕</w:t>
      </w:r>
      <w:r>
        <w:t>120</w:t>
      </w:r>
      <w:r>
        <w:rPr>
          <w:rFonts w:hint="eastAsia"/>
        </w:rPr>
        <w:t>号）</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《关于进一步加强城市生活垃圾焚烧处理工作的意见》（建城</w:t>
      </w:r>
      <w:r>
        <w:rPr>
          <w:rFonts w:hint="eastAsia" w:ascii="仿宋_GB2312" w:hAnsi="仿宋_GB2312"/>
        </w:rPr>
        <w:t>〔</w:t>
      </w:r>
      <w:r>
        <w:t>2016</w:t>
      </w:r>
      <w:r>
        <w:rPr>
          <w:rFonts w:hint="eastAsia" w:ascii="仿宋_GB2312" w:hAnsi="仿宋_GB2312"/>
        </w:rPr>
        <w:t>〕</w:t>
      </w:r>
      <w:r>
        <w:t>227</w:t>
      </w:r>
      <w:r>
        <w:rPr>
          <w:rFonts w:hint="eastAsia"/>
        </w:rPr>
        <w:t>号）</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《全面推进农村垃圾治理的指导意见》（住房城乡建设部等十部门出台）</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《再生资源回收管理办法》（2</w:t>
      </w:r>
      <w:r>
        <w:t>019</w:t>
      </w:r>
      <w:r>
        <w:rPr>
          <w:rFonts w:hint="eastAsia"/>
        </w:rPr>
        <w:t>修正）</w:t>
      </w:r>
    </w:p>
    <w:p>
      <w:pPr>
        <w:pStyle w:val="10"/>
        <w:pageBreakBefore w:val="0"/>
        <w:widowControl w:val="0"/>
        <w:kinsoku/>
        <w:wordWrap/>
        <w:overflowPunct/>
        <w:topLinePunct w:val="0"/>
        <w:autoSpaceDE/>
        <w:autoSpaceDN/>
        <w:bidi w:val="0"/>
        <w:snapToGrid w:val="0"/>
        <w:spacing w:line="560" w:lineRule="exact"/>
        <w:ind w:firstLine="642" w:firstLineChars="200"/>
        <w:textAlignment w:val="auto"/>
      </w:pPr>
      <w:r>
        <w:rPr>
          <w:rFonts w:hint="eastAsia"/>
        </w:rPr>
        <w:t>1.3.3广东省政策法规文件</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《广东省城市生活垃圾分类投放与收集设施设置指引》（粤建城函</w:t>
      </w:r>
      <w:r>
        <w:rPr>
          <w:rFonts w:hint="eastAsia" w:ascii="仿宋_GB2312" w:hAnsi="仿宋_GB2312"/>
        </w:rPr>
        <w:t>〔</w:t>
      </w:r>
      <w:r>
        <w:rPr>
          <w:rFonts w:hint="eastAsia"/>
        </w:rPr>
        <w:t>2020</w:t>
      </w:r>
      <w:r>
        <w:rPr>
          <w:rFonts w:hint="eastAsia" w:ascii="仿宋_GB2312" w:hAnsi="仿宋_GB2312"/>
        </w:rPr>
        <w:t>〕</w:t>
      </w:r>
      <w:r>
        <w:rPr>
          <w:rFonts w:hint="eastAsia"/>
        </w:rPr>
        <w:t>398号）</w:t>
      </w:r>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rPr>
      </w:pPr>
      <w:r>
        <w:rPr>
          <w:rFonts w:hint="eastAsia"/>
        </w:rPr>
        <w:t>《广东省生活垃圾处理“十四五”规划》</w:t>
      </w:r>
    </w:p>
    <w:p>
      <w:pPr>
        <w:pStyle w:val="10"/>
        <w:pageBreakBefore w:val="0"/>
        <w:widowControl w:val="0"/>
        <w:kinsoku/>
        <w:wordWrap/>
        <w:overflowPunct/>
        <w:topLinePunct w:val="0"/>
        <w:autoSpaceDE/>
        <w:autoSpaceDN/>
        <w:bidi w:val="0"/>
        <w:snapToGrid w:val="0"/>
        <w:spacing w:line="560" w:lineRule="exact"/>
        <w:ind w:firstLine="642" w:firstLineChars="200"/>
        <w:textAlignment w:val="auto"/>
      </w:pPr>
      <w:r>
        <w:rPr>
          <w:rFonts w:hint="eastAsia"/>
        </w:rPr>
        <w:t>1.3.4广州市政策、法规、标准</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《广州市再生资源回收利用管理规定》（广州市人民政府令第</w:t>
      </w:r>
      <w:r>
        <w:t>132</w:t>
      </w:r>
      <w:r>
        <w:rPr>
          <w:rFonts w:hint="eastAsia"/>
        </w:rPr>
        <w:t>号）</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《广州市生活垃圾分类管理条例》（广州市人民政府令第</w:t>
      </w:r>
      <w:r>
        <w:t>59</w:t>
      </w:r>
      <w:r>
        <w:rPr>
          <w:rFonts w:hint="eastAsia" w:ascii="仿宋_GB2312" w:hAnsi="仿宋_GB2312"/>
        </w:rPr>
        <w:t>号</w:t>
      </w:r>
      <w:r>
        <w:rPr>
          <w:rFonts w:hint="eastAsia"/>
        </w:rPr>
        <w:t>）</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《关于全面推进生活垃圾处理工作的意见》（穗府办〔</w:t>
      </w:r>
      <w:r>
        <w:t>2011</w:t>
      </w:r>
      <w:r>
        <w:rPr>
          <w:rFonts w:hint="eastAsia"/>
        </w:rPr>
        <w:t>〕</w:t>
      </w:r>
      <w:r>
        <w:t>41</w:t>
      </w:r>
      <w:r>
        <w:rPr>
          <w:rFonts w:hint="eastAsia" w:ascii="仿宋_GB2312" w:hAnsi="仿宋_GB2312"/>
        </w:rPr>
        <w:t>号</w:t>
      </w:r>
      <w:r>
        <w:rPr>
          <w:rFonts w:hint="eastAsia"/>
        </w:rPr>
        <w:t>）</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《广州市人民政府关于进一步深化生活垃圾分类处理工作的意见》（穗府办〔2014〕33</w:t>
      </w:r>
      <w:r>
        <w:rPr>
          <w:rFonts w:hint="eastAsia" w:ascii="仿宋_GB2312" w:hAnsi="仿宋_GB2312"/>
        </w:rPr>
        <w:t>号</w:t>
      </w:r>
      <w:r>
        <w:rPr>
          <w:rFonts w:hint="eastAsia"/>
        </w:rPr>
        <w:t>）</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《广州市城市管理专用作业车辆和设备管理办法》（2018年8月8日起施行）</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《广州市购买低值可回收物回收处理服务管理办法》（20</w:t>
      </w:r>
      <w:r>
        <w:t>21</w:t>
      </w:r>
      <w:r>
        <w:rPr>
          <w:rFonts w:hint="eastAsia"/>
        </w:rPr>
        <w:t>年</w:t>
      </w:r>
      <w:r>
        <w:t>4</w:t>
      </w:r>
      <w:r>
        <w:rPr>
          <w:rFonts w:hint="eastAsia"/>
        </w:rPr>
        <w:t>月</w:t>
      </w:r>
      <w:r>
        <w:t>9</w:t>
      </w:r>
      <w:r>
        <w:rPr>
          <w:rFonts w:hint="eastAsia"/>
        </w:rPr>
        <w:t>日起施行）</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《广州市生活垃圾分类设施配置及作业规范》（2015年8月1日实施）</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《广州市学校生活垃圾分类指引》（2019年6月14日发布）</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《广州市餐饮行业生活垃圾分类指引》（2019年6月24日发布）</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《广州市小区（社区）生活垃圾分类指引》（2019年7月8日发布）</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《广州市商务办公生活垃圾分类指引》（2019年7月15日发布）</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《广州市酒店/宾馆生活垃圾分类指引》（2019年8月2日发布）</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《广州市农村生活垃圾分类指引》（2019年9月17日发布）</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《广州市公园/景区生活垃圾分类指引》（2019年9月29日发布）</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《广州市生活垃圾分类投放点设置指引（试行）》（2020年1月15日发布）</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《广州市生活垃圾分类处理工作考核暂行办法》（2020年</w:t>
      </w:r>
      <w:r>
        <w:t>3</w:t>
      </w:r>
      <w:r>
        <w:rPr>
          <w:rFonts w:hint="eastAsia"/>
        </w:rPr>
        <w:t>月</w:t>
      </w:r>
      <w:r>
        <w:t>31</w:t>
      </w:r>
      <w:r>
        <w:rPr>
          <w:rFonts w:hint="eastAsia"/>
        </w:rPr>
        <w:t>日发布）</w:t>
      </w:r>
    </w:p>
    <w:p>
      <w:pPr>
        <w:pStyle w:val="10"/>
        <w:pageBreakBefore w:val="0"/>
        <w:widowControl w:val="0"/>
        <w:kinsoku/>
        <w:wordWrap/>
        <w:overflowPunct/>
        <w:topLinePunct w:val="0"/>
        <w:autoSpaceDE/>
        <w:autoSpaceDN/>
        <w:bidi w:val="0"/>
        <w:snapToGrid w:val="0"/>
        <w:spacing w:line="560" w:lineRule="exact"/>
        <w:ind w:firstLine="642" w:firstLineChars="200"/>
        <w:textAlignment w:val="auto"/>
      </w:pPr>
      <w:r>
        <w:rPr>
          <w:rFonts w:hint="eastAsia"/>
        </w:rPr>
        <w:t>1.3.5相关规划</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《广州市国土空间总体规划（20</w:t>
      </w:r>
      <w:r>
        <w:t>21</w:t>
      </w:r>
      <w:r>
        <w:rPr>
          <w:rFonts w:hint="eastAsia" w:ascii="仿宋_GB2312" w:hAnsi="仿宋_GB2312"/>
        </w:rPr>
        <w:t>-</w:t>
      </w:r>
      <w:r>
        <w:rPr>
          <w:rFonts w:hint="eastAsia"/>
        </w:rPr>
        <w:t>2035年）》</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《广州南沙新区城市总体规划》（2</w:t>
      </w:r>
      <w:r>
        <w:t>012</w:t>
      </w:r>
      <w:r>
        <w:rPr>
          <w:rFonts w:hint="eastAsia" w:ascii="仿宋_GB2312" w:hAnsi="仿宋_GB2312"/>
        </w:rPr>
        <w:t>-</w:t>
      </w:r>
      <w:r>
        <w:t>2025</w:t>
      </w:r>
      <w:r>
        <w:rPr>
          <w:rFonts w:hint="eastAsia"/>
        </w:rPr>
        <w:t>）</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《广州南沙区发展战略大纲》（2</w:t>
      </w:r>
      <w:r>
        <w:t>017</w:t>
      </w:r>
      <w:r>
        <w:rPr>
          <w:rFonts w:hint="eastAsia" w:ascii="仿宋_GB2312" w:hAnsi="仿宋_GB2312"/>
        </w:rPr>
        <w:t>-</w:t>
      </w:r>
      <w:r>
        <w:t>2035</w:t>
      </w:r>
      <w:r>
        <w:rPr>
          <w:rFonts w:hint="eastAsia"/>
        </w:rPr>
        <w:t>）</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《广州市生活垃圾收运处理系统战略规划（2018</w:t>
      </w:r>
      <w:r>
        <w:rPr>
          <w:rFonts w:hint="eastAsia" w:ascii="仿宋_GB2312" w:hAnsi="仿宋_GB2312"/>
        </w:rPr>
        <w:t>-</w:t>
      </w:r>
      <w:r>
        <w:rPr>
          <w:rFonts w:hint="eastAsia"/>
        </w:rPr>
        <w:t>2035）》</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《广州南沙新区环境卫生专项规划</w:t>
      </w:r>
      <w:r>
        <w:t>》</w:t>
      </w:r>
      <w:r>
        <w:rPr>
          <w:rFonts w:hint="eastAsia"/>
        </w:rPr>
        <w:t>（</w:t>
      </w:r>
      <w:r>
        <w:t>2015</w:t>
      </w:r>
      <w:r>
        <w:rPr>
          <w:rFonts w:ascii="仿宋_GB2312" w:hAnsi="仿宋_GB2312"/>
        </w:rPr>
        <w:t>-</w:t>
      </w:r>
      <w:r>
        <w:t>2025）</w:t>
      </w:r>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南沙区相关重点发展区域规划</w:t>
      </w:r>
    </w:p>
    <w:p>
      <w:pPr>
        <w:pStyle w:val="9"/>
        <w:keepNext/>
        <w:keepLines/>
        <w:pageBreakBefore w:val="0"/>
        <w:widowControl w:val="0"/>
        <w:kinsoku/>
        <w:wordWrap/>
        <w:overflowPunct/>
        <w:topLinePunct w:val="0"/>
        <w:autoSpaceDE/>
        <w:autoSpaceDN/>
        <w:bidi w:val="0"/>
        <w:adjustRightInd w:val="0"/>
        <w:snapToGrid w:val="0"/>
        <w:spacing w:line="560" w:lineRule="exact"/>
        <w:ind w:firstLine="640" w:firstLineChars="200"/>
        <w:textAlignment w:val="auto"/>
      </w:pPr>
      <w:bookmarkStart w:id="17" w:name="_Toc132985621"/>
      <w:bookmarkStart w:id="18" w:name="_Toc132986092"/>
      <w:bookmarkStart w:id="19" w:name="_Toc132989541"/>
      <w:r>
        <w:rPr>
          <w:rFonts w:hint="eastAsia"/>
        </w:rPr>
        <w:t>1.4规划目标</w:t>
      </w:r>
      <w:bookmarkEnd w:id="17"/>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pPr>
      <w:r>
        <w:rPr>
          <w:rFonts w:hint="eastAsia"/>
        </w:rPr>
        <w:t>构建安全可靠、科学合理、技术先进、适度超前的南沙新区环卫收运系统，落实环卫设施用地，保障环卫设施有序建设。</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pPr>
      <w:r>
        <w:rPr>
          <w:rFonts w:hint="eastAsia"/>
        </w:rPr>
        <w:t>根据最新的法定规划开展南沙新区垃圾分类收运系统战略规划及实施方案，协调法定规划与专项规划之间的主要矛盾，使两者相互衔接，进一步加强规划的可实施性。</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pPr>
      <w:r>
        <w:rPr>
          <w:rFonts w:hint="eastAsia"/>
        </w:rPr>
        <w:t>以有效整合现有环卫资源、满足城市环卫需求为目标，结合南沙区总体规划、空间规划等相关法定规划成果对用地布局的要求，落实规划环卫设施用地。</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0" w:firstLine="640" w:firstLineChars="200"/>
        <w:textAlignment w:val="auto"/>
      </w:pPr>
      <w:r>
        <w:rPr>
          <w:rFonts w:hint="eastAsia"/>
        </w:rPr>
        <w:t>构建南沙区“生活垃圾收运体系规划一张图”，一方面便于管理部门对环卫设施的管理，另一方面为环卫设施建设提供了便利的条件。</w:t>
      </w:r>
    </w:p>
    <w:p>
      <w:pPr>
        <w:pStyle w:val="9"/>
        <w:pageBreakBefore w:val="0"/>
        <w:widowControl w:val="0"/>
        <w:kinsoku/>
        <w:wordWrap/>
        <w:overflowPunct/>
        <w:topLinePunct w:val="0"/>
        <w:autoSpaceDE/>
        <w:autoSpaceDN/>
        <w:bidi w:val="0"/>
        <w:snapToGrid w:val="0"/>
        <w:spacing w:line="560" w:lineRule="exact"/>
        <w:ind w:firstLine="640" w:firstLineChars="200"/>
        <w:textAlignment w:val="auto"/>
      </w:pPr>
      <w:bookmarkStart w:id="20" w:name="_Toc132989545"/>
      <w:bookmarkStart w:id="21" w:name="_Toc132985625"/>
      <w:bookmarkStart w:id="22" w:name="_Toc132986096"/>
      <w:r>
        <w:rPr>
          <w:rFonts w:hint="eastAsia"/>
        </w:rPr>
        <w:t>1.</w:t>
      </w:r>
      <w:r>
        <w:t>5</w:t>
      </w:r>
      <w:r>
        <w:rPr>
          <w:rFonts w:hint="eastAsia"/>
        </w:rPr>
        <w:t>规划发展策略</w:t>
      </w:r>
      <w:bookmarkEnd w:id="20"/>
      <w:bookmarkEnd w:id="21"/>
      <w:bookmarkEnd w:id="22"/>
    </w:p>
    <w:p>
      <w:pPr>
        <w:pStyle w:val="10"/>
        <w:pageBreakBefore w:val="0"/>
        <w:widowControl w:val="0"/>
        <w:kinsoku/>
        <w:wordWrap/>
        <w:overflowPunct/>
        <w:topLinePunct w:val="0"/>
        <w:autoSpaceDE/>
        <w:autoSpaceDN/>
        <w:bidi w:val="0"/>
        <w:snapToGrid w:val="0"/>
        <w:spacing w:line="560" w:lineRule="exact"/>
        <w:ind w:firstLine="642" w:firstLineChars="200"/>
        <w:textAlignment w:val="auto"/>
        <w:rPr>
          <w:rFonts w:hint="eastAsia"/>
        </w:rPr>
      </w:pPr>
      <w:bookmarkStart w:id="23" w:name="_Toc132989546"/>
      <w:r>
        <w:rPr>
          <w:rFonts w:hint="eastAsia"/>
        </w:rPr>
        <w:t>1.</w:t>
      </w:r>
      <w:r>
        <w:t>5</w:t>
      </w:r>
      <w:r>
        <w:rPr>
          <w:rFonts w:hint="eastAsia"/>
        </w:rPr>
        <w:t>.1聚焦“前端预防”，提升源头减量水平</w:t>
      </w:r>
      <w:bookmarkEnd w:id="23"/>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推进“前端预防”，是实现生活垃圾源头减量的重要手段。生活垃圾的源头减量，除了在生产、流通、消费环节开展限制商品过度包装，限制使用不可降解材料等行动外，还应大力推进上层固废大分流，推进生产者责任制，实施强制分类等“前端预防”手段，推动南沙区生活垃圾源头减量工作有效实现。</w:t>
      </w:r>
    </w:p>
    <w:p>
      <w:pPr>
        <w:pStyle w:val="10"/>
        <w:pageBreakBefore w:val="0"/>
        <w:widowControl w:val="0"/>
        <w:kinsoku/>
        <w:wordWrap/>
        <w:overflowPunct/>
        <w:topLinePunct w:val="0"/>
        <w:autoSpaceDE/>
        <w:autoSpaceDN/>
        <w:bidi w:val="0"/>
        <w:snapToGrid w:val="0"/>
        <w:spacing w:line="560" w:lineRule="exact"/>
        <w:ind w:firstLine="642" w:firstLineChars="200"/>
        <w:textAlignment w:val="auto"/>
        <w:rPr>
          <w:rFonts w:hint="eastAsia"/>
        </w:rPr>
      </w:pPr>
      <w:bookmarkStart w:id="24" w:name="_Toc132989547"/>
      <w:r>
        <w:rPr>
          <w:rFonts w:hint="eastAsia"/>
        </w:rPr>
        <w:t>1.</w:t>
      </w:r>
      <w:r>
        <w:t>5</w:t>
      </w:r>
      <w:r>
        <w:rPr>
          <w:rFonts w:hint="eastAsia"/>
        </w:rPr>
        <w:t>.2聚焦体系建设，提升收运系统功能</w:t>
      </w:r>
      <w:bookmarkEnd w:id="24"/>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rPr>
      </w:pPr>
      <w:r>
        <w:rPr>
          <w:rFonts w:hint="eastAsia"/>
        </w:rPr>
        <w:t>以全面建设生活垃圾分类收运体系为战略引领，把提升生活垃圾分类收运体系系统功能作为决定全面推广垃圾分类发展质量的关键环节，增强南沙区城市高质量发展的可靠保障。</w:t>
      </w:r>
    </w:p>
    <w:p>
      <w:pPr>
        <w:pStyle w:val="10"/>
        <w:pageBreakBefore w:val="0"/>
        <w:widowControl w:val="0"/>
        <w:kinsoku/>
        <w:wordWrap/>
        <w:overflowPunct/>
        <w:topLinePunct w:val="0"/>
        <w:autoSpaceDE/>
        <w:autoSpaceDN/>
        <w:bidi w:val="0"/>
        <w:snapToGrid w:val="0"/>
        <w:spacing w:line="560" w:lineRule="exact"/>
        <w:ind w:firstLine="642" w:firstLineChars="200"/>
        <w:textAlignment w:val="auto"/>
        <w:rPr>
          <w:rFonts w:hint="eastAsia"/>
        </w:rPr>
      </w:pPr>
      <w:bookmarkStart w:id="25" w:name="_Toc132989548"/>
      <w:r>
        <w:rPr>
          <w:rFonts w:hint="eastAsia"/>
        </w:rPr>
        <w:t>1.</w:t>
      </w:r>
      <w:r>
        <w:t>5</w:t>
      </w:r>
      <w:r>
        <w:rPr>
          <w:rFonts w:hint="eastAsia"/>
        </w:rPr>
        <w:t>.3聚焦“末端处理”，提升循环处理能力</w:t>
      </w:r>
      <w:bookmarkEnd w:id="25"/>
    </w:p>
    <w:p>
      <w:pPr>
        <w:pageBreakBefore w:val="0"/>
        <w:widowControl w:val="0"/>
        <w:kinsoku/>
        <w:wordWrap/>
        <w:overflowPunct/>
        <w:topLinePunct w:val="0"/>
        <w:autoSpaceDE/>
        <w:autoSpaceDN/>
        <w:bidi w:val="0"/>
        <w:snapToGrid w:val="0"/>
        <w:spacing w:line="560" w:lineRule="exact"/>
        <w:ind w:firstLine="640" w:firstLineChars="200"/>
        <w:textAlignment w:val="auto"/>
        <w:rPr>
          <w:rFonts w:hint="eastAsia"/>
        </w:rPr>
      </w:pPr>
      <w:r>
        <w:rPr>
          <w:rFonts w:hint="eastAsia"/>
        </w:rPr>
        <w:t>落实“前端预防、分类收运”战略，在此前提下，构建循环处理系统，实现对生活垃圾的综合处理。综合处理是将多种生活垃圾处理处置技术以适当的方式有机地结合在一起，形成完整的循环处理系统。规划将优化不同处理设施的数量和选址，优化生活垃圾物流在不同处理设施之间的分配，从而改善生活垃圾处理的效果，降低生活垃圾处理的费用，实现生活垃圾的资源化。</w:t>
      </w:r>
    </w:p>
    <w:p>
      <w:pPr>
        <w:pStyle w:val="10"/>
        <w:pageBreakBefore w:val="0"/>
        <w:widowControl w:val="0"/>
        <w:kinsoku/>
        <w:wordWrap/>
        <w:overflowPunct/>
        <w:topLinePunct w:val="0"/>
        <w:autoSpaceDE/>
        <w:autoSpaceDN/>
        <w:bidi w:val="0"/>
        <w:snapToGrid w:val="0"/>
        <w:spacing w:line="560" w:lineRule="exact"/>
        <w:ind w:firstLine="642" w:firstLineChars="200"/>
        <w:textAlignment w:val="auto"/>
        <w:rPr>
          <w:rFonts w:hint="eastAsia"/>
        </w:rPr>
      </w:pPr>
      <w:bookmarkStart w:id="26" w:name="_Toc132989549"/>
      <w:r>
        <w:rPr>
          <w:rFonts w:hint="eastAsia"/>
        </w:rPr>
        <w:t>1.</w:t>
      </w:r>
      <w:r>
        <w:t>5</w:t>
      </w:r>
      <w:r>
        <w:rPr>
          <w:rFonts w:hint="eastAsia"/>
        </w:rPr>
        <w:t>.4聚焦空间布局，提升规划引领作用</w:t>
      </w:r>
      <w:bookmarkEnd w:id="26"/>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优化生活垃圾分类收运、处理设施空间布局，有效衔接国土空间规划，是保障本规划有序实施的关键举措。规划根据南沙区国土空间发展战略、城乡空间网络体系以及相关刚性管控要求，优化完善设施布局，并有效反馈国土空间规划，实现规划编制的有效传导，提升了规划的引领作用，保障南沙区生活垃圾分类收运处理系统的有序建设。</w:t>
      </w:r>
    </w:p>
    <w:p>
      <w:pPr>
        <w:pStyle w:val="10"/>
        <w:pageBreakBefore w:val="0"/>
        <w:widowControl w:val="0"/>
        <w:kinsoku/>
        <w:wordWrap/>
        <w:overflowPunct/>
        <w:topLinePunct w:val="0"/>
        <w:autoSpaceDE/>
        <w:autoSpaceDN/>
        <w:bidi w:val="0"/>
        <w:snapToGrid w:val="0"/>
        <w:spacing w:line="560" w:lineRule="exact"/>
        <w:ind w:firstLine="642" w:firstLineChars="200"/>
        <w:textAlignment w:val="auto"/>
        <w:rPr>
          <w:rFonts w:hint="eastAsia"/>
        </w:rPr>
      </w:pPr>
      <w:bookmarkStart w:id="27" w:name="_Toc132989550"/>
      <w:r>
        <w:rPr>
          <w:rFonts w:hint="eastAsia"/>
        </w:rPr>
        <w:t>1.</w:t>
      </w:r>
      <w:r>
        <w:t>5</w:t>
      </w:r>
      <w:r>
        <w:rPr>
          <w:rFonts w:hint="eastAsia"/>
        </w:rPr>
        <w:t>.5聚焦科学创新，提升城市形象标杆</w:t>
      </w:r>
      <w:bookmarkEnd w:id="27"/>
    </w:p>
    <w:p>
      <w:pPr>
        <w:pageBreakBefore w:val="0"/>
        <w:widowControl w:val="0"/>
        <w:kinsoku/>
        <w:wordWrap/>
        <w:overflowPunct/>
        <w:topLinePunct w:val="0"/>
        <w:autoSpaceDE/>
        <w:autoSpaceDN/>
        <w:bidi w:val="0"/>
        <w:snapToGrid w:val="0"/>
        <w:spacing w:line="560" w:lineRule="exact"/>
        <w:ind w:firstLine="640" w:firstLineChars="200"/>
        <w:textAlignment w:val="auto"/>
      </w:pPr>
      <w:r>
        <w:rPr>
          <w:rFonts w:hint="eastAsia"/>
        </w:rPr>
        <w:t>科技创新是实现智慧管理的重要技术支撑，在精细化管理、智慧化管理中发挥重要作用。规划将积极探索新工艺、新技术在生活垃圾分类收运处理系统的应用和适应性分析，以提升基础设施的综合保障能力，从容应对未来生活垃圾收运处理需求。统筹推进生活垃圾分类收运处理设施的高标准规划建设，优化空间布局，加强城市管理的智慧化精细化，塑造城市文明形象名片。</w:t>
      </w:r>
    </w:p>
    <w:p>
      <w:pPr>
        <w:ind w:firstLine="0" w:firstLineChars="0"/>
        <w:jc w:val="center"/>
        <w:rPr>
          <w:rFonts w:hint="eastAsia"/>
        </w:rPr>
      </w:pPr>
    </w:p>
    <w:p>
      <w:pPr>
        <w:pStyle w:val="8"/>
        <w:pageBreakBefore w:val="0"/>
        <w:kinsoku/>
        <w:wordWrap/>
        <w:overflowPunct/>
        <w:topLinePunct w:val="0"/>
        <w:bidi w:val="0"/>
        <w:snapToGrid w:val="0"/>
        <w:spacing w:after="312" w:line="560" w:lineRule="exact"/>
        <w:textAlignment w:val="auto"/>
      </w:pPr>
      <w:r>
        <w:br w:type="page"/>
      </w:r>
      <w:bookmarkStart w:id="28" w:name="_Toc132985630"/>
      <w:bookmarkStart w:id="29" w:name="_Toc132989555"/>
      <w:bookmarkStart w:id="30" w:name="_Toc132986101"/>
      <w:bookmarkStart w:id="31" w:name="_Toc31624"/>
      <w:r>
        <w:rPr>
          <w:rFonts w:hint="eastAsia"/>
        </w:rPr>
        <w:t>第二章 生活垃圾量预测</w:t>
      </w:r>
      <w:bookmarkEnd w:id="28"/>
      <w:bookmarkEnd w:id="29"/>
      <w:bookmarkEnd w:id="30"/>
      <w:bookmarkEnd w:id="31"/>
    </w:p>
    <w:p>
      <w:pPr>
        <w:pStyle w:val="10"/>
        <w:pageBreakBefore w:val="0"/>
        <w:kinsoku/>
        <w:wordWrap/>
        <w:overflowPunct/>
        <w:topLinePunct w:val="0"/>
        <w:bidi w:val="0"/>
        <w:snapToGrid w:val="0"/>
        <w:spacing w:line="560" w:lineRule="exact"/>
        <w:ind w:firstLine="640" w:firstLineChars="200"/>
        <w:textAlignment w:val="auto"/>
        <w:rPr>
          <w:b w:val="0"/>
          <w:bCs/>
        </w:rPr>
      </w:pPr>
      <w:bookmarkStart w:id="32" w:name="_Toc132985631"/>
      <w:bookmarkStart w:id="33" w:name="_Toc132989556"/>
      <w:bookmarkStart w:id="34" w:name="_Toc132986102"/>
      <w:r>
        <w:rPr>
          <w:rFonts w:hint="eastAsia"/>
          <w:b w:val="0"/>
          <w:bCs/>
          <w:lang w:val="en-US" w:eastAsia="zh-CN"/>
        </w:rPr>
        <w:t>2</w:t>
      </w:r>
      <w:r>
        <w:rPr>
          <w:rFonts w:hint="eastAsia"/>
          <w:b w:val="0"/>
          <w:bCs/>
        </w:rPr>
        <w:t>.1</w:t>
      </w:r>
      <w:r>
        <w:rPr>
          <w:rFonts w:hint="eastAsia" w:ascii="楷体_GB2312" w:hAnsi="楷体_GB2312" w:eastAsia="楷体_GB2312" w:cs="楷体_GB2312"/>
          <w:b w:val="0"/>
          <w:bCs/>
        </w:rPr>
        <w:t>生活垃圾清运量预测（不含餐饮垃圾）</w:t>
      </w:r>
      <w:bookmarkEnd w:id="32"/>
      <w:bookmarkEnd w:id="33"/>
      <w:bookmarkEnd w:id="34"/>
    </w:p>
    <w:p>
      <w:pPr>
        <w:pageBreakBefore w:val="0"/>
        <w:kinsoku/>
        <w:wordWrap/>
        <w:overflowPunct/>
        <w:topLinePunct w:val="0"/>
        <w:autoSpaceDE w:val="0"/>
        <w:autoSpaceDN w:val="0"/>
        <w:bidi w:val="0"/>
        <w:adjustRightInd w:val="0"/>
        <w:snapToGrid w:val="0"/>
        <w:spacing w:line="560" w:lineRule="exact"/>
        <w:ind w:firstLine="640"/>
        <w:textAlignment w:val="auto"/>
        <w:rPr>
          <w:rFonts w:cs="宋体"/>
          <w:kern w:val="0"/>
        </w:rPr>
      </w:pPr>
      <w:r>
        <w:rPr>
          <w:rFonts w:hint="eastAsia" w:cs="宋体"/>
          <w:kern w:val="0"/>
        </w:rPr>
        <w:t>采用类比法、平均年增长率、灰色模型预测法、线性回归分析法预测南沙区生活垃圾清运量。2025年规划生活垃圾清运量为1587吨/日，2035年规划生活垃圾清运量为3450吨/日。</w:t>
      </w:r>
    </w:p>
    <w:p>
      <w:pPr>
        <w:pStyle w:val="10"/>
        <w:pageBreakBefore w:val="0"/>
        <w:kinsoku/>
        <w:wordWrap/>
        <w:overflowPunct/>
        <w:topLinePunct w:val="0"/>
        <w:bidi w:val="0"/>
        <w:snapToGrid w:val="0"/>
        <w:spacing w:line="560" w:lineRule="exact"/>
        <w:ind w:firstLine="640" w:firstLineChars="200"/>
        <w:textAlignment w:val="auto"/>
        <w:rPr>
          <w:b w:val="0"/>
          <w:bCs/>
        </w:rPr>
      </w:pPr>
      <w:r>
        <w:rPr>
          <w:rFonts w:hint="eastAsia"/>
          <w:b w:val="0"/>
          <w:bCs/>
          <w:lang w:val="en-US" w:eastAsia="zh-CN"/>
        </w:rPr>
        <w:t>2</w:t>
      </w:r>
      <w:r>
        <w:rPr>
          <w:rFonts w:hint="eastAsia"/>
          <w:b w:val="0"/>
          <w:bCs/>
        </w:rPr>
        <w:t>.</w:t>
      </w:r>
      <w:r>
        <w:rPr>
          <w:b w:val="0"/>
          <w:bCs/>
        </w:rPr>
        <w:t>2</w:t>
      </w:r>
      <w:r>
        <w:rPr>
          <w:rFonts w:hint="eastAsia" w:ascii="楷体_GB2312" w:hAnsi="楷体_GB2312" w:eastAsia="楷体_GB2312" w:cs="楷体_GB2312"/>
          <w:b w:val="0"/>
          <w:bCs/>
        </w:rPr>
        <w:t>餐饮垃圾量预测</w:t>
      </w:r>
    </w:p>
    <w:p>
      <w:pPr>
        <w:pageBreakBefore w:val="0"/>
        <w:kinsoku/>
        <w:wordWrap/>
        <w:overflowPunct/>
        <w:topLinePunct w:val="0"/>
        <w:autoSpaceDE w:val="0"/>
        <w:autoSpaceDN w:val="0"/>
        <w:bidi w:val="0"/>
        <w:adjustRightInd w:val="0"/>
        <w:snapToGrid w:val="0"/>
        <w:spacing w:line="560" w:lineRule="exact"/>
        <w:ind w:firstLine="640"/>
        <w:textAlignment w:val="auto"/>
        <w:rPr>
          <w:rFonts w:cs="宋体"/>
          <w:kern w:val="0"/>
        </w:rPr>
      </w:pPr>
      <w:r>
        <w:rPr>
          <w:rFonts w:hint="eastAsia" w:cs="宋体"/>
          <w:kern w:val="0"/>
        </w:rPr>
        <w:t>采用《餐厨垃圾处理技术规范》（CJJ 184-2012）指标法和生活垃圾量占比估算法预测餐饮垃圾量。2025年规划餐饮垃圾量为188吨/日，2035年规划餐饮垃圾量为423吨/日。</w:t>
      </w:r>
    </w:p>
    <w:p>
      <w:pPr>
        <w:pStyle w:val="8"/>
        <w:pageBreakBefore w:val="0"/>
        <w:kinsoku/>
        <w:wordWrap/>
        <w:overflowPunct/>
        <w:topLinePunct w:val="0"/>
        <w:bidi w:val="0"/>
        <w:snapToGrid w:val="0"/>
        <w:spacing w:after="312" w:line="560" w:lineRule="exact"/>
        <w:textAlignment w:val="auto"/>
      </w:pPr>
      <w:r>
        <w:br w:type="page"/>
      </w:r>
      <w:bookmarkStart w:id="35" w:name="_Toc132989566"/>
      <w:bookmarkStart w:id="36" w:name="_Toc22755"/>
      <w:bookmarkStart w:id="37" w:name="_Toc132985633"/>
      <w:bookmarkStart w:id="38" w:name="_Toc132986104"/>
      <w:r>
        <w:rPr>
          <w:rFonts w:hint="eastAsia"/>
        </w:rPr>
        <w:t>第三章 生活垃圾分类体系规划</w:t>
      </w:r>
      <w:bookmarkEnd w:id="35"/>
      <w:bookmarkEnd w:id="36"/>
      <w:bookmarkEnd w:id="37"/>
      <w:bookmarkEnd w:id="38"/>
    </w:p>
    <w:p>
      <w:pPr>
        <w:pStyle w:val="9"/>
        <w:pageBreakBefore w:val="0"/>
        <w:kinsoku/>
        <w:wordWrap/>
        <w:overflowPunct/>
        <w:topLinePunct w:val="0"/>
        <w:bidi w:val="0"/>
        <w:snapToGrid w:val="0"/>
        <w:spacing w:line="560" w:lineRule="exact"/>
        <w:ind w:firstLine="640" w:firstLineChars="200"/>
        <w:textAlignment w:val="auto"/>
      </w:pPr>
      <w:bookmarkStart w:id="39" w:name="_Toc132986105"/>
      <w:bookmarkStart w:id="40" w:name="_Toc132985634"/>
      <w:bookmarkStart w:id="41" w:name="_Toc132989567"/>
      <w:r>
        <w:t>3.1南沙区生活垃圾分类种类的确定</w:t>
      </w:r>
      <w:bookmarkEnd w:id="39"/>
      <w:bookmarkEnd w:id="40"/>
      <w:bookmarkEnd w:id="41"/>
    </w:p>
    <w:p>
      <w:pPr>
        <w:pStyle w:val="10"/>
        <w:pageBreakBefore w:val="0"/>
        <w:kinsoku/>
        <w:wordWrap/>
        <w:overflowPunct/>
        <w:topLinePunct w:val="0"/>
        <w:bidi w:val="0"/>
        <w:snapToGrid w:val="0"/>
        <w:spacing w:line="560" w:lineRule="exact"/>
        <w:ind w:firstLine="642" w:firstLineChars="200"/>
        <w:textAlignment w:val="auto"/>
      </w:pPr>
      <w:bookmarkStart w:id="42" w:name="_Toc132989568"/>
      <w:r>
        <w:t>3.1.1</w:t>
      </w:r>
      <w:r>
        <w:rPr>
          <w:rFonts w:hint="eastAsia"/>
        </w:rPr>
        <w:t>生活垃圾分类种类</w:t>
      </w:r>
      <w:bookmarkEnd w:id="42"/>
    </w:p>
    <w:p>
      <w:pPr>
        <w:pageBreakBefore w:val="0"/>
        <w:kinsoku/>
        <w:wordWrap/>
        <w:overflowPunct/>
        <w:topLinePunct w:val="0"/>
        <w:bidi w:val="0"/>
        <w:snapToGrid w:val="0"/>
        <w:spacing w:line="560" w:lineRule="exact"/>
        <w:ind w:firstLine="640"/>
        <w:textAlignment w:val="auto"/>
        <w:rPr>
          <w:rFonts w:hint="eastAsia"/>
        </w:rPr>
      </w:pPr>
      <w:r>
        <w:rPr>
          <w:rFonts w:hint="eastAsia"/>
        </w:rPr>
        <w:t>根据《广州市生活垃圾分类管理条例》（2020修正）、《广州市生活垃圾收运处理战略规划（2018-2035年）》，广州市目前生活垃圾分为“可回收物、餐厨垃圾（易腐垃圾）、有害垃圾、其他垃圾”四大类。</w:t>
      </w:r>
    </w:p>
    <w:p>
      <w:pPr>
        <w:pageBreakBefore w:val="0"/>
        <w:kinsoku/>
        <w:wordWrap/>
        <w:overflowPunct/>
        <w:topLinePunct w:val="0"/>
        <w:bidi w:val="0"/>
        <w:snapToGrid w:val="0"/>
        <w:spacing w:line="560" w:lineRule="exact"/>
        <w:ind w:firstLine="640"/>
        <w:textAlignment w:val="auto"/>
      </w:pPr>
      <w:r>
        <w:rPr>
          <w:rFonts w:hint="eastAsia"/>
        </w:rPr>
        <w:t>结合生活垃圾的组成、利用价值以及环境影响程度等因素，本规划延续这种分类制度，将生活垃圾分为可回收物、有害垃圾、餐厨垃圾（易腐垃圾）和其他垃圾四类。</w:t>
      </w:r>
    </w:p>
    <w:p>
      <w:pPr>
        <w:pStyle w:val="10"/>
        <w:pageBreakBefore w:val="0"/>
        <w:kinsoku/>
        <w:wordWrap/>
        <w:overflowPunct/>
        <w:topLinePunct w:val="0"/>
        <w:bidi w:val="0"/>
        <w:snapToGrid w:val="0"/>
        <w:spacing w:line="560" w:lineRule="exact"/>
        <w:ind w:firstLine="642" w:firstLineChars="200"/>
        <w:textAlignment w:val="auto"/>
      </w:pPr>
      <w:bookmarkStart w:id="43" w:name="_Toc132989569"/>
      <w:r>
        <w:t>3.1.2</w:t>
      </w:r>
      <w:r>
        <w:rPr>
          <w:rFonts w:hint="eastAsia"/>
        </w:rPr>
        <w:t>不同区域生活垃圾分类方案</w:t>
      </w:r>
      <w:bookmarkEnd w:id="43"/>
    </w:p>
    <w:p>
      <w:pPr>
        <w:pageBreakBefore w:val="0"/>
        <w:kinsoku/>
        <w:wordWrap/>
        <w:overflowPunct/>
        <w:topLinePunct w:val="0"/>
        <w:bidi w:val="0"/>
        <w:snapToGrid w:val="0"/>
        <w:spacing w:line="560" w:lineRule="exact"/>
        <w:ind w:firstLine="640"/>
        <w:textAlignment w:val="auto"/>
        <w:rPr>
          <w:rFonts w:hint="eastAsia"/>
        </w:rPr>
      </w:pPr>
      <w:r>
        <w:rPr>
          <w:rFonts w:hint="eastAsia"/>
        </w:rPr>
        <w:t>规划近中期形成源头分类+资源回收的生活垃圾分类路线，实行生活垃圾分四类的源头分类制度，其中有害垃圾强制分类，公共机构和企业实行强制源头分类四类制度，培育居民源头分类习惯，推行居民生活垃圾强制源头分四类制度。分类后续环节配套相应的分类收集、运输和处理设备设施。</w:t>
      </w:r>
    </w:p>
    <w:p>
      <w:pPr>
        <w:pageBreakBefore w:val="0"/>
        <w:kinsoku/>
        <w:wordWrap/>
        <w:overflowPunct/>
        <w:topLinePunct w:val="0"/>
        <w:bidi w:val="0"/>
        <w:snapToGrid w:val="0"/>
        <w:spacing w:line="560" w:lineRule="exact"/>
        <w:ind w:firstLine="640"/>
        <w:textAlignment w:val="auto"/>
      </w:pPr>
      <w:r>
        <w:rPr>
          <w:rFonts w:hint="eastAsia"/>
        </w:rPr>
        <w:t>在以上分类的基础，根据居民住宅区、商业办公区、公共场所和道路产生垃圾的不同性质对生活垃圾分类的种类进行调整，具体如下。</w:t>
      </w:r>
    </w:p>
    <w:p>
      <w:pPr>
        <w:pStyle w:val="75"/>
        <w:pageBreakBefore w:val="0"/>
        <w:numPr>
          <w:ilvl w:val="0"/>
          <w:numId w:val="1"/>
        </w:numPr>
        <w:kinsoku/>
        <w:wordWrap/>
        <w:overflowPunct/>
        <w:topLinePunct w:val="0"/>
        <w:bidi w:val="0"/>
        <w:snapToGrid w:val="0"/>
        <w:spacing w:line="560" w:lineRule="exact"/>
        <w:ind w:left="0" w:firstLine="420"/>
        <w:jc w:val="center"/>
        <w:textAlignment w:val="auto"/>
        <w:rPr>
          <w:rFonts w:ascii="Times New Roman" w:hAnsi="Times New Roman"/>
          <w:sz w:val="21"/>
          <w:szCs w:val="21"/>
        </w:rPr>
      </w:pPr>
      <w:r>
        <w:rPr>
          <w:rFonts w:hint="eastAsia" w:ascii="Times New Roman" w:hAnsi="Times New Roman"/>
          <w:sz w:val="21"/>
          <w:szCs w:val="21"/>
        </w:rPr>
        <w:br w:type="page"/>
      </w:r>
      <w:r>
        <w:rPr>
          <w:rFonts w:hint="eastAsia" w:ascii="Times New Roman" w:hAnsi="Times New Roman"/>
          <w:sz w:val="21"/>
          <w:szCs w:val="21"/>
        </w:rPr>
        <w:t xml:space="preserve"> 不同区域生活垃圾分类方案</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6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2354" w:type="dxa"/>
            <w:vAlign w:val="center"/>
          </w:tcPr>
          <w:p>
            <w:pPr>
              <w:pStyle w:val="58"/>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黑体" w:hAnsi="黑体" w:eastAsia="黑体" w:cs="黑体"/>
                <w:szCs w:val="21"/>
              </w:rPr>
            </w:pPr>
            <w:r>
              <w:rPr>
                <w:rFonts w:hint="eastAsia" w:ascii="黑体" w:hAnsi="黑体" w:eastAsia="黑体" w:cs="黑体"/>
                <w:szCs w:val="21"/>
              </w:rPr>
              <w:t>场所</w:t>
            </w:r>
          </w:p>
        </w:tc>
        <w:tc>
          <w:tcPr>
            <w:tcW w:w="6168" w:type="dxa"/>
            <w:vAlign w:val="center"/>
          </w:tcPr>
          <w:p>
            <w:pPr>
              <w:pStyle w:val="58"/>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int="eastAsia" w:ascii="黑体" w:hAnsi="黑体" w:eastAsia="黑体" w:cs="黑体"/>
                <w:szCs w:val="21"/>
              </w:rPr>
            </w:pPr>
            <w:r>
              <w:rPr>
                <w:rFonts w:hint="eastAsia" w:ascii="黑体" w:hAnsi="黑体" w:eastAsia="黑体" w:cs="黑体"/>
                <w:szCs w:val="21"/>
              </w:rPr>
              <w:t>垃圾类型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4" w:type="dxa"/>
            <w:vAlign w:val="center"/>
          </w:tcPr>
          <w:p>
            <w:pPr>
              <w:pStyle w:val="58"/>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Ansi="Times New Roman"/>
                <w:szCs w:val="21"/>
              </w:rPr>
            </w:pPr>
            <w:r>
              <w:rPr>
                <w:rFonts w:hint="eastAsia" w:hAnsi="Times New Roman"/>
                <w:szCs w:val="21"/>
              </w:rPr>
              <w:t>居住住宅区</w:t>
            </w:r>
          </w:p>
        </w:tc>
        <w:tc>
          <w:tcPr>
            <w:tcW w:w="6168" w:type="dxa"/>
            <w:vAlign w:val="center"/>
          </w:tcPr>
          <w:p>
            <w:pPr>
              <w:pStyle w:val="58"/>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Ansi="Times New Roman"/>
                <w:szCs w:val="21"/>
              </w:rPr>
            </w:pPr>
            <w:r>
              <w:rPr>
                <w:rFonts w:hint="eastAsia" w:hAnsi="Times New Roman"/>
                <w:szCs w:val="21"/>
              </w:rPr>
              <w:t>可回收物、餐厨垃圾、有害垃圾、其他垃圾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4" w:type="dxa"/>
            <w:vAlign w:val="center"/>
          </w:tcPr>
          <w:p>
            <w:pPr>
              <w:pStyle w:val="58"/>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Ansi="Times New Roman"/>
                <w:szCs w:val="21"/>
              </w:rPr>
            </w:pPr>
            <w:r>
              <w:rPr>
                <w:rFonts w:hint="eastAsia" w:hAnsi="Times New Roman"/>
                <w:szCs w:val="21"/>
              </w:rPr>
              <w:t>商业办公区</w:t>
            </w:r>
          </w:p>
        </w:tc>
        <w:tc>
          <w:tcPr>
            <w:tcW w:w="6168" w:type="dxa"/>
            <w:vAlign w:val="center"/>
          </w:tcPr>
          <w:p>
            <w:pPr>
              <w:pStyle w:val="58"/>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Ansi="Times New Roman"/>
                <w:szCs w:val="21"/>
              </w:rPr>
            </w:pPr>
            <w:r>
              <w:rPr>
                <w:rFonts w:hint="eastAsia" w:hAnsi="Times New Roman"/>
                <w:szCs w:val="21"/>
              </w:rPr>
              <w:t>可回收物、餐厨垃圾、有害垃圾、其他垃圾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4" w:type="dxa"/>
            <w:vAlign w:val="center"/>
          </w:tcPr>
          <w:p>
            <w:pPr>
              <w:pStyle w:val="58"/>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Ansi="Times New Roman"/>
                <w:szCs w:val="21"/>
              </w:rPr>
            </w:pPr>
            <w:r>
              <w:rPr>
                <w:rFonts w:hint="eastAsia" w:hAnsi="Times New Roman"/>
                <w:szCs w:val="21"/>
              </w:rPr>
              <w:t>餐饮服务经营场所</w:t>
            </w:r>
          </w:p>
        </w:tc>
        <w:tc>
          <w:tcPr>
            <w:tcW w:w="6168" w:type="dxa"/>
            <w:vAlign w:val="center"/>
          </w:tcPr>
          <w:p>
            <w:pPr>
              <w:pStyle w:val="58"/>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Ansi="Times New Roman"/>
                <w:szCs w:val="21"/>
              </w:rPr>
            </w:pPr>
            <w:r>
              <w:rPr>
                <w:rFonts w:hint="eastAsia" w:hAnsi="Times New Roman"/>
                <w:szCs w:val="21"/>
              </w:rPr>
              <w:t>可回收物、餐厨垃圾、其他垃圾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4" w:type="dxa"/>
            <w:vAlign w:val="center"/>
          </w:tcPr>
          <w:p>
            <w:pPr>
              <w:pStyle w:val="58"/>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Ansi="Times New Roman"/>
                <w:szCs w:val="21"/>
              </w:rPr>
            </w:pPr>
            <w:r>
              <w:rPr>
                <w:rFonts w:hint="eastAsia" w:hAnsi="Times New Roman"/>
                <w:szCs w:val="21"/>
              </w:rPr>
              <w:t>公共场所</w:t>
            </w:r>
          </w:p>
        </w:tc>
        <w:tc>
          <w:tcPr>
            <w:tcW w:w="6168" w:type="dxa"/>
            <w:vAlign w:val="center"/>
          </w:tcPr>
          <w:p>
            <w:pPr>
              <w:pStyle w:val="58"/>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Ansi="Times New Roman"/>
                <w:szCs w:val="21"/>
              </w:rPr>
            </w:pPr>
            <w:r>
              <w:rPr>
                <w:rFonts w:hint="eastAsia" w:hAnsi="Times New Roman"/>
                <w:szCs w:val="21"/>
              </w:rPr>
              <w:t>可回收物、其他垃圾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4" w:type="dxa"/>
            <w:vAlign w:val="center"/>
          </w:tcPr>
          <w:p>
            <w:pPr>
              <w:pStyle w:val="58"/>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Ansi="Times New Roman"/>
                <w:szCs w:val="21"/>
              </w:rPr>
            </w:pPr>
            <w:r>
              <w:rPr>
                <w:rFonts w:hint="eastAsia" w:hAnsi="Times New Roman"/>
                <w:szCs w:val="21"/>
              </w:rPr>
              <w:t>商场、超市、农副产品市场</w:t>
            </w:r>
          </w:p>
        </w:tc>
        <w:tc>
          <w:tcPr>
            <w:tcW w:w="6168" w:type="dxa"/>
            <w:vAlign w:val="center"/>
          </w:tcPr>
          <w:p>
            <w:pPr>
              <w:pStyle w:val="58"/>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Ansi="Times New Roman"/>
                <w:szCs w:val="21"/>
              </w:rPr>
            </w:pPr>
            <w:r>
              <w:rPr>
                <w:rFonts w:hint="eastAsia" w:hAnsi="Times New Roman"/>
                <w:szCs w:val="21"/>
              </w:rPr>
              <w:t>可回收物、餐厨垃圾、其他垃圾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4" w:type="dxa"/>
            <w:vAlign w:val="center"/>
          </w:tcPr>
          <w:p>
            <w:pPr>
              <w:pStyle w:val="58"/>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Ansi="Times New Roman"/>
                <w:szCs w:val="21"/>
              </w:rPr>
            </w:pPr>
            <w:r>
              <w:rPr>
                <w:rFonts w:hint="eastAsia" w:hAnsi="Times New Roman"/>
                <w:szCs w:val="21"/>
              </w:rPr>
              <w:t>乡村地区</w:t>
            </w:r>
          </w:p>
        </w:tc>
        <w:tc>
          <w:tcPr>
            <w:tcW w:w="6168" w:type="dxa"/>
            <w:vAlign w:val="center"/>
          </w:tcPr>
          <w:p>
            <w:pPr>
              <w:pStyle w:val="58"/>
              <w:keepNext w:val="0"/>
              <w:keepLines w:val="0"/>
              <w:pageBreakBefore w:val="0"/>
              <w:widowControl w:val="0"/>
              <w:kinsoku/>
              <w:wordWrap/>
              <w:overflowPunct/>
              <w:topLinePunct w:val="0"/>
              <w:autoSpaceDE/>
              <w:autoSpaceDN/>
              <w:bidi w:val="0"/>
              <w:adjustRightInd/>
              <w:snapToGrid w:val="0"/>
              <w:spacing w:line="400" w:lineRule="exact"/>
              <w:ind w:firstLine="0" w:firstLineChars="0"/>
              <w:textAlignment w:val="auto"/>
              <w:rPr>
                <w:rFonts w:hAnsi="Times New Roman"/>
                <w:szCs w:val="21"/>
              </w:rPr>
            </w:pPr>
            <w:r>
              <w:rPr>
                <w:rFonts w:hint="eastAsia" w:hAnsi="Times New Roman"/>
                <w:szCs w:val="21"/>
              </w:rPr>
              <w:t>可回收物、餐厨垃圾、有害垃圾、其他垃圾</w:t>
            </w:r>
          </w:p>
        </w:tc>
      </w:tr>
    </w:tbl>
    <w:p>
      <w:pPr>
        <w:pStyle w:val="9"/>
        <w:pageBreakBefore w:val="0"/>
        <w:kinsoku/>
        <w:wordWrap/>
        <w:overflowPunct/>
        <w:topLinePunct w:val="0"/>
        <w:bidi w:val="0"/>
        <w:snapToGrid w:val="0"/>
        <w:spacing w:line="560" w:lineRule="exact"/>
        <w:ind w:firstLine="640" w:firstLineChars="200"/>
        <w:textAlignment w:val="auto"/>
      </w:pPr>
      <w:bookmarkStart w:id="44" w:name="_Toc132985635"/>
      <w:bookmarkStart w:id="45" w:name="_Toc132986106"/>
      <w:bookmarkStart w:id="46" w:name="_Toc132989570"/>
      <w:r>
        <w:t>3.2南沙区生活垃圾减量</w:t>
      </w:r>
      <w:r>
        <w:rPr>
          <w:rFonts w:hint="eastAsia"/>
        </w:rPr>
        <w:t>化</w:t>
      </w:r>
      <w:bookmarkEnd w:id="44"/>
      <w:bookmarkEnd w:id="45"/>
      <w:bookmarkEnd w:id="46"/>
    </w:p>
    <w:p>
      <w:pPr>
        <w:pStyle w:val="10"/>
        <w:pageBreakBefore w:val="0"/>
        <w:kinsoku/>
        <w:wordWrap/>
        <w:overflowPunct/>
        <w:topLinePunct w:val="0"/>
        <w:bidi w:val="0"/>
        <w:snapToGrid w:val="0"/>
        <w:spacing w:line="560" w:lineRule="exact"/>
        <w:ind w:firstLine="642" w:firstLineChars="200"/>
        <w:textAlignment w:val="auto"/>
      </w:pPr>
      <w:bookmarkStart w:id="47" w:name="_Toc132989571"/>
      <w:r>
        <w:t>3.2.1</w:t>
      </w:r>
      <w:r>
        <w:rPr>
          <w:rFonts w:hint="eastAsia"/>
        </w:rPr>
        <w:t>控制生活垃圾源头产生量</w:t>
      </w:r>
      <w:bookmarkEnd w:id="47"/>
    </w:p>
    <w:p>
      <w:pPr>
        <w:pageBreakBefore w:val="0"/>
        <w:kinsoku/>
        <w:wordWrap/>
        <w:overflowPunct/>
        <w:topLinePunct w:val="0"/>
        <w:bidi w:val="0"/>
        <w:snapToGrid w:val="0"/>
        <w:spacing w:line="560" w:lineRule="exact"/>
        <w:ind w:firstLine="640"/>
        <w:textAlignment w:val="auto"/>
      </w:pPr>
      <w:r>
        <w:rPr>
          <w:rFonts w:hint="eastAsia"/>
        </w:rPr>
        <w:t>结合南沙区实际情况，提高南沙区整体居民的环保意识，积极开展多种形式宣传教育，增强社会互动，普及垃圾分类知识，提高全区居民的知晓率和参与率，吸引和鼓励更多群众参与垃圾分类。建立涵盖生产、流通、消费等领域的各类废弃物源头减量工作机制，鼓励单位和个人在生产、生活中减少生活垃圾的产生。</w:t>
      </w:r>
    </w:p>
    <w:p>
      <w:pPr>
        <w:pStyle w:val="10"/>
        <w:pageBreakBefore w:val="0"/>
        <w:kinsoku/>
        <w:wordWrap/>
        <w:overflowPunct/>
        <w:topLinePunct w:val="0"/>
        <w:bidi w:val="0"/>
        <w:snapToGrid w:val="0"/>
        <w:spacing w:line="560" w:lineRule="exact"/>
        <w:ind w:firstLine="642" w:firstLineChars="200"/>
        <w:textAlignment w:val="auto"/>
      </w:pPr>
      <w:bookmarkStart w:id="48" w:name="_Toc132989572"/>
      <w:r>
        <w:t>3.2.2</w:t>
      </w:r>
      <w:r>
        <w:rPr>
          <w:rFonts w:hint="eastAsia"/>
        </w:rPr>
        <w:t>固体废弃物分流体系建设</w:t>
      </w:r>
      <w:bookmarkEnd w:id="48"/>
    </w:p>
    <w:p>
      <w:pPr>
        <w:pageBreakBefore w:val="0"/>
        <w:kinsoku/>
        <w:wordWrap/>
        <w:overflowPunct/>
        <w:topLinePunct w:val="0"/>
        <w:bidi w:val="0"/>
        <w:snapToGrid w:val="0"/>
        <w:spacing w:line="560" w:lineRule="exact"/>
        <w:ind w:firstLine="640"/>
        <w:textAlignment w:val="auto"/>
      </w:pPr>
      <w:r>
        <w:rPr>
          <w:rFonts w:hint="eastAsia"/>
        </w:rPr>
        <w:t>明确生活垃圾收运范围，规范工业垃圾转运，禁止将农业生产活动中产生的垃圾混入生活垃圾进行投放。明确固体废弃物流向及责任主体，防止工程渣土、建筑废弃物、园林垃圾、工业垃圾、装修垃圾等固体废弃物混入生活垃圾收运系统。</w:t>
      </w:r>
    </w:p>
    <w:p>
      <w:pPr>
        <w:pStyle w:val="10"/>
        <w:pageBreakBefore w:val="0"/>
        <w:kinsoku/>
        <w:wordWrap/>
        <w:overflowPunct/>
        <w:topLinePunct w:val="0"/>
        <w:bidi w:val="0"/>
        <w:snapToGrid w:val="0"/>
        <w:spacing w:line="560" w:lineRule="exact"/>
        <w:ind w:firstLine="642" w:firstLineChars="200"/>
        <w:textAlignment w:val="auto"/>
      </w:pPr>
      <w:bookmarkStart w:id="49" w:name="_Toc132989573"/>
      <w:r>
        <w:t>3.2.3</w:t>
      </w:r>
      <w:r>
        <w:rPr>
          <w:rFonts w:hint="eastAsia"/>
        </w:rPr>
        <w:t>完善再生资源回收利用系统</w:t>
      </w:r>
      <w:bookmarkEnd w:id="49"/>
    </w:p>
    <w:p>
      <w:pPr>
        <w:pageBreakBefore w:val="0"/>
        <w:kinsoku/>
        <w:wordWrap/>
        <w:overflowPunct/>
        <w:topLinePunct w:val="0"/>
        <w:bidi w:val="0"/>
        <w:snapToGrid w:val="0"/>
        <w:spacing w:line="560" w:lineRule="exact"/>
        <w:ind w:firstLine="640"/>
        <w:textAlignment w:val="auto"/>
      </w:pPr>
      <w:r>
        <w:rPr>
          <w:rFonts w:hint="eastAsia"/>
        </w:rPr>
        <w:t>建立由回收点、回收站、分拣加工中心共同组成的、覆盖生产、生活的再生资源回收三级网络，逐步扩大再生资源回收网点，推动现有网点的升级改造。创新回收模式，提升回收效率，在再生资源回收三级网络建立的同时，组织南沙区内创新再生资源回收模式，全面推广废旧商品回收利用、焚烧发电、生物处理等生活垃圾资源化处理方式，统筹餐厨垃圾、园林垃圾、粪便等无害化处理和资源化利用。</w:t>
      </w:r>
    </w:p>
    <w:p>
      <w:pPr>
        <w:pStyle w:val="9"/>
        <w:pageBreakBefore w:val="0"/>
        <w:kinsoku/>
        <w:wordWrap/>
        <w:overflowPunct/>
        <w:topLinePunct w:val="0"/>
        <w:bidi w:val="0"/>
        <w:snapToGrid w:val="0"/>
        <w:spacing w:line="560" w:lineRule="exact"/>
        <w:ind w:firstLine="640" w:firstLineChars="200"/>
        <w:textAlignment w:val="auto"/>
      </w:pPr>
      <w:bookmarkStart w:id="50" w:name="_Toc132986107"/>
      <w:bookmarkStart w:id="51" w:name="_Toc132989574"/>
      <w:bookmarkStart w:id="52" w:name="_Toc132985636"/>
      <w:r>
        <w:t>3.3南沙区生活垃圾分类排放</w:t>
      </w:r>
      <w:bookmarkEnd w:id="50"/>
      <w:bookmarkEnd w:id="51"/>
      <w:bookmarkEnd w:id="52"/>
    </w:p>
    <w:p>
      <w:pPr>
        <w:pStyle w:val="10"/>
        <w:pageBreakBefore w:val="0"/>
        <w:kinsoku/>
        <w:wordWrap/>
        <w:overflowPunct/>
        <w:topLinePunct w:val="0"/>
        <w:bidi w:val="0"/>
        <w:snapToGrid w:val="0"/>
        <w:spacing w:line="560" w:lineRule="exact"/>
        <w:ind w:firstLine="642" w:firstLineChars="200"/>
        <w:textAlignment w:val="auto"/>
      </w:pPr>
      <w:bookmarkStart w:id="53" w:name="_Toc132989575"/>
      <w:r>
        <w:t>3.3.1</w:t>
      </w:r>
      <w:r>
        <w:rPr>
          <w:rFonts w:hint="eastAsia"/>
        </w:rPr>
        <w:t>生活垃圾分类方案</w:t>
      </w:r>
      <w:bookmarkEnd w:id="53"/>
    </w:p>
    <w:p>
      <w:pPr>
        <w:pageBreakBefore w:val="0"/>
        <w:kinsoku/>
        <w:wordWrap/>
        <w:overflowPunct/>
        <w:topLinePunct w:val="0"/>
        <w:bidi w:val="0"/>
        <w:snapToGrid w:val="0"/>
        <w:spacing w:line="560" w:lineRule="exact"/>
        <w:ind w:firstLine="640"/>
        <w:textAlignment w:val="auto"/>
        <w:rPr>
          <w:rFonts w:hint="eastAsia"/>
        </w:rPr>
      </w:pPr>
      <w:r>
        <w:rPr>
          <w:rFonts w:hint="eastAsia"/>
        </w:rPr>
        <w:t>南沙区城区生活垃圾分类采用“源头分类+资源回收”分类技术路线，建设垃圾分类资源转运中心，整合资源回收网和生活垃圾源头分类系统，建设生活垃圾分类投放、分类收运和分类处理系统。</w:t>
      </w:r>
    </w:p>
    <w:p>
      <w:pPr>
        <w:pageBreakBefore w:val="0"/>
        <w:kinsoku/>
        <w:wordWrap/>
        <w:overflowPunct/>
        <w:topLinePunct w:val="0"/>
        <w:bidi w:val="0"/>
        <w:snapToGrid w:val="0"/>
        <w:spacing w:line="560" w:lineRule="exact"/>
        <w:ind w:firstLine="640"/>
        <w:textAlignment w:val="auto"/>
      </w:pPr>
      <w:r>
        <w:rPr>
          <w:rFonts w:hint="eastAsia"/>
        </w:rPr>
        <w:t>规划拟将农村生活垃圾分类环节简化农户一级分类+村二级分类的模式。村二级分类解决农户一次分类不到位问题，由保洁员上农户家门口收集垃圾，对生活垃圾第二次分类。通过二次分类，既解决农户一次分类不到位的问题，又减少需转运处理的垃圾总量，实现资源利用最大化。</w:t>
      </w:r>
    </w:p>
    <w:p>
      <w:pPr>
        <w:pStyle w:val="10"/>
        <w:pageBreakBefore w:val="0"/>
        <w:kinsoku/>
        <w:wordWrap/>
        <w:overflowPunct/>
        <w:topLinePunct w:val="0"/>
        <w:bidi w:val="0"/>
        <w:snapToGrid w:val="0"/>
        <w:spacing w:line="560" w:lineRule="exact"/>
        <w:ind w:firstLine="642" w:firstLineChars="200"/>
        <w:textAlignment w:val="auto"/>
      </w:pPr>
      <w:bookmarkStart w:id="54" w:name="_Toc132989576"/>
      <w:bookmarkStart w:id="55" w:name="_Hlk47600079"/>
      <w:r>
        <w:t>3.3.2</w:t>
      </w:r>
      <w:r>
        <w:rPr>
          <w:rFonts w:hint="eastAsia"/>
        </w:rPr>
        <w:t>生活垃圾分类体系建设</w:t>
      </w:r>
      <w:bookmarkEnd w:id="54"/>
    </w:p>
    <w:bookmarkEnd w:id="55"/>
    <w:p>
      <w:pPr>
        <w:pageBreakBefore w:val="0"/>
        <w:kinsoku/>
        <w:wordWrap/>
        <w:overflowPunct/>
        <w:topLinePunct w:val="0"/>
        <w:bidi w:val="0"/>
        <w:snapToGrid w:val="0"/>
        <w:spacing w:line="560" w:lineRule="exact"/>
        <w:ind w:firstLine="640"/>
        <w:textAlignment w:val="auto"/>
        <w:rPr>
          <w:rFonts w:hint="eastAsia"/>
        </w:rPr>
      </w:pPr>
      <w:r>
        <w:rPr>
          <w:rFonts w:hint="eastAsia"/>
        </w:rPr>
        <w:t>提升源头分类质量，实现生活垃圾准确投放</w:t>
      </w:r>
      <w:r>
        <w:rPr>
          <w:rFonts w:hint="eastAsia" w:ascii="仿宋_GB2312" w:hAnsi="仿宋_GB2312" w:eastAsia="仿宋_GB2312" w:cs="仿宋_GB2312"/>
        </w:rPr>
        <w:t>;</w:t>
      </w:r>
      <w:r>
        <w:rPr>
          <w:rFonts w:hint="eastAsia"/>
        </w:rPr>
        <w:t>落实生活垃圾分类容器改造，垃圾收集容器应符合现行标准《塑料垃圾桶通用技术条件》（CJ/T280）等要求。建立各方责任明确的生活垃圾分类综合治理机制，落实各镇（街）属地主体责任，落实各镇（街）对辖区内居民区、单位的垃圾分类工作的组织、指导、监督职责。发挥居民区党组织的核心作用，充分调动基层党组织、居委、业委、物业等积极性，形成“四位一体”联动机制，做好居民区垃圾分类的宣传引导、协调推进和指导监督。</w:t>
      </w:r>
    </w:p>
    <w:p>
      <w:pPr>
        <w:pStyle w:val="10"/>
        <w:pageBreakBefore w:val="0"/>
        <w:kinsoku/>
        <w:wordWrap/>
        <w:overflowPunct/>
        <w:topLinePunct w:val="0"/>
        <w:bidi w:val="0"/>
        <w:snapToGrid w:val="0"/>
        <w:spacing w:line="560" w:lineRule="exact"/>
        <w:ind w:firstLine="642" w:firstLineChars="200"/>
        <w:textAlignment w:val="auto"/>
      </w:pPr>
      <w:bookmarkStart w:id="56" w:name="_Toc132989577"/>
      <w:r>
        <w:t>3.3.3</w:t>
      </w:r>
      <w:bookmarkEnd w:id="56"/>
      <w:r>
        <w:rPr>
          <w:rFonts w:hint="eastAsia"/>
        </w:rPr>
        <w:t>提高生活垃圾收集转运设施建设标准</w:t>
      </w:r>
    </w:p>
    <w:p>
      <w:pPr>
        <w:pageBreakBefore w:val="0"/>
        <w:kinsoku/>
        <w:wordWrap/>
        <w:overflowPunct/>
        <w:topLinePunct w:val="0"/>
        <w:bidi w:val="0"/>
        <w:snapToGrid w:val="0"/>
        <w:spacing w:line="560" w:lineRule="exact"/>
        <w:ind w:firstLine="640"/>
        <w:textAlignment w:val="auto"/>
      </w:pPr>
      <w:r>
        <w:rPr>
          <w:rFonts w:hint="eastAsia"/>
        </w:rPr>
        <w:t>根据垃圾产生量及分布状况，因地制宜、合理布局生活垃圾分类回收、压缩转运设施和环卫停车场，科学优化运输线路，提高垃圾收运效率。更新现有的符合改造条件的转运站，升级建设标准低、运行时间久的转运站，建造高标准的垃圾（分类）收集、分选和转运设施，逐步提高南沙区生活垃圾收运系统的机械化和自动化水平。</w:t>
      </w:r>
    </w:p>
    <w:p>
      <w:pPr>
        <w:pStyle w:val="10"/>
        <w:pageBreakBefore w:val="0"/>
        <w:kinsoku/>
        <w:wordWrap/>
        <w:overflowPunct/>
        <w:topLinePunct w:val="0"/>
        <w:bidi w:val="0"/>
        <w:snapToGrid w:val="0"/>
        <w:spacing w:line="560" w:lineRule="exact"/>
        <w:ind w:firstLine="642" w:firstLineChars="200"/>
        <w:textAlignment w:val="auto"/>
      </w:pPr>
      <w:r>
        <w:t>3.3.4</w:t>
      </w:r>
      <w:r>
        <w:rPr>
          <w:rFonts w:hint="eastAsia"/>
        </w:rPr>
        <w:t>推进生活垃圾分类处理</w:t>
      </w:r>
    </w:p>
    <w:p>
      <w:pPr>
        <w:pageBreakBefore w:val="0"/>
        <w:kinsoku/>
        <w:wordWrap/>
        <w:overflowPunct/>
        <w:topLinePunct w:val="0"/>
        <w:bidi w:val="0"/>
        <w:snapToGrid w:val="0"/>
        <w:spacing w:line="560" w:lineRule="exact"/>
        <w:ind w:firstLine="640"/>
        <w:textAlignment w:val="auto"/>
      </w:pPr>
      <w:r>
        <w:rPr>
          <w:rFonts w:hint="eastAsia"/>
        </w:rPr>
        <w:t>以焚烧和生化处理技术为主，焚烧和生化处理残余物进入末端处置阶段，实现原生垃圾零填埋</w:t>
      </w:r>
      <w:r>
        <w:rPr>
          <w:rFonts w:hint="eastAsia"/>
          <w:lang w:eastAsia="zh-CN"/>
        </w:rPr>
        <w:t>，</w:t>
      </w:r>
      <w:r>
        <w:rPr>
          <w:rFonts w:hint="eastAsia"/>
        </w:rPr>
        <w:t>可回收物回收利用。加快推进居住区再生资源回收体系与生活垃圾分类收运体系的“两网融合”，建立再生资源回收服务网点和中转站，全面推行餐厨垃圾、其他垃圾分类处理。</w:t>
      </w:r>
    </w:p>
    <w:p>
      <w:pPr>
        <w:pStyle w:val="10"/>
        <w:pageBreakBefore w:val="0"/>
        <w:kinsoku/>
        <w:wordWrap/>
        <w:overflowPunct/>
        <w:topLinePunct w:val="0"/>
        <w:bidi w:val="0"/>
        <w:snapToGrid w:val="0"/>
        <w:spacing w:line="560" w:lineRule="exact"/>
        <w:ind w:firstLine="642" w:firstLineChars="200"/>
        <w:textAlignment w:val="auto"/>
      </w:pPr>
      <w:r>
        <w:t>3.3.5</w:t>
      </w:r>
      <w:r>
        <w:rPr>
          <w:rFonts w:hint="eastAsia"/>
        </w:rPr>
        <w:t>健全生活垃圾分类管理体制</w:t>
      </w:r>
    </w:p>
    <w:p>
      <w:pPr>
        <w:pStyle w:val="2"/>
        <w:pageBreakBefore w:val="0"/>
        <w:kinsoku/>
        <w:wordWrap/>
        <w:overflowPunct/>
        <w:topLinePunct w:val="0"/>
        <w:bidi w:val="0"/>
        <w:snapToGrid w:val="0"/>
        <w:spacing w:line="560" w:lineRule="exact"/>
        <w:ind w:firstLine="640"/>
        <w:textAlignment w:val="auto"/>
        <w:rPr>
          <w:rFonts w:hint="eastAsia"/>
        </w:rPr>
      </w:pPr>
      <w:r>
        <w:rPr>
          <w:rFonts w:hint="eastAsia"/>
          <w:lang w:val="en-US" w:eastAsia="zh-CN"/>
        </w:rPr>
        <w:t>坚</w:t>
      </w:r>
      <w:r>
        <w:rPr>
          <w:rFonts w:hint="eastAsia"/>
        </w:rPr>
        <w:t>持党建引领垃圾分类工作，建立镇党委（街</w:t>
      </w:r>
      <w:r>
        <w:rPr>
          <w:rFonts w:hint="eastAsia"/>
          <w:lang w:eastAsia="zh-CN"/>
        </w:rPr>
        <w:t>道</w:t>
      </w:r>
      <w:r>
        <w:rPr>
          <w:rFonts w:hint="eastAsia"/>
        </w:rPr>
        <w:t>党工委）、村（</w:t>
      </w:r>
      <w:r>
        <w:rPr>
          <w:rFonts w:hint="eastAsia"/>
          <w:lang w:val="en-US" w:eastAsia="zh-CN"/>
        </w:rPr>
        <w:t>社区</w:t>
      </w:r>
      <w:r>
        <w:rPr>
          <w:rFonts w:hint="eastAsia"/>
        </w:rPr>
        <w:t>）</w:t>
      </w:r>
      <w:r>
        <w:rPr>
          <w:rFonts w:hint="eastAsia"/>
          <w:lang w:val="en-US" w:eastAsia="zh-CN"/>
        </w:rPr>
        <w:t>党组织</w:t>
      </w:r>
      <w:r>
        <w:rPr>
          <w:rFonts w:hint="eastAsia"/>
        </w:rPr>
        <w:t>书记作为垃圾分类工作第一责任人的领导机制，逐级建立垃圾分类联席会议制度，采取分片包干形式逐层压实责任，切实推进垃圾分类工作全面开展。加强督导检查，由区分类联席办负责，每月对各镇（街）生活垃圾分类工作情况进行全类型、全流程检查评价。将生活垃圾分类纳入区、镇（街）二级机关有关考核体系，建立评估体系，制定量化生活垃圾分类考核细则，明确考核标准及考核内容。</w:t>
      </w:r>
    </w:p>
    <w:p>
      <w:pPr>
        <w:pStyle w:val="8"/>
        <w:pageBreakBefore w:val="0"/>
        <w:kinsoku/>
        <w:wordWrap/>
        <w:overflowPunct/>
        <w:topLinePunct w:val="0"/>
        <w:bidi w:val="0"/>
        <w:snapToGrid w:val="0"/>
        <w:spacing w:after="312" w:line="560" w:lineRule="exact"/>
        <w:textAlignment w:val="auto"/>
      </w:pPr>
      <w:r>
        <w:br w:type="page"/>
      </w:r>
      <w:bookmarkStart w:id="57" w:name="_Toc132985637"/>
      <w:bookmarkStart w:id="58" w:name="_Toc30637"/>
      <w:bookmarkStart w:id="59" w:name="_Toc132989578"/>
      <w:bookmarkStart w:id="60" w:name="_Toc132986108"/>
      <w:r>
        <w:rPr>
          <w:rFonts w:hint="eastAsia"/>
        </w:rPr>
        <w:t>第四章 生活垃圾收运系统规划</w:t>
      </w:r>
      <w:bookmarkEnd w:id="57"/>
      <w:bookmarkEnd w:id="58"/>
      <w:bookmarkEnd w:id="59"/>
      <w:bookmarkEnd w:id="60"/>
    </w:p>
    <w:p>
      <w:pPr>
        <w:pStyle w:val="10"/>
        <w:pageBreakBefore w:val="0"/>
        <w:kinsoku/>
        <w:wordWrap/>
        <w:overflowPunct/>
        <w:topLinePunct w:val="0"/>
        <w:bidi w:val="0"/>
        <w:snapToGrid w:val="0"/>
        <w:spacing w:line="560" w:lineRule="exact"/>
        <w:ind w:firstLine="640" w:firstLineChars="200"/>
        <w:textAlignment w:val="auto"/>
        <w:rPr>
          <w:rFonts w:ascii="楷体_GB2312" w:hAnsi="楷体_GB2312" w:eastAsia="楷体_GB2312" w:cs="楷体_GB2312"/>
          <w:b w:val="0"/>
          <w:bCs/>
        </w:rPr>
      </w:pPr>
      <w:bookmarkStart w:id="61" w:name="_Toc132986111"/>
      <w:bookmarkStart w:id="62" w:name="_Toc132985640"/>
      <w:bookmarkStart w:id="63" w:name="_Toc132989585"/>
      <w:r>
        <w:rPr>
          <w:b w:val="0"/>
          <w:bCs/>
        </w:rPr>
        <w:t>4</w:t>
      </w:r>
      <w:r>
        <w:rPr>
          <w:rFonts w:hint="eastAsia"/>
          <w:b w:val="0"/>
          <w:bCs/>
        </w:rPr>
        <w:t>.</w:t>
      </w:r>
      <w:r>
        <w:rPr>
          <w:b w:val="0"/>
          <w:bCs/>
        </w:rPr>
        <w:t>1</w:t>
      </w:r>
      <w:r>
        <w:rPr>
          <w:rFonts w:hint="eastAsia" w:ascii="楷体_GB2312" w:hAnsi="楷体_GB2312" w:eastAsia="楷体_GB2312" w:cs="楷体_GB2312"/>
          <w:b w:val="0"/>
          <w:bCs/>
        </w:rPr>
        <w:t>可回收物收运规划</w:t>
      </w:r>
      <w:bookmarkEnd w:id="61"/>
      <w:bookmarkEnd w:id="62"/>
      <w:bookmarkEnd w:id="63"/>
    </w:p>
    <w:p>
      <w:pPr>
        <w:pageBreakBefore w:val="0"/>
        <w:kinsoku/>
        <w:wordWrap/>
        <w:overflowPunct/>
        <w:topLinePunct w:val="0"/>
        <w:bidi w:val="0"/>
        <w:snapToGrid w:val="0"/>
        <w:spacing w:line="560" w:lineRule="exact"/>
        <w:ind w:firstLine="640"/>
        <w:textAlignment w:val="auto"/>
        <w:rPr>
          <w:rFonts w:hint="eastAsia"/>
        </w:rPr>
      </w:pPr>
      <w:r>
        <w:rPr>
          <w:rFonts w:hint="eastAsia"/>
        </w:rPr>
        <w:t>源头分类产生的可回收物，通过在社区、村居、机团单位设置回收点，大中型垃圾转运站设置分拣细分区，由再生资源回收利用企业运输至回收利用中心。大件垃圾由再生资源回收企业收运，在大中型垃圾转运站进行拆解分拣，再运输至回收利用中心。</w:t>
      </w:r>
    </w:p>
    <w:p>
      <w:pPr>
        <w:pageBreakBefore w:val="0"/>
        <w:kinsoku/>
        <w:wordWrap/>
        <w:overflowPunct/>
        <w:topLinePunct w:val="0"/>
        <w:bidi w:val="0"/>
        <w:snapToGrid w:val="0"/>
        <w:spacing w:line="560" w:lineRule="exact"/>
        <w:ind w:firstLine="640"/>
        <w:textAlignment w:val="auto"/>
        <w:rPr>
          <w:rFonts w:hint="eastAsia"/>
        </w:rPr>
      </w:pPr>
      <w:r>
        <w:rPr>
          <w:rFonts w:hint="eastAsia"/>
        </w:rPr>
        <w:t>推动供销系统与环卫系统两网融合，各镇街统筹，在社区及行政村建设标准化再生资源站点，没有条件单独设置再生资源回收站的，可以与垃圾收集站合并设置。推动共建收运队伍、共营处理利用平台，组织“资源回收日”活动。</w:t>
      </w:r>
    </w:p>
    <w:p>
      <w:pPr>
        <w:pStyle w:val="10"/>
        <w:pageBreakBefore w:val="0"/>
        <w:kinsoku/>
        <w:wordWrap/>
        <w:overflowPunct/>
        <w:topLinePunct w:val="0"/>
        <w:bidi w:val="0"/>
        <w:snapToGrid w:val="0"/>
        <w:spacing w:line="560" w:lineRule="exact"/>
        <w:ind w:firstLine="640" w:firstLineChars="200"/>
        <w:textAlignment w:val="auto"/>
        <w:rPr>
          <w:rFonts w:ascii="楷体_GB2312" w:hAnsi="楷体_GB2312" w:eastAsia="楷体_GB2312" w:cs="楷体_GB2312"/>
          <w:b w:val="0"/>
          <w:bCs/>
        </w:rPr>
      </w:pPr>
      <w:bookmarkStart w:id="64" w:name="_Toc132985641"/>
      <w:bookmarkStart w:id="65" w:name="_Toc132986112"/>
      <w:bookmarkStart w:id="66" w:name="_Toc132989590"/>
      <w:r>
        <w:rPr>
          <w:b w:val="0"/>
          <w:bCs/>
        </w:rPr>
        <w:t>4</w:t>
      </w:r>
      <w:r>
        <w:rPr>
          <w:rFonts w:hint="eastAsia"/>
          <w:b w:val="0"/>
          <w:bCs/>
        </w:rPr>
        <w:t>.</w:t>
      </w:r>
      <w:r>
        <w:rPr>
          <w:b w:val="0"/>
          <w:bCs/>
        </w:rPr>
        <w:t>2</w:t>
      </w:r>
      <w:r>
        <w:rPr>
          <w:rFonts w:hint="eastAsia" w:ascii="楷体_GB2312" w:hAnsi="楷体_GB2312" w:eastAsia="楷体_GB2312" w:cs="楷体_GB2312"/>
          <w:b w:val="0"/>
          <w:bCs/>
        </w:rPr>
        <w:t>有害垃圾收运规划</w:t>
      </w:r>
      <w:bookmarkEnd w:id="64"/>
      <w:bookmarkEnd w:id="65"/>
      <w:bookmarkEnd w:id="66"/>
    </w:p>
    <w:p>
      <w:pPr>
        <w:pageBreakBefore w:val="0"/>
        <w:kinsoku/>
        <w:wordWrap/>
        <w:overflowPunct/>
        <w:topLinePunct w:val="0"/>
        <w:bidi w:val="0"/>
        <w:snapToGrid w:val="0"/>
        <w:spacing w:line="560" w:lineRule="exact"/>
        <w:ind w:firstLine="640"/>
        <w:textAlignment w:val="auto"/>
        <w:rPr>
          <w:rFonts w:hint="eastAsia"/>
        </w:rPr>
      </w:pPr>
      <w:r>
        <w:rPr>
          <w:rFonts w:hint="eastAsia"/>
        </w:rPr>
        <w:t>有害垃圾强制分类，按照便利、快捷、安全的原则，设立专门场所或容器，对不同品种的有害垃圾进行分类投放、收集、暂存，并在醒目位置设置有害垃圾标志。由于有害垃圾产量较低，但是分布较分散，规划远期每镇街配置一辆有害垃圾收集车辆（1吨），定期采用巡回收集方式收集至各镇（街）临时贮存点。有害垃圾的处理近远期规划由区统筹。临时贮存点有害垃圾达到一定量后，近期由具有危险废物处置经营许可证的单位统一收集进行无害化处置；规划至远期，遵循广州市生活垃圾收运处理系统规划指引，有害垃圾将收运到危险废物综合处理基地协同其他危险废物进行安全处置。</w:t>
      </w:r>
    </w:p>
    <w:p>
      <w:pPr>
        <w:pStyle w:val="10"/>
        <w:pageBreakBefore w:val="0"/>
        <w:kinsoku/>
        <w:wordWrap/>
        <w:overflowPunct/>
        <w:topLinePunct w:val="0"/>
        <w:bidi w:val="0"/>
        <w:snapToGrid w:val="0"/>
        <w:spacing w:line="560" w:lineRule="exact"/>
        <w:ind w:firstLine="640" w:firstLineChars="200"/>
        <w:textAlignment w:val="auto"/>
        <w:rPr>
          <w:rFonts w:ascii="楷体_GB2312" w:hAnsi="楷体_GB2312" w:eastAsia="楷体_GB2312" w:cs="楷体_GB2312"/>
          <w:b w:val="0"/>
          <w:bCs/>
        </w:rPr>
      </w:pPr>
      <w:bookmarkStart w:id="67" w:name="_Toc132989593"/>
      <w:bookmarkStart w:id="68" w:name="_Toc132986113"/>
      <w:bookmarkStart w:id="69" w:name="_Toc132985642"/>
      <w:r>
        <w:rPr>
          <w:b w:val="0"/>
          <w:bCs/>
        </w:rPr>
        <w:t>4</w:t>
      </w:r>
      <w:r>
        <w:rPr>
          <w:rFonts w:hint="eastAsia"/>
          <w:b w:val="0"/>
          <w:bCs/>
        </w:rPr>
        <w:t>.</w:t>
      </w:r>
      <w:r>
        <w:rPr>
          <w:b w:val="0"/>
          <w:bCs/>
        </w:rPr>
        <w:t>3</w:t>
      </w:r>
      <w:r>
        <w:rPr>
          <w:rFonts w:hint="eastAsia" w:ascii="楷体_GB2312" w:hAnsi="楷体_GB2312" w:eastAsia="楷体_GB2312" w:cs="楷体_GB2312"/>
          <w:b w:val="0"/>
          <w:bCs/>
        </w:rPr>
        <w:t>餐厨垃圾收运规划</w:t>
      </w:r>
      <w:bookmarkEnd w:id="67"/>
      <w:bookmarkEnd w:id="68"/>
      <w:bookmarkEnd w:id="69"/>
    </w:p>
    <w:p>
      <w:pPr>
        <w:pageBreakBefore w:val="0"/>
        <w:kinsoku/>
        <w:wordWrap/>
        <w:overflowPunct/>
        <w:topLinePunct w:val="0"/>
        <w:bidi w:val="0"/>
        <w:snapToGrid w:val="0"/>
        <w:spacing w:line="560" w:lineRule="exact"/>
        <w:ind w:firstLine="640"/>
        <w:textAlignment w:val="auto"/>
        <w:rPr>
          <w:rFonts w:hint="eastAsia"/>
        </w:rPr>
      </w:pPr>
      <w:r>
        <w:rPr>
          <w:rFonts w:hint="eastAsia"/>
        </w:rPr>
        <w:t>鼓励有条件的居民区、农贸市场等安装符合标准的餐饮垃圾、厨余垃圾处置装置，就近就地处置餐厨垃圾。规划近期将收集到的餐厨垃圾运往各镇（街）餐厨垃圾处理设施进行就地处理或运往南沙区餐厨垃圾处理厂进行处理，远期规划餐厨垃圾统一运往餐厨垃圾处理厂进行处理。规划远期新建一处规模为350</w:t>
      </w:r>
      <w:r>
        <w:rPr>
          <w:rFonts w:hint="eastAsia" w:cs="宋体"/>
          <w:kern w:val="0"/>
        </w:rPr>
        <w:t>吨/日</w:t>
      </w:r>
      <w:r>
        <w:rPr>
          <w:rFonts w:hint="eastAsia"/>
        </w:rPr>
        <w:t>的餐厨垃圾处理厂，以满足远期南沙区餐厨垃圾处理需求。</w:t>
      </w:r>
    </w:p>
    <w:p>
      <w:pPr>
        <w:pageBreakBefore w:val="0"/>
        <w:kinsoku/>
        <w:wordWrap/>
        <w:overflowPunct/>
        <w:topLinePunct w:val="0"/>
        <w:bidi w:val="0"/>
        <w:snapToGrid w:val="0"/>
        <w:spacing w:line="560" w:lineRule="exact"/>
        <w:ind w:firstLine="640"/>
        <w:textAlignment w:val="auto"/>
      </w:pPr>
      <w:r>
        <w:rPr>
          <w:rFonts w:hint="eastAsia"/>
        </w:rPr>
        <w:t>规划南沙区餐厨垃圾收运车辆选用12吨的密罐车，清运频次按每日两次测算，规划远期需45辆。餐厨垃圾应采用密闭、防腐专用容器盛装，采用密闭式专用收集车进行收集，餐厨垃圾应做到日产日清。煎炸废油应单独收集和运输，</w:t>
      </w:r>
      <w:r>
        <w:rPr>
          <w:rFonts w:hint="eastAsia"/>
          <w:lang w:eastAsia="zh-CN"/>
        </w:rPr>
        <w:t>由</w:t>
      </w:r>
      <w:r>
        <w:rPr>
          <w:rFonts w:hint="eastAsia"/>
        </w:rPr>
        <w:t>特许经营企业进行处置，不宜与餐饮垃圾混合收集。餐厨垃圾采用定时定点收集方式直接从收集点运输至餐厨垃圾处理厂。</w:t>
      </w:r>
    </w:p>
    <w:p>
      <w:pPr>
        <w:pStyle w:val="10"/>
        <w:pageBreakBefore w:val="0"/>
        <w:kinsoku/>
        <w:wordWrap/>
        <w:overflowPunct/>
        <w:topLinePunct w:val="0"/>
        <w:bidi w:val="0"/>
        <w:snapToGrid w:val="0"/>
        <w:spacing w:line="560" w:lineRule="exact"/>
        <w:ind w:firstLine="640" w:firstLineChars="200"/>
        <w:textAlignment w:val="auto"/>
        <w:rPr>
          <w:rFonts w:ascii="楷体_GB2312" w:hAnsi="楷体_GB2312" w:eastAsia="楷体_GB2312" w:cs="楷体_GB2312"/>
          <w:b w:val="0"/>
          <w:bCs/>
        </w:rPr>
      </w:pPr>
      <w:bookmarkStart w:id="70" w:name="_Toc132985643"/>
      <w:bookmarkStart w:id="71" w:name="_Toc132986114"/>
      <w:bookmarkStart w:id="72" w:name="_Toc132989597"/>
      <w:r>
        <w:rPr>
          <w:b w:val="0"/>
          <w:bCs/>
        </w:rPr>
        <w:t>4</w:t>
      </w:r>
      <w:r>
        <w:rPr>
          <w:rFonts w:hint="eastAsia"/>
          <w:b w:val="0"/>
          <w:bCs/>
        </w:rPr>
        <w:t>.</w:t>
      </w:r>
      <w:r>
        <w:rPr>
          <w:b w:val="0"/>
          <w:bCs/>
        </w:rPr>
        <w:t>4</w:t>
      </w:r>
      <w:r>
        <w:rPr>
          <w:rFonts w:hint="eastAsia" w:ascii="楷体_GB2312" w:hAnsi="楷体_GB2312" w:eastAsia="楷体_GB2312" w:cs="楷体_GB2312"/>
          <w:b w:val="0"/>
          <w:bCs/>
        </w:rPr>
        <w:t>其他垃圾收运规划</w:t>
      </w:r>
      <w:bookmarkEnd w:id="70"/>
      <w:bookmarkEnd w:id="71"/>
      <w:bookmarkEnd w:id="72"/>
    </w:p>
    <w:p>
      <w:pPr>
        <w:pStyle w:val="2"/>
        <w:pageBreakBefore w:val="0"/>
        <w:kinsoku/>
        <w:wordWrap/>
        <w:overflowPunct/>
        <w:topLinePunct w:val="0"/>
        <w:bidi w:val="0"/>
        <w:snapToGrid w:val="0"/>
        <w:spacing w:line="560" w:lineRule="exact"/>
        <w:ind w:firstLine="640"/>
        <w:textAlignment w:val="auto"/>
        <w:rPr>
          <w:rFonts w:hint="eastAsia"/>
        </w:rPr>
      </w:pPr>
      <w:r>
        <w:rPr>
          <w:rFonts w:hint="eastAsia"/>
        </w:rPr>
        <w:t>采用直收直运或压缩转运的收运方式，由具有经营许可证的处置单位进行无害化焚烧处理。规划南沙区其他垃圾收运车辆选用12吨的密罐车，清运频次按每日两次测算，规划远期需107辆。</w:t>
      </w:r>
    </w:p>
    <w:p>
      <w:pPr>
        <w:pStyle w:val="10"/>
        <w:pageBreakBefore w:val="0"/>
        <w:kinsoku/>
        <w:wordWrap/>
        <w:overflowPunct/>
        <w:topLinePunct w:val="0"/>
        <w:bidi w:val="0"/>
        <w:snapToGrid w:val="0"/>
        <w:spacing w:line="560" w:lineRule="exact"/>
        <w:ind w:firstLine="640" w:firstLineChars="200"/>
        <w:textAlignment w:val="auto"/>
        <w:rPr>
          <w:rFonts w:hint="eastAsia" w:ascii="楷体_GB2312" w:hAnsi="楷体_GB2312" w:eastAsia="楷体_GB2312" w:cs="楷体_GB2312"/>
          <w:b w:val="0"/>
          <w:bCs/>
        </w:rPr>
      </w:pPr>
      <w:bookmarkStart w:id="73" w:name="_Toc132989601"/>
      <w:bookmarkStart w:id="74" w:name="_Toc44316299"/>
      <w:bookmarkStart w:id="75" w:name="_Toc132986115"/>
      <w:bookmarkStart w:id="76" w:name="_Toc132985644"/>
      <w:r>
        <w:rPr>
          <w:b w:val="0"/>
          <w:bCs/>
        </w:rPr>
        <w:t>4</w:t>
      </w:r>
      <w:r>
        <w:rPr>
          <w:rFonts w:hint="eastAsia"/>
          <w:b w:val="0"/>
          <w:bCs/>
        </w:rPr>
        <w:t>.</w:t>
      </w:r>
      <w:r>
        <w:rPr>
          <w:b w:val="0"/>
          <w:bCs/>
        </w:rPr>
        <w:t>5</w:t>
      </w:r>
      <w:r>
        <w:rPr>
          <w:rFonts w:hint="eastAsia" w:ascii="楷体_GB2312" w:hAnsi="楷体_GB2312" w:eastAsia="楷体_GB2312" w:cs="楷体_GB2312"/>
          <w:b w:val="0"/>
          <w:bCs/>
        </w:rPr>
        <w:t>相关设施规划</w:t>
      </w:r>
      <w:bookmarkEnd w:id="73"/>
      <w:bookmarkEnd w:id="74"/>
      <w:bookmarkEnd w:id="75"/>
      <w:bookmarkEnd w:id="76"/>
    </w:p>
    <w:p>
      <w:pPr>
        <w:pStyle w:val="11"/>
        <w:pageBreakBefore w:val="0"/>
        <w:kinsoku/>
        <w:wordWrap/>
        <w:overflowPunct/>
        <w:topLinePunct w:val="0"/>
        <w:bidi w:val="0"/>
        <w:snapToGrid w:val="0"/>
        <w:spacing w:line="560" w:lineRule="exact"/>
        <w:ind w:firstLine="640"/>
        <w:textAlignment w:val="auto"/>
        <w:rPr>
          <w:b/>
          <w:bCs/>
        </w:rPr>
      </w:pPr>
      <w:bookmarkStart w:id="77" w:name="_Toc132989602"/>
      <w:bookmarkStart w:id="78" w:name="_Toc44316300"/>
      <w:r>
        <w:rPr>
          <w:b/>
          <w:bCs/>
        </w:rPr>
        <w:t>4</w:t>
      </w:r>
      <w:r>
        <w:rPr>
          <w:rFonts w:hint="eastAsia"/>
          <w:b/>
          <w:bCs/>
        </w:rPr>
        <w:t>.</w:t>
      </w:r>
      <w:r>
        <w:rPr>
          <w:b/>
          <w:bCs/>
        </w:rPr>
        <w:t>5</w:t>
      </w:r>
      <w:r>
        <w:rPr>
          <w:rFonts w:hint="eastAsia"/>
          <w:b/>
          <w:bCs/>
        </w:rPr>
        <w:t>.1收集站点布局规划</w:t>
      </w:r>
      <w:bookmarkEnd w:id="77"/>
      <w:bookmarkEnd w:id="78"/>
    </w:p>
    <w:p>
      <w:pPr>
        <w:pageBreakBefore w:val="0"/>
        <w:kinsoku/>
        <w:wordWrap/>
        <w:overflowPunct/>
        <w:topLinePunct w:val="0"/>
        <w:bidi w:val="0"/>
        <w:snapToGrid w:val="0"/>
        <w:spacing w:line="560" w:lineRule="exact"/>
        <w:ind w:firstLine="640"/>
        <w:textAlignment w:val="auto"/>
      </w:pPr>
      <w:r>
        <w:t>1</w:t>
      </w:r>
      <w:r>
        <w:rPr>
          <w:rFonts w:hint="eastAsia"/>
          <w:lang w:val="en-US" w:eastAsia="zh-CN"/>
        </w:rPr>
        <w:t>.</w:t>
      </w:r>
      <w:r>
        <w:rPr>
          <w:rFonts w:hint="eastAsia"/>
        </w:rPr>
        <w:t>收集点布置原则</w:t>
      </w:r>
    </w:p>
    <w:p>
      <w:pPr>
        <w:pageBreakBefore w:val="0"/>
        <w:kinsoku/>
        <w:wordWrap/>
        <w:overflowPunct/>
        <w:topLinePunct w:val="0"/>
        <w:bidi w:val="0"/>
        <w:snapToGrid w:val="0"/>
        <w:spacing w:line="560" w:lineRule="exact"/>
        <w:ind w:firstLine="640"/>
        <w:textAlignment w:val="auto"/>
      </w:pPr>
      <w:r>
        <w:rPr>
          <w:rFonts w:hint="eastAsia"/>
        </w:rPr>
        <w:t>（1）位于转运站服务半径范围内的小区不再新增收集点。</w:t>
      </w:r>
    </w:p>
    <w:p>
      <w:pPr>
        <w:pageBreakBefore w:val="0"/>
        <w:kinsoku/>
        <w:wordWrap/>
        <w:overflowPunct/>
        <w:topLinePunct w:val="0"/>
        <w:bidi w:val="0"/>
        <w:snapToGrid w:val="0"/>
        <w:spacing w:line="560" w:lineRule="exact"/>
        <w:ind w:firstLine="640"/>
        <w:textAlignment w:val="auto"/>
      </w:pPr>
      <w:r>
        <w:rPr>
          <w:rFonts w:hint="eastAsia"/>
        </w:rPr>
        <w:t>（</w:t>
      </w:r>
      <w:r>
        <w:t>2</w:t>
      </w:r>
      <w:r>
        <w:rPr>
          <w:rFonts w:hint="eastAsia"/>
        </w:rPr>
        <w:t>）村庄应设置1座以上的垃圾收集点。</w:t>
      </w:r>
    </w:p>
    <w:p>
      <w:pPr>
        <w:pageBreakBefore w:val="0"/>
        <w:kinsoku/>
        <w:wordWrap/>
        <w:overflowPunct/>
        <w:topLinePunct w:val="0"/>
        <w:bidi w:val="0"/>
        <w:snapToGrid w:val="0"/>
        <w:spacing w:line="560" w:lineRule="exact"/>
        <w:ind w:firstLine="640"/>
        <w:textAlignment w:val="auto"/>
        <w:rPr>
          <w:rFonts w:hint="eastAsia"/>
        </w:rPr>
      </w:pPr>
      <w:r>
        <w:rPr>
          <w:rFonts w:hint="eastAsia"/>
        </w:rPr>
        <w:t>（</w:t>
      </w:r>
      <w:r>
        <w:t>3</w:t>
      </w:r>
      <w:r>
        <w:rPr>
          <w:rFonts w:hint="eastAsia"/>
        </w:rPr>
        <w:t>）居民住宅区，大于5</w:t>
      </w:r>
      <w:r>
        <w:t>000</w:t>
      </w:r>
      <w:r>
        <w:rPr>
          <w:rFonts w:hint="eastAsia"/>
        </w:rPr>
        <w:t>户的居民住宅区单独设置收集点，小于5</w:t>
      </w:r>
      <w:r>
        <w:t>000</w:t>
      </w:r>
      <w:r>
        <w:rPr>
          <w:rFonts w:hint="eastAsia"/>
        </w:rPr>
        <w:t>户的居民住宅区可与相邻居住区联合设置。</w:t>
      </w:r>
    </w:p>
    <w:p>
      <w:pPr>
        <w:pageBreakBefore w:val="0"/>
        <w:kinsoku/>
        <w:wordWrap/>
        <w:overflowPunct/>
        <w:topLinePunct w:val="0"/>
        <w:bidi w:val="0"/>
        <w:snapToGrid w:val="0"/>
        <w:spacing w:line="560" w:lineRule="exact"/>
        <w:ind w:firstLine="640"/>
        <w:textAlignment w:val="auto"/>
      </w:pPr>
      <w:r>
        <w:rPr>
          <w:rFonts w:hint="eastAsia"/>
        </w:rPr>
        <w:t>（</w:t>
      </w:r>
      <w:r>
        <w:t>4</w:t>
      </w:r>
      <w:r>
        <w:rPr>
          <w:rFonts w:hint="eastAsia"/>
        </w:rPr>
        <w:t>）收集点服务半径为2公里，需配备专门的运输车装载。</w:t>
      </w:r>
    </w:p>
    <w:p>
      <w:pPr>
        <w:pageBreakBefore w:val="0"/>
        <w:kinsoku/>
        <w:wordWrap/>
        <w:overflowPunct/>
        <w:topLinePunct w:val="0"/>
        <w:bidi w:val="0"/>
        <w:snapToGrid w:val="0"/>
        <w:spacing w:line="560" w:lineRule="exact"/>
        <w:ind w:firstLine="640"/>
        <w:textAlignment w:val="auto"/>
        <w:rPr>
          <w:rFonts w:hint="eastAsia"/>
        </w:rPr>
      </w:pPr>
      <w:r>
        <w:rPr>
          <w:rFonts w:hint="eastAsia"/>
        </w:rPr>
        <w:t>（</w:t>
      </w:r>
      <w:r>
        <w:t>5</w:t>
      </w:r>
      <w:r>
        <w:rPr>
          <w:rFonts w:hint="eastAsia"/>
        </w:rPr>
        <w:t>）收集点宜位于较偏僻，且靠近道路位置。</w:t>
      </w:r>
    </w:p>
    <w:p>
      <w:pPr>
        <w:pageBreakBefore w:val="0"/>
        <w:kinsoku/>
        <w:wordWrap/>
        <w:overflowPunct/>
        <w:topLinePunct w:val="0"/>
        <w:bidi w:val="0"/>
        <w:snapToGrid w:val="0"/>
        <w:spacing w:line="560" w:lineRule="exact"/>
        <w:ind w:firstLine="640"/>
        <w:textAlignment w:val="auto"/>
      </w:pPr>
      <w:r>
        <w:t>2</w:t>
      </w:r>
      <w:r>
        <w:rPr>
          <w:rFonts w:hint="eastAsia"/>
          <w:lang w:val="en-US" w:eastAsia="zh-CN"/>
        </w:rPr>
        <w:t>.</w:t>
      </w:r>
      <w:r>
        <w:rPr>
          <w:rFonts w:hint="eastAsia"/>
        </w:rPr>
        <w:t>垃圾收集点规划</w:t>
      </w:r>
    </w:p>
    <w:p>
      <w:pPr>
        <w:pStyle w:val="2"/>
        <w:pageBreakBefore w:val="0"/>
        <w:kinsoku/>
        <w:wordWrap/>
        <w:overflowPunct/>
        <w:topLinePunct w:val="0"/>
        <w:bidi w:val="0"/>
        <w:snapToGrid w:val="0"/>
        <w:spacing w:line="560" w:lineRule="exact"/>
        <w:ind w:firstLine="640"/>
        <w:textAlignment w:val="auto"/>
        <w:rPr>
          <w:rFonts w:hint="eastAsia"/>
        </w:rPr>
      </w:pPr>
      <w:r>
        <w:rPr>
          <w:rFonts w:hint="eastAsia"/>
        </w:rPr>
        <w:t>规划大岗镇、横沥镇、黄阁街采用直收直运+压缩转运方式；榄核镇、东涌镇、南沙街、珠江街、万顷沙镇、龙穴街采用压缩转运模式。</w:t>
      </w:r>
    </w:p>
    <w:p>
      <w:pPr>
        <w:pStyle w:val="2"/>
        <w:pageBreakBefore w:val="0"/>
        <w:kinsoku/>
        <w:wordWrap/>
        <w:overflowPunct/>
        <w:topLinePunct w:val="0"/>
        <w:bidi w:val="0"/>
        <w:snapToGrid w:val="0"/>
        <w:spacing w:line="560" w:lineRule="exact"/>
        <w:ind w:firstLine="640"/>
        <w:textAlignment w:val="auto"/>
        <w:rPr>
          <w:rFonts w:hint="eastAsia"/>
        </w:rPr>
      </w:pPr>
      <w:r>
        <w:rPr>
          <w:rFonts w:hint="eastAsia"/>
        </w:rPr>
        <w:t>对居住区、商业区等垃圾收集点缺乏的区域，规划建设垃圾收集点。转运站服务半径范围内的小区不再新增收集点。龙穴街由于大部分区域为港口用地，龙穴街现状垃圾收集点已覆盖居住用地和工业用地，远期生活垃圾产生量不多，因此龙穴街规划不新增垃圾收集点。由于南沙街收集点较密集，且镇街内已设现状沙螺湾垃圾转运站，故不新增现状收集点。</w:t>
      </w:r>
    </w:p>
    <w:p>
      <w:pPr>
        <w:pStyle w:val="2"/>
        <w:pageBreakBefore w:val="0"/>
        <w:kinsoku/>
        <w:wordWrap/>
        <w:overflowPunct/>
        <w:topLinePunct w:val="0"/>
        <w:bidi w:val="0"/>
        <w:snapToGrid w:val="0"/>
        <w:spacing w:line="560" w:lineRule="exact"/>
        <w:ind w:firstLine="640"/>
        <w:textAlignment w:val="auto"/>
        <w:rPr>
          <w:rFonts w:hint="eastAsia"/>
        </w:rPr>
      </w:pPr>
      <w:r>
        <w:rPr>
          <w:rFonts w:hint="eastAsia"/>
        </w:rPr>
        <w:t>规划收集点共166座，其中保留现状垃圾收集点161座，新增垃圾收集点共5座。</w:t>
      </w:r>
    </w:p>
    <w:p>
      <w:pPr>
        <w:pStyle w:val="2"/>
        <w:pageBreakBefore w:val="0"/>
        <w:kinsoku/>
        <w:wordWrap/>
        <w:overflowPunct/>
        <w:topLinePunct w:val="0"/>
        <w:bidi w:val="0"/>
        <w:snapToGrid w:val="0"/>
        <w:spacing w:line="560" w:lineRule="exact"/>
        <w:ind w:firstLine="640"/>
        <w:textAlignment w:val="auto"/>
        <w:rPr>
          <w:rFonts w:hint="eastAsia"/>
        </w:rPr>
      </w:pPr>
      <w:r>
        <w:rPr>
          <w:rFonts w:hint="eastAsia"/>
        </w:rPr>
        <w:t>现状不满足建设要求的垃圾收集点，应按《广东省城市生活垃圾分类投放与收集设施设置指引》的标准逐步升级改造。收集点建设应至2025年新建达标率100%，改建达标率达70%，2035年改建达标率达100%。</w:t>
      </w:r>
    </w:p>
    <w:p>
      <w:pPr>
        <w:pStyle w:val="11"/>
        <w:pageBreakBefore w:val="0"/>
        <w:kinsoku/>
        <w:wordWrap/>
        <w:overflowPunct/>
        <w:topLinePunct w:val="0"/>
        <w:bidi w:val="0"/>
        <w:snapToGrid w:val="0"/>
        <w:spacing w:line="560" w:lineRule="exact"/>
        <w:ind w:firstLine="640"/>
        <w:textAlignment w:val="auto"/>
        <w:rPr>
          <w:rFonts w:hint="eastAsia"/>
          <w:b/>
          <w:bCs/>
        </w:rPr>
      </w:pPr>
      <w:bookmarkStart w:id="79" w:name="_Toc132989603"/>
      <w:r>
        <w:rPr>
          <w:b/>
          <w:bCs/>
        </w:rPr>
        <w:t>4</w:t>
      </w:r>
      <w:r>
        <w:rPr>
          <w:rFonts w:hint="eastAsia"/>
          <w:b/>
          <w:bCs/>
        </w:rPr>
        <w:t>.</w:t>
      </w:r>
      <w:r>
        <w:rPr>
          <w:b/>
          <w:bCs/>
        </w:rPr>
        <w:t>5</w:t>
      </w:r>
      <w:r>
        <w:rPr>
          <w:rFonts w:hint="eastAsia"/>
          <w:b/>
          <w:bCs/>
        </w:rPr>
        <w:t>.2垃圾转运站布局规划</w:t>
      </w:r>
      <w:bookmarkEnd w:id="79"/>
    </w:p>
    <w:p>
      <w:pPr>
        <w:pageBreakBefore w:val="0"/>
        <w:kinsoku/>
        <w:wordWrap/>
        <w:overflowPunct/>
        <w:topLinePunct w:val="0"/>
        <w:bidi w:val="0"/>
        <w:snapToGrid w:val="0"/>
        <w:spacing w:line="560" w:lineRule="exact"/>
        <w:ind w:firstLine="640"/>
        <w:textAlignment w:val="auto"/>
        <w:rPr>
          <w:rFonts w:hint="eastAsia"/>
        </w:rPr>
      </w:pPr>
      <w:r>
        <w:rPr>
          <w:rFonts w:hint="eastAsia"/>
        </w:rPr>
        <w:t>1</w:t>
      </w:r>
      <w:r>
        <w:rPr>
          <w:rFonts w:hint="eastAsia"/>
          <w:lang w:val="en-US" w:eastAsia="zh-CN"/>
        </w:rPr>
        <w:t>.</w:t>
      </w:r>
      <w:r>
        <w:rPr>
          <w:rFonts w:hint="eastAsia"/>
        </w:rPr>
        <w:t>垃圾转运站规划原则</w:t>
      </w:r>
    </w:p>
    <w:p>
      <w:pPr>
        <w:pageBreakBefore w:val="0"/>
        <w:kinsoku/>
        <w:wordWrap/>
        <w:overflowPunct/>
        <w:topLinePunct w:val="0"/>
        <w:bidi w:val="0"/>
        <w:snapToGrid w:val="0"/>
        <w:spacing w:line="560" w:lineRule="exact"/>
        <w:ind w:firstLine="640"/>
        <w:textAlignment w:val="auto"/>
      </w:pPr>
      <w:r>
        <w:rPr>
          <w:rFonts w:hint="eastAsia"/>
        </w:rPr>
        <w:t>（</w:t>
      </w:r>
      <w:r>
        <w:t>1</w:t>
      </w:r>
      <w:r>
        <w:rPr>
          <w:rFonts w:hint="eastAsia"/>
        </w:rPr>
        <w:t>）服务范围内垃圾运输平均距离超过</w:t>
      </w:r>
      <w:r>
        <w:t>10公里</w:t>
      </w:r>
      <w:r>
        <w:rPr>
          <w:rFonts w:hint="eastAsia"/>
        </w:rPr>
        <w:t>，宜设置垃圾转运站；平均距离超过</w:t>
      </w:r>
      <w:r>
        <w:t>20公里</w:t>
      </w:r>
      <w:r>
        <w:rPr>
          <w:rFonts w:hint="eastAsia"/>
        </w:rPr>
        <w:t>时，宜设置大、中型转运站。</w:t>
      </w:r>
    </w:p>
    <w:p>
      <w:pPr>
        <w:pageBreakBefore w:val="0"/>
        <w:kinsoku/>
        <w:wordWrap/>
        <w:overflowPunct/>
        <w:topLinePunct w:val="0"/>
        <w:bidi w:val="0"/>
        <w:snapToGrid w:val="0"/>
        <w:spacing w:line="560" w:lineRule="exact"/>
        <w:ind w:firstLine="640"/>
        <w:textAlignment w:val="auto"/>
      </w:pPr>
      <w:r>
        <w:rPr>
          <w:rFonts w:hint="eastAsia"/>
        </w:rPr>
        <w:t>（</w:t>
      </w:r>
      <w:r>
        <w:t>2</w:t>
      </w:r>
      <w:r>
        <w:rPr>
          <w:rFonts w:hint="eastAsia"/>
        </w:rPr>
        <w:t>）转运站应设在交通便利，易安排清运线路的地方。</w:t>
      </w:r>
    </w:p>
    <w:p>
      <w:pPr>
        <w:pageBreakBefore w:val="0"/>
        <w:kinsoku/>
        <w:wordWrap/>
        <w:overflowPunct/>
        <w:topLinePunct w:val="0"/>
        <w:bidi w:val="0"/>
        <w:snapToGrid w:val="0"/>
        <w:spacing w:line="560" w:lineRule="exact"/>
        <w:ind w:firstLine="640"/>
        <w:textAlignment w:val="auto"/>
      </w:pPr>
      <w:r>
        <w:rPr>
          <w:rFonts w:hint="eastAsia"/>
        </w:rPr>
        <w:t>（</w:t>
      </w:r>
      <w:r>
        <w:t>3</w:t>
      </w:r>
      <w:r>
        <w:rPr>
          <w:rFonts w:hint="eastAsia"/>
        </w:rPr>
        <w:t>）转运站应满足供水、供电、污水排放、通信等方面的要求。</w:t>
      </w:r>
    </w:p>
    <w:p>
      <w:pPr>
        <w:pageBreakBefore w:val="0"/>
        <w:kinsoku/>
        <w:wordWrap/>
        <w:overflowPunct/>
        <w:topLinePunct w:val="0"/>
        <w:bidi w:val="0"/>
        <w:snapToGrid w:val="0"/>
        <w:spacing w:line="560" w:lineRule="exact"/>
        <w:ind w:firstLine="640"/>
        <w:textAlignment w:val="auto"/>
      </w:pPr>
      <w:r>
        <w:rPr>
          <w:rFonts w:hint="eastAsia"/>
        </w:rPr>
        <w:t>（</w:t>
      </w:r>
      <w:r>
        <w:t>4</w:t>
      </w:r>
      <w:r>
        <w:rPr>
          <w:rFonts w:hint="eastAsia"/>
        </w:rPr>
        <w:t>）转运站宜与公共厕所、环卫作息点、工具房等环卫设施合建在一起。</w:t>
      </w:r>
    </w:p>
    <w:p>
      <w:pPr>
        <w:pageBreakBefore w:val="0"/>
        <w:kinsoku/>
        <w:wordWrap/>
        <w:overflowPunct/>
        <w:topLinePunct w:val="0"/>
        <w:bidi w:val="0"/>
        <w:snapToGrid w:val="0"/>
        <w:spacing w:line="560" w:lineRule="exact"/>
        <w:ind w:firstLine="640"/>
        <w:textAlignment w:val="auto"/>
        <w:rPr>
          <w:rFonts w:hint="eastAsia"/>
        </w:rPr>
      </w:pPr>
      <w:r>
        <w:t>2</w:t>
      </w:r>
      <w:r>
        <w:rPr>
          <w:rFonts w:hint="eastAsia"/>
          <w:lang w:val="en-US" w:eastAsia="zh-CN"/>
        </w:rPr>
        <w:t>.</w:t>
      </w:r>
      <w:r>
        <w:rPr>
          <w:rFonts w:hint="eastAsia"/>
        </w:rPr>
        <w:t>垃圾转运站设计规模</w:t>
      </w:r>
    </w:p>
    <w:p>
      <w:pPr>
        <w:pageBreakBefore w:val="0"/>
        <w:kinsoku/>
        <w:wordWrap/>
        <w:overflowPunct/>
        <w:topLinePunct w:val="0"/>
        <w:bidi w:val="0"/>
        <w:snapToGrid w:val="0"/>
        <w:spacing w:line="560" w:lineRule="exact"/>
        <w:ind w:firstLine="640"/>
        <w:textAlignment w:val="auto"/>
      </w:pPr>
      <w:r>
        <w:rPr>
          <w:rFonts w:hint="eastAsia"/>
        </w:rPr>
        <w:t>规划远期南沙区生活垃圾转运站总规模</w:t>
      </w:r>
      <w:r>
        <w:t>3570</w:t>
      </w:r>
      <w:r>
        <w:rPr>
          <w:rFonts w:hint="eastAsia" w:cs="宋体"/>
          <w:kern w:val="0"/>
        </w:rPr>
        <w:t>吨/日</w:t>
      </w:r>
      <w:r>
        <w:rPr>
          <w:rFonts w:hint="eastAsia"/>
        </w:rPr>
        <w:t>，占地</w:t>
      </w:r>
      <w:r>
        <w:t>108732</w:t>
      </w:r>
      <w:r>
        <w:rPr>
          <w:rFonts w:hint="eastAsia"/>
        </w:rPr>
        <w:t>平方米。</w:t>
      </w:r>
    </w:p>
    <w:p>
      <w:pPr>
        <w:pageBreakBefore w:val="0"/>
        <w:kinsoku/>
        <w:wordWrap/>
        <w:overflowPunct/>
        <w:topLinePunct w:val="0"/>
        <w:bidi w:val="0"/>
        <w:snapToGrid w:val="0"/>
        <w:spacing w:line="560" w:lineRule="exact"/>
        <w:ind w:firstLine="640"/>
        <w:textAlignment w:val="auto"/>
        <w:rPr>
          <w:rFonts w:hint="eastAsia"/>
        </w:rPr>
      </w:pPr>
      <w:r>
        <w:t>3</w:t>
      </w:r>
      <w:r>
        <w:rPr>
          <w:rFonts w:hint="eastAsia"/>
          <w:lang w:val="en-US" w:eastAsia="zh-CN"/>
        </w:rPr>
        <w:t>.</w:t>
      </w:r>
      <w:r>
        <w:rPr>
          <w:rFonts w:hint="eastAsia"/>
        </w:rPr>
        <w:t>垃圾转运站布局规划</w:t>
      </w:r>
    </w:p>
    <w:p>
      <w:pPr>
        <w:pageBreakBefore w:val="0"/>
        <w:kinsoku/>
        <w:wordWrap/>
        <w:overflowPunct/>
        <w:topLinePunct w:val="0"/>
        <w:bidi w:val="0"/>
        <w:snapToGrid w:val="0"/>
        <w:spacing w:line="560" w:lineRule="exact"/>
        <w:ind w:firstLine="640"/>
        <w:textAlignment w:val="auto"/>
      </w:pPr>
      <w:r>
        <w:rPr>
          <w:rFonts w:hint="eastAsia"/>
        </w:rPr>
        <w:t>生活垃圾转运站应具备生活垃圾压缩、转运功能，车辆及设备的清洗功能，污染防治功能。本次规划南沙区新建生活垃圾转运站8座，改扩建现状转运站6座，保留现状转运站1座。新建的转运站可综合考虑经济、技术等各方面条件，选用地上、地下或半地下等形式，与小区绿地或街区公园合建，以降低对周边居民生活的影响。</w:t>
      </w:r>
    </w:p>
    <w:p>
      <w:pPr>
        <w:pStyle w:val="11"/>
        <w:pageBreakBefore w:val="0"/>
        <w:kinsoku/>
        <w:wordWrap/>
        <w:overflowPunct/>
        <w:topLinePunct w:val="0"/>
        <w:bidi w:val="0"/>
        <w:snapToGrid w:val="0"/>
        <w:spacing w:line="560" w:lineRule="exact"/>
        <w:ind w:firstLine="640"/>
        <w:textAlignment w:val="auto"/>
        <w:rPr>
          <w:b/>
          <w:bCs/>
        </w:rPr>
      </w:pPr>
      <w:bookmarkStart w:id="80" w:name="_Toc132989604"/>
      <w:r>
        <w:rPr>
          <w:b/>
          <w:bCs/>
        </w:rPr>
        <w:t>4</w:t>
      </w:r>
      <w:r>
        <w:rPr>
          <w:rFonts w:hint="eastAsia"/>
          <w:b/>
          <w:bCs/>
        </w:rPr>
        <w:t>.</w:t>
      </w:r>
      <w:r>
        <w:rPr>
          <w:b/>
          <w:bCs/>
        </w:rPr>
        <w:t>5</w:t>
      </w:r>
      <w:r>
        <w:rPr>
          <w:rFonts w:hint="eastAsia"/>
          <w:b/>
          <w:bCs/>
        </w:rPr>
        <w:t>.3环卫停车场布局选址规划</w:t>
      </w:r>
      <w:bookmarkEnd w:id="80"/>
    </w:p>
    <w:p>
      <w:pPr>
        <w:pageBreakBefore w:val="0"/>
        <w:kinsoku/>
        <w:wordWrap/>
        <w:overflowPunct/>
        <w:topLinePunct w:val="0"/>
        <w:bidi w:val="0"/>
        <w:snapToGrid w:val="0"/>
        <w:spacing w:line="560" w:lineRule="exact"/>
        <w:ind w:firstLine="640"/>
        <w:textAlignment w:val="auto"/>
        <w:rPr>
          <w:rFonts w:hint="eastAsia"/>
        </w:rPr>
      </w:pPr>
      <w:r>
        <w:rPr>
          <w:rFonts w:hint="eastAsia"/>
        </w:rPr>
        <w:t>1</w:t>
      </w:r>
      <w:r>
        <w:rPr>
          <w:rFonts w:hint="eastAsia"/>
          <w:lang w:val="en-US" w:eastAsia="zh-CN"/>
        </w:rPr>
        <w:t>.</w:t>
      </w:r>
      <w:r>
        <w:rPr>
          <w:rFonts w:hint="eastAsia"/>
        </w:rPr>
        <w:t>环卫停车场选址原则</w:t>
      </w:r>
    </w:p>
    <w:p>
      <w:pPr>
        <w:pageBreakBefore w:val="0"/>
        <w:kinsoku/>
        <w:wordWrap/>
        <w:overflowPunct/>
        <w:topLinePunct w:val="0"/>
        <w:bidi w:val="0"/>
        <w:snapToGrid w:val="0"/>
        <w:spacing w:line="560" w:lineRule="exact"/>
        <w:ind w:firstLine="640"/>
        <w:textAlignment w:val="auto"/>
        <w:rPr>
          <w:rFonts w:hint="eastAsia"/>
        </w:rPr>
      </w:pPr>
      <w:r>
        <w:rPr>
          <w:rFonts w:hint="eastAsia"/>
        </w:rPr>
        <w:t>环卫停车场需综合考虑整体布局、服务范围、环境影响、运行费用等社会、经济因素，总体来说，在符合城市规划要求的条件下，环卫停车场宜设置在服务区范围内，场内设施宜包括管理用房、修理工棚、清洗设施等。根据国家政策要求，环卫车辆逐步采用新能源车辆（纯电动等），因此环卫停车场应配备适量的充电装置。</w:t>
      </w:r>
    </w:p>
    <w:p>
      <w:pPr>
        <w:pageBreakBefore w:val="0"/>
        <w:kinsoku/>
        <w:wordWrap/>
        <w:overflowPunct/>
        <w:topLinePunct w:val="0"/>
        <w:bidi w:val="0"/>
        <w:snapToGrid w:val="0"/>
        <w:spacing w:line="560" w:lineRule="exact"/>
        <w:ind w:firstLine="640"/>
        <w:textAlignment w:val="auto"/>
        <w:rPr>
          <w:rFonts w:hint="eastAsia"/>
        </w:rPr>
      </w:pPr>
      <w:r>
        <w:rPr>
          <w:rFonts w:hint="eastAsia"/>
        </w:rPr>
        <w:t>2</w:t>
      </w:r>
      <w:r>
        <w:rPr>
          <w:rFonts w:hint="eastAsia"/>
          <w:lang w:val="en-US" w:eastAsia="zh-CN"/>
        </w:rPr>
        <w:t>.</w:t>
      </w:r>
      <w:r>
        <w:rPr>
          <w:rFonts w:hint="eastAsia"/>
        </w:rPr>
        <w:t>环卫停车场面积预测</w:t>
      </w:r>
    </w:p>
    <w:p>
      <w:pPr>
        <w:pageBreakBefore w:val="0"/>
        <w:kinsoku/>
        <w:wordWrap/>
        <w:overflowPunct/>
        <w:topLinePunct w:val="0"/>
        <w:bidi w:val="0"/>
        <w:snapToGrid w:val="0"/>
        <w:spacing w:line="560" w:lineRule="exact"/>
        <w:ind w:firstLine="640"/>
        <w:textAlignment w:val="auto"/>
        <w:rPr>
          <w:rFonts w:hint="eastAsia"/>
        </w:rPr>
      </w:pPr>
      <w:r>
        <w:rPr>
          <w:rFonts w:hint="eastAsia"/>
        </w:rPr>
        <w:t>规划远期南沙区环卫停车场需求约29650平方米。</w:t>
      </w:r>
    </w:p>
    <w:p>
      <w:pPr>
        <w:pageBreakBefore w:val="0"/>
        <w:kinsoku/>
        <w:wordWrap/>
        <w:overflowPunct/>
        <w:topLinePunct w:val="0"/>
        <w:bidi w:val="0"/>
        <w:snapToGrid w:val="0"/>
        <w:spacing w:line="560" w:lineRule="exact"/>
        <w:ind w:firstLine="640"/>
        <w:textAlignment w:val="auto"/>
        <w:rPr>
          <w:rFonts w:hint="eastAsia"/>
        </w:rPr>
      </w:pPr>
      <w:r>
        <w:rPr>
          <w:rFonts w:hint="eastAsia"/>
        </w:rPr>
        <w:t>3</w:t>
      </w:r>
      <w:r>
        <w:rPr>
          <w:rFonts w:hint="eastAsia"/>
          <w:lang w:val="en-US" w:eastAsia="zh-CN"/>
        </w:rPr>
        <w:t>.</w:t>
      </w:r>
      <w:r>
        <w:rPr>
          <w:rFonts w:hint="eastAsia"/>
        </w:rPr>
        <w:t>环卫停车场布局规划</w:t>
      </w:r>
    </w:p>
    <w:p>
      <w:pPr>
        <w:pageBreakBefore w:val="0"/>
        <w:kinsoku/>
        <w:wordWrap/>
        <w:overflowPunct/>
        <w:topLinePunct w:val="0"/>
        <w:bidi w:val="0"/>
        <w:snapToGrid w:val="0"/>
        <w:spacing w:line="560" w:lineRule="exact"/>
        <w:ind w:firstLine="640"/>
        <w:textAlignment w:val="auto"/>
        <w:rPr>
          <w:rFonts w:hint="eastAsia"/>
        </w:rPr>
      </w:pPr>
      <w:r>
        <w:rPr>
          <w:rFonts w:hint="eastAsia"/>
        </w:rPr>
        <w:t>本次规划</w:t>
      </w:r>
      <w:r>
        <w:t>13</w:t>
      </w:r>
      <w:r>
        <w:rPr>
          <w:rFonts w:hint="eastAsia"/>
        </w:rPr>
        <w:t>座环卫停车场，总面积</w:t>
      </w:r>
      <w:r>
        <w:t>28671</w:t>
      </w:r>
      <w:r>
        <w:rPr>
          <w:rFonts w:hint="eastAsia"/>
        </w:rPr>
        <w:t>平方米，其中</w:t>
      </w:r>
      <w:r>
        <w:t>1</w:t>
      </w:r>
      <w:r>
        <w:rPr>
          <w:rFonts w:hint="eastAsia"/>
        </w:rPr>
        <w:t>座为独立占地，其余</w:t>
      </w:r>
      <w:r>
        <w:t>12</w:t>
      </w:r>
      <w:r>
        <w:rPr>
          <w:rFonts w:hint="eastAsia"/>
        </w:rPr>
        <w:t>座与垃圾转运站合建。新建停车场应包括管理用房、修理工棚、清洗设施的位置，并按标准配置生活设施、环卫作息场所，应配备车辆维修、保养、清洗、除臭等配套设施，其二次污染控制应达到现时执行相关标准的控制指标，另外停车场建设标准应适当提高，建筑物色调协调，有条件的停车场周围应设置绿化噪音、粉尘隔离带。</w:t>
      </w:r>
    </w:p>
    <w:p>
      <w:pPr>
        <w:pStyle w:val="11"/>
        <w:pageBreakBefore w:val="0"/>
        <w:kinsoku/>
        <w:wordWrap/>
        <w:overflowPunct/>
        <w:topLinePunct w:val="0"/>
        <w:bidi w:val="0"/>
        <w:snapToGrid w:val="0"/>
        <w:spacing w:line="560" w:lineRule="exact"/>
        <w:ind w:firstLine="640"/>
        <w:textAlignment w:val="auto"/>
        <w:rPr>
          <w:b/>
          <w:bCs/>
        </w:rPr>
      </w:pPr>
      <w:bookmarkStart w:id="81" w:name="_Toc132989605"/>
      <w:r>
        <w:rPr>
          <w:b/>
          <w:bCs/>
        </w:rPr>
        <w:t>4</w:t>
      </w:r>
      <w:r>
        <w:rPr>
          <w:rFonts w:hint="eastAsia"/>
          <w:b/>
          <w:bCs/>
        </w:rPr>
        <w:t>.</w:t>
      </w:r>
      <w:r>
        <w:rPr>
          <w:b/>
          <w:bCs/>
        </w:rPr>
        <w:t>5</w:t>
      </w:r>
      <w:r>
        <w:rPr>
          <w:rFonts w:hint="eastAsia"/>
          <w:b/>
          <w:bCs/>
        </w:rPr>
        <w:t>.4末端处理设施布局选址规划</w:t>
      </w:r>
      <w:bookmarkEnd w:id="81"/>
    </w:p>
    <w:p>
      <w:pPr>
        <w:pageBreakBefore w:val="0"/>
        <w:kinsoku/>
        <w:wordWrap/>
        <w:overflowPunct/>
        <w:topLinePunct w:val="0"/>
        <w:bidi w:val="0"/>
        <w:snapToGrid w:val="0"/>
        <w:spacing w:line="560" w:lineRule="exact"/>
        <w:ind w:firstLine="640"/>
        <w:textAlignment w:val="auto"/>
      </w:pPr>
      <w:r>
        <w:rPr>
          <w:rFonts w:hint="eastAsia"/>
        </w:rPr>
        <w:t>保留现状终端处理设施共3处，分别为广州市第四资源热力电厂一期（处理规模 2000吨/日）、餐厨垃圾处理厂（处理规模 400吨/日）、广州市第四资源热力电厂二期（处理规模3000吨/日）。规划在广州市第四资源热电厂附近新建餐厨垃圾处理厂一座，处理规模350吨/日，选址用地面积15118平方米。</w:t>
      </w:r>
    </w:p>
    <w:p>
      <w:pPr>
        <w:pStyle w:val="2"/>
        <w:pageBreakBefore w:val="0"/>
        <w:kinsoku/>
        <w:wordWrap/>
        <w:overflowPunct/>
        <w:topLinePunct w:val="0"/>
        <w:bidi w:val="0"/>
        <w:snapToGrid w:val="0"/>
        <w:spacing w:line="560" w:lineRule="exact"/>
        <w:ind w:firstLine="640"/>
        <w:textAlignment w:val="auto"/>
        <w:rPr>
          <w:rFonts w:hint="eastAsia"/>
        </w:rPr>
      </w:pPr>
    </w:p>
    <w:p>
      <w:pPr>
        <w:pStyle w:val="8"/>
        <w:pageBreakBefore w:val="0"/>
        <w:kinsoku/>
        <w:wordWrap/>
        <w:overflowPunct/>
        <w:topLinePunct w:val="0"/>
        <w:bidi w:val="0"/>
        <w:snapToGrid w:val="0"/>
        <w:spacing w:line="560" w:lineRule="exact"/>
        <w:textAlignment w:val="auto"/>
        <w:rPr>
          <w:rFonts w:hint="eastAsia"/>
        </w:rPr>
      </w:pPr>
      <w:bookmarkStart w:id="82" w:name="_Toc132985646"/>
      <w:bookmarkStart w:id="83" w:name="_Toc132986117"/>
      <w:bookmarkStart w:id="84" w:name="_Toc132989611"/>
      <w:bookmarkStart w:id="85" w:name="_Hlk55488445"/>
      <w:r>
        <w:br w:type="page"/>
      </w:r>
      <w:bookmarkStart w:id="86" w:name="_Toc18926"/>
      <w:r>
        <w:rPr>
          <w:rFonts w:hint="eastAsia"/>
        </w:rPr>
        <w:t>第五章 近期建设规划</w:t>
      </w:r>
      <w:bookmarkEnd w:id="82"/>
      <w:bookmarkEnd w:id="83"/>
      <w:bookmarkEnd w:id="84"/>
      <w:bookmarkEnd w:id="86"/>
    </w:p>
    <w:p>
      <w:pPr>
        <w:pStyle w:val="10"/>
        <w:pageBreakBefore w:val="0"/>
        <w:kinsoku/>
        <w:wordWrap/>
        <w:overflowPunct/>
        <w:topLinePunct w:val="0"/>
        <w:bidi w:val="0"/>
        <w:snapToGrid w:val="0"/>
        <w:spacing w:line="560" w:lineRule="exact"/>
        <w:ind w:firstLine="640" w:firstLineChars="200"/>
        <w:textAlignment w:val="auto"/>
        <w:rPr>
          <w:rFonts w:eastAsia="楷体_GB2312"/>
          <w:b w:val="0"/>
          <w:bCs/>
        </w:rPr>
      </w:pPr>
      <w:bookmarkStart w:id="87" w:name="_Toc132986118"/>
      <w:bookmarkStart w:id="88" w:name="_Toc132989612"/>
      <w:bookmarkStart w:id="89" w:name="_Toc132985647"/>
      <w:r>
        <w:rPr>
          <w:rFonts w:eastAsia="楷体_GB2312"/>
          <w:b w:val="0"/>
          <w:bCs/>
        </w:rPr>
        <w:t>5.1近期建设规划原则</w:t>
      </w:r>
      <w:bookmarkEnd w:id="87"/>
      <w:bookmarkEnd w:id="88"/>
      <w:bookmarkEnd w:id="89"/>
    </w:p>
    <w:p>
      <w:pPr>
        <w:pageBreakBefore w:val="0"/>
        <w:kinsoku/>
        <w:wordWrap/>
        <w:overflowPunct/>
        <w:topLinePunct w:val="0"/>
        <w:bidi w:val="0"/>
        <w:snapToGrid w:val="0"/>
        <w:spacing w:line="560" w:lineRule="exact"/>
        <w:ind w:firstLine="640"/>
        <w:textAlignment w:val="auto"/>
        <w:rPr>
          <w:rFonts w:cs="宋体"/>
          <w:kern w:val="0"/>
        </w:rPr>
      </w:pPr>
      <w:r>
        <w:rPr>
          <w:rFonts w:hint="eastAsia" w:cs="宋体"/>
          <w:kern w:val="0"/>
        </w:rPr>
        <w:t>根据南沙区重点发展区域规划，确定本次规划近期建设范围为海港区块、明珠湾起步区区块、南沙枢纽区块、庆盛枢纽区块、南沙湾区块、蕉门河中心区区块、万顷沙保税港加工制造业区块、大岗先进制造业区块。</w:t>
      </w:r>
    </w:p>
    <w:p>
      <w:pPr>
        <w:pageBreakBefore w:val="0"/>
        <w:kinsoku/>
        <w:wordWrap/>
        <w:overflowPunct/>
        <w:topLinePunct w:val="0"/>
        <w:bidi w:val="0"/>
        <w:snapToGrid w:val="0"/>
        <w:spacing w:line="560" w:lineRule="exact"/>
        <w:ind w:firstLine="640"/>
        <w:textAlignment w:val="auto"/>
        <w:rPr>
          <w:rFonts w:hint="eastAsia" w:cs="宋体"/>
          <w:kern w:val="0"/>
        </w:rPr>
      </w:pPr>
      <w:r>
        <w:rPr>
          <w:rFonts w:hint="eastAsia" w:cs="宋体"/>
          <w:kern w:val="0"/>
        </w:rPr>
        <w:t>结合南沙区近期建设需求，考虑“邻避效应”的影响，将2</w:t>
      </w:r>
      <w:r>
        <w:rPr>
          <w:rFonts w:cs="宋体"/>
          <w:kern w:val="0"/>
        </w:rPr>
        <w:t>025</w:t>
      </w:r>
      <w:r>
        <w:rPr>
          <w:rFonts w:hint="eastAsia" w:cs="宋体"/>
          <w:kern w:val="0"/>
        </w:rPr>
        <w:t>年前具备启动建设条件的设施纳入近期建设规划。</w:t>
      </w:r>
    </w:p>
    <w:p>
      <w:pPr>
        <w:pStyle w:val="10"/>
        <w:pageBreakBefore w:val="0"/>
        <w:kinsoku/>
        <w:wordWrap/>
        <w:overflowPunct/>
        <w:topLinePunct w:val="0"/>
        <w:bidi w:val="0"/>
        <w:snapToGrid w:val="0"/>
        <w:spacing w:line="560" w:lineRule="exact"/>
        <w:ind w:firstLine="640" w:firstLineChars="200"/>
        <w:textAlignment w:val="auto"/>
        <w:rPr>
          <w:rFonts w:eastAsia="楷体_GB2312"/>
          <w:b w:val="0"/>
          <w:bCs/>
        </w:rPr>
      </w:pPr>
      <w:bookmarkStart w:id="90" w:name="_Toc132985648"/>
      <w:bookmarkStart w:id="91" w:name="_Toc132989613"/>
      <w:bookmarkStart w:id="92" w:name="_Toc132986119"/>
      <w:r>
        <w:rPr>
          <w:rFonts w:eastAsia="楷体_GB2312"/>
          <w:b w:val="0"/>
          <w:bCs/>
        </w:rPr>
        <w:t>5.2</w:t>
      </w:r>
      <w:r>
        <w:rPr>
          <w:rFonts w:hint="eastAsia" w:eastAsia="楷体_GB2312"/>
          <w:b w:val="0"/>
          <w:bCs/>
        </w:rPr>
        <w:t>近期建设</w:t>
      </w:r>
      <w:bookmarkEnd w:id="90"/>
      <w:bookmarkEnd w:id="91"/>
      <w:bookmarkEnd w:id="92"/>
      <w:r>
        <w:rPr>
          <w:rFonts w:hint="eastAsia" w:eastAsia="楷体_GB2312"/>
          <w:b w:val="0"/>
          <w:bCs/>
        </w:rPr>
        <w:t>规划</w:t>
      </w:r>
    </w:p>
    <w:p>
      <w:pPr>
        <w:pageBreakBefore w:val="0"/>
        <w:kinsoku/>
        <w:wordWrap/>
        <w:overflowPunct/>
        <w:topLinePunct w:val="0"/>
        <w:bidi w:val="0"/>
        <w:snapToGrid w:val="0"/>
        <w:spacing w:line="560" w:lineRule="exact"/>
        <w:ind w:firstLine="640"/>
        <w:textAlignment w:val="auto"/>
        <w:rPr>
          <w:rFonts w:hint="eastAsia"/>
        </w:rPr>
      </w:pPr>
      <w:r>
        <w:rPr>
          <w:rFonts w:hint="eastAsia"/>
        </w:rPr>
        <w:t>转运站：规划新建4座生活垃圾转运站，改扩建6座现状生活垃圾转运站。</w:t>
      </w:r>
    </w:p>
    <w:p>
      <w:pPr>
        <w:pageBreakBefore w:val="0"/>
        <w:kinsoku/>
        <w:wordWrap/>
        <w:overflowPunct/>
        <w:topLinePunct w:val="0"/>
        <w:bidi w:val="0"/>
        <w:snapToGrid w:val="0"/>
        <w:spacing w:line="560" w:lineRule="exact"/>
        <w:ind w:firstLine="640"/>
        <w:textAlignment w:val="auto"/>
        <w:rPr>
          <w:rFonts w:hint="eastAsia"/>
        </w:rPr>
      </w:pPr>
      <w:r>
        <w:rPr>
          <w:rFonts w:hint="eastAsia"/>
        </w:rPr>
        <w:t>环卫停车场：规划新建11个环卫停车场，其中10个与生活垃圾转运站合建，1个独立占地。</w:t>
      </w:r>
    </w:p>
    <w:p>
      <w:pPr>
        <w:pageBreakBefore w:val="0"/>
        <w:kinsoku/>
        <w:wordWrap/>
        <w:overflowPunct/>
        <w:topLinePunct w:val="0"/>
        <w:bidi w:val="0"/>
        <w:snapToGrid w:val="0"/>
        <w:spacing w:line="560" w:lineRule="exact"/>
        <w:ind w:firstLine="640"/>
        <w:textAlignment w:val="auto"/>
        <w:rPr>
          <w:rFonts w:hint="eastAsia"/>
        </w:rPr>
      </w:pPr>
      <w:r>
        <w:rPr>
          <w:rFonts w:hint="eastAsia"/>
        </w:rPr>
        <w:t>垃圾收集点：规划新建5座垃圾收集点，改建113座现状垃圾收集点。</w:t>
      </w:r>
    </w:p>
    <w:p>
      <w:pPr>
        <w:pageBreakBefore w:val="0"/>
        <w:kinsoku/>
        <w:wordWrap/>
        <w:overflowPunct/>
        <w:topLinePunct w:val="0"/>
        <w:bidi w:val="0"/>
        <w:snapToGrid w:val="0"/>
        <w:spacing w:line="560" w:lineRule="exact"/>
        <w:ind w:firstLine="640"/>
        <w:textAlignment w:val="auto"/>
        <w:rPr>
          <w:rFonts w:hint="eastAsia"/>
        </w:rPr>
      </w:pPr>
      <w:r>
        <w:rPr>
          <w:rFonts w:hint="eastAsia"/>
        </w:rPr>
        <w:t>环卫车辆：规划新增有害垃圾收运车9辆（1吨）、餐厨垃圾收运车21辆（12吨）、其他垃圾收运车54辆（12吨）。</w:t>
      </w:r>
    </w:p>
    <w:bookmarkEnd w:id="85"/>
    <w:p>
      <w:pPr>
        <w:pStyle w:val="8"/>
        <w:pageBreakBefore w:val="0"/>
        <w:kinsoku/>
        <w:wordWrap/>
        <w:overflowPunct/>
        <w:topLinePunct w:val="0"/>
        <w:bidi w:val="0"/>
        <w:snapToGrid w:val="0"/>
        <w:spacing w:line="560" w:lineRule="exact"/>
        <w:textAlignment w:val="auto"/>
      </w:pPr>
      <w:bookmarkStart w:id="93" w:name="_Toc132989619"/>
      <w:bookmarkStart w:id="94" w:name="_Toc132985654"/>
      <w:bookmarkStart w:id="95" w:name="_Toc132986125"/>
      <w:r>
        <w:rPr>
          <w:rStyle w:val="38"/>
          <w:bCs w:val="0"/>
        </w:rPr>
        <w:br w:type="page"/>
      </w:r>
      <w:bookmarkStart w:id="96" w:name="_Toc3519"/>
      <w:r>
        <w:rPr>
          <w:rStyle w:val="38"/>
          <w:rFonts w:hint="eastAsia"/>
          <w:bCs w:val="0"/>
        </w:rPr>
        <w:t>第六章 规划实施建议</w:t>
      </w:r>
      <w:bookmarkEnd w:id="93"/>
      <w:bookmarkEnd w:id="94"/>
      <w:bookmarkEnd w:id="95"/>
      <w:bookmarkEnd w:id="96"/>
    </w:p>
    <w:p>
      <w:pPr>
        <w:pStyle w:val="10"/>
        <w:pageBreakBefore w:val="0"/>
        <w:kinsoku/>
        <w:wordWrap/>
        <w:overflowPunct/>
        <w:topLinePunct w:val="0"/>
        <w:bidi w:val="0"/>
        <w:snapToGrid w:val="0"/>
        <w:spacing w:line="560" w:lineRule="exact"/>
        <w:ind w:firstLine="640" w:firstLineChars="200"/>
        <w:textAlignment w:val="auto"/>
        <w:rPr>
          <w:rFonts w:eastAsia="楷体_GB2312"/>
          <w:b w:val="0"/>
          <w:bCs/>
        </w:rPr>
      </w:pPr>
      <w:bookmarkStart w:id="97" w:name="_Toc132985655"/>
      <w:bookmarkStart w:id="98" w:name="_Toc132989620"/>
      <w:bookmarkStart w:id="99" w:name="_Toc132986126"/>
      <w:r>
        <w:rPr>
          <w:rFonts w:eastAsia="楷体_GB2312"/>
          <w:b w:val="0"/>
          <w:bCs/>
        </w:rPr>
        <w:t>6.1</w:t>
      </w:r>
      <w:r>
        <w:rPr>
          <w:rFonts w:hint="eastAsia" w:eastAsia="楷体_GB2312"/>
          <w:b w:val="0"/>
          <w:bCs/>
        </w:rPr>
        <w:t>规划实施保障措施</w:t>
      </w:r>
      <w:bookmarkEnd w:id="97"/>
      <w:bookmarkEnd w:id="98"/>
      <w:bookmarkEnd w:id="99"/>
    </w:p>
    <w:p>
      <w:pPr>
        <w:pStyle w:val="11"/>
        <w:pageBreakBefore w:val="0"/>
        <w:kinsoku/>
        <w:wordWrap/>
        <w:overflowPunct/>
        <w:topLinePunct w:val="0"/>
        <w:bidi w:val="0"/>
        <w:snapToGrid w:val="0"/>
        <w:spacing w:line="560" w:lineRule="exact"/>
        <w:ind w:firstLine="640"/>
        <w:textAlignment w:val="auto"/>
        <w:rPr>
          <w:b/>
          <w:bCs/>
        </w:rPr>
      </w:pPr>
      <w:bookmarkStart w:id="100" w:name="_Toc132989621"/>
      <w:r>
        <w:rPr>
          <w:b/>
          <w:bCs/>
        </w:rPr>
        <w:t>6.1.1</w:t>
      </w:r>
      <w:r>
        <w:rPr>
          <w:rFonts w:hint="eastAsia"/>
          <w:b/>
          <w:bCs/>
        </w:rPr>
        <w:t>完善规划管理体制</w:t>
      </w:r>
      <w:bookmarkEnd w:id="100"/>
    </w:p>
    <w:p>
      <w:pPr>
        <w:pageBreakBefore w:val="0"/>
        <w:kinsoku/>
        <w:wordWrap/>
        <w:overflowPunct/>
        <w:topLinePunct w:val="0"/>
        <w:bidi w:val="0"/>
        <w:snapToGrid w:val="0"/>
        <w:spacing w:line="560" w:lineRule="exact"/>
        <w:ind w:firstLine="640"/>
        <w:textAlignment w:val="auto"/>
      </w:pPr>
      <w:r>
        <w:rPr>
          <w:rFonts w:hint="eastAsia"/>
          <w:lang w:val="en-US" w:eastAsia="zh-CN"/>
        </w:rPr>
        <w:t>1.</w:t>
      </w:r>
      <w:r>
        <w:rPr>
          <w:rFonts w:hint="eastAsia"/>
        </w:rPr>
        <w:t>将本规划纳入南沙区国民经济社会发展规划和南沙区空间规划，与城市规划衔接，</w:t>
      </w:r>
      <w:r>
        <w:t>环卫设施纳入一张图管理平台</w:t>
      </w:r>
      <w:r>
        <w:rPr>
          <w:rFonts w:hint="eastAsia"/>
        </w:rPr>
        <w:t>，确保环境卫生设施建设用地到位，使之具有法律约束性，并不得随意改变其用地性质。</w:t>
      </w:r>
    </w:p>
    <w:p>
      <w:pPr>
        <w:pageBreakBefore w:val="0"/>
        <w:kinsoku/>
        <w:wordWrap/>
        <w:overflowPunct/>
        <w:topLinePunct w:val="0"/>
        <w:bidi w:val="0"/>
        <w:snapToGrid w:val="0"/>
        <w:spacing w:line="560" w:lineRule="exact"/>
        <w:ind w:firstLine="640"/>
        <w:textAlignment w:val="auto"/>
      </w:pPr>
      <w:r>
        <w:rPr>
          <w:rFonts w:hint="eastAsia"/>
          <w:lang w:val="en-US" w:eastAsia="zh-CN"/>
        </w:rPr>
        <w:t>2.</w:t>
      </w:r>
      <w:r>
        <w:rPr>
          <w:rFonts w:hint="eastAsia"/>
        </w:rPr>
        <w:t>环境卫生设施的建设应列入城乡建设年度计划，并纳入南沙区国民经济和社会发展规划年度实施计划，切实保障规划的实施。</w:t>
      </w:r>
    </w:p>
    <w:p>
      <w:pPr>
        <w:pStyle w:val="11"/>
        <w:pageBreakBefore w:val="0"/>
        <w:kinsoku/>
        <w:wordWrap/>
        <w:overflowPunct/>
        <w:topLinePunct w:val="0"/>
        <w:bidi w:val="0"/>
        <w:snapToGrid w:val="0"/>
        <w:spacing w:line="560" w:lineRule="exact"/>
        <w:ind w:firstLine="640"/>
        <w:textAlignment w:val="auto"/>
        <w:rPr>
          <w:b/>
          <w:bCs/>
        </w:rPr>
      </w:pPr>
      <w:bookmarkStart w:id="101" w:name="_Toc132989622"/>
      <w:r>
        <w:rPr>
          <w:b/>
          <w:bCs/>
        </w:rPr>
        <w:t>6.1.2</w:t>
      </w:r>
      <w:r>
        <w:rPr>
          <w:rFonts w:hint="eastAsia"/>
          <w:b/>
          <w:bCs/>
        </w:rPr>
        <w:t>落实环卫设施用地</w:t>
      </w:r>
      <w:bookmarkEnd w:id="101"/>
    </w:p>
    <w:p>
      <w:pPr>
        <w:pageBreakBefore w:val="0"/>
        <w:kinsoku/>
        <w:wordWrap/>
        <w:overflowPunct/>
        <w:topLinePunct w:val="0"/>
        <w:bidi w:val="0"/>
        <w:snapToGrid w:val="0"/>
        <w:spacing w:line="560" w:lineRule="exact"/>
        <w:ind w:firstLine="640"/>
        <w:textAlignment w:val="auto"/>
      </w:pPr>
      <w:r>
        <w:rPr>
          <w:rFonts w:hint="eastAsia"/>
          <w:lang w:val="en-US" w:eastAsia="zh-CN"/>
        </w:rPr>
        <w:t>1.</w:t>
      </w:r>
      <w:r>
        <w:rPr>
          <w:rFonts w:hint="eastAsia"/>
        </w:rPr>
        <w:t>城乡新区开发、旧区改造时，环境卫生设施必须同时规划、设计、施工、验收和使用。</w:t>
      </w:r>
    </w:p>
    <w:p>
      <w:pPr>
        <w:pageBreakBefore w:val="0"/>
        <w:kinsoku/>
        <w:wordWrap/>
        <w:overflowPunct/>
        <w:topLinePunct w:val="0"/>
        <w:bidi w:val="0"/>
        <w:snapToGrid w:val="0"/>
        <w:spacing w:line="560" w:lineRule="exact"/>
        <w:ind w:firstLine="640"/>
        <w:textAlignment w:val="auto"/>
      </w:pPr>
      <w:r>
        <w:rPr>
          <w:rFonts w:hint="eastAsia"/>
          <w:lang w:val="en-US" w:eastAsia="zh-CN"/>
        </w:rPr>
        <w:t>2.</w:t>
      </w:r>
      <w:r>
        <w:rPr>
          <w:rFonts w:hint="eastAsia"/>
        </w:rPr>
        <w:t>没有落实改建或迁改建设的环境卫生设施用地和资金前，不得停止使用或拆除原有的环境卫生设施。</w:t>
      </w:r>
    </w:p>
    <w:p>
      <w:pPr>
        <w:pageBreakBefore w:val="0"/>
        <w:kinsoku/>
        <w:wordWrap/>
        <w:overflowPunct/>
        <w:topLinePunct w:val="0"/>
        <w:bidi w:val="0"/>
        <w:snapToGrid w:val="0"/>
        <w:spacing w:line="560" w:lineRule="exact"/>
        <w:ind w:firstLine="640"/>
        <w:textAlignment w:val="auto"/>
      </w:pPr>
      <w:r>
        <w:rPr>
          <w:rFonts w:hint="eastAsia"/>
          <w:lang w:val="en-US" w:eastAsia="zh-CN"/>
        </w:rPr>
        <w:t>3.</w:t>
      </w:r>
      <w:r>
        <w:rPr>
          <w:rFonts w:hint="eastAsia"/>
        </w:rPr>
        <w:t>规划的环卫设施，由</w:t>
      </w:r>
      <w:r>
        <w:rPr>
          <w:rFonts w:hint="eastAsia"/>
          <w:lang w:val="en-US" w:eastAsia="zh-CN"/>
        </w:rPr>
        <w:t>区</w:t>
      </w:r>
      <w:r>
        <w:rPr>
          <w:rFonts w:hint="eastAsia"/>
        </w:rPr>
        <w:t>规划和自然资源局按照本规划确定的选址原则和建设要求，将其用地和设计条件反映到各个开发项目的规划选址、设计、审批中，各项目审批前，应将这些环卫设施的选址和建设要求征求</w:t>
      </w:r>
      <w:r>
        <w:rPr>
          <w:rFonts w:hint="eastAsia"/>
          <w:lang w:eastAsia="zh-CN"/>
        </w:rPr>
        <w:t>区</w:t>
      </w:r>
      <w:r>
        <w:rPr>
          <w:rFonts w:hint="eastAsia"/>
        </w:rPr>
        <w:t>城管局的意见。</w:t>
      </w:r>
    </w:p>
    <w:p>
      <w:pPr>
        <w:pStyle w:val="10"/>
        <w:pageBreakBefore w:val="0"/>
        <w:kinsoku/>
        <w:wordWrap/>
        <w:overflowPunct/>
        <w:topLinePunct w:val="0"/>
        <w:bidi w:val="0"/>
        <w:snapToGrid w:val="0"/>
        <w:spacing w:line="560" w:lineRule="exact"/>
        <w:ind w:firstLine="640" w:firstLineChars="200"/>
        <w:textAlignment w:val="auto"/>
        <w:rPr>
          <w:rFonts w:eastAsia="楷体_GB2312"/>
          <w:b w:val="0"/>
          <w:bCs/>
        </w:rPr>
      </w:pPr>
      <w:bookmarkStart w:id="102" w:name="_Toc132985656"/>
      <w:bookmarkStart w:id="103" w:name="_Toc132986127"/>
      <w:bookmarkStart w:id="104" w:name="_Toc132989623"/>
      <w:r>
        <w:rPr>
          <w:rFonts w:eastAsia="楷体_GB2312"/>
          <w:b w:val="0"/>
          <w:bCs/>
        </w:rPr>
        <w:t>6.2</w:t>
      </w:r>
      <w:r>
        <w:rPr>
          <w:rFonts w:hint="eastAsia" w:eastAsia="楷体_GB2312"/>
          <w:b w:val="0"/>
          <w:bCs/>
        </w:rPr>
        <w:t>生活垃圾分类收运系统规划实施建议</w:t>
      </w:r>
      <w:bookmarkEnd w:id="102"/>
      <w:bookmarkEnd w:id="103"/>
      <w:bookmarkEnd w:id="104"/>
    </w:p>
    <w:p>
      <w:pPr>
        <w:pStyle w:val="11"/>
        <w:pageBreakBefore w:val="0"/>
        <w:kinsoku/>
        <w:wordWrap/>
        <w:overflowPunct/>
        <w:topLinePunct w:val="0"/>
        <w:bidi w:val="0"/>
        <w:snapToGrid w:val="0"/>
        <w:spacing w:line="560" w:lineRule="exact"/>
        <w:ind w:firstLine="640"/>
        <w:textAlignment w:val="auto"/>
        <w:rPr>
          <w:b/>
          <w:bCs/>
        </w:rPr>
      </w:pPr>
      <w:bookmarkStart w:id="105" w:name="_Toc132989624"/>
      <w:r>
        <w:rPr>
          <w:b/>
          <w:bCs/>
        </w:rPr>
        <w:t>6.2.1</w:t>
      </w:r>
      <w:r>
        <w:rPr>
          <w:rFonts w:hint="eastAsia"/>
          <w:b/>
          <w:bCs/>
        </w:rPr>
        <w:t>推进环卫设施</w:t>
      </w:r>
      <w:r>
        <w:rPr>
          <w:b/>
          <w:bCs/>
        </w:rPr>
        <w:t>集约建设</w:t>
      </w:r>
      <w:bookmarkEnd w:id="105"/>
    </w:p>
    <w:p>
      <w:pPr>
        <w:pageBreakBefore w:val="0"/>
        <w:kinsoku/>
        <w:wordWrap/>
        <w:overflowPunct/>
        <w:topLinePunct w:val="0"/>
        <w:bidi w:val="0"/>
        <w:snapToGrid w:val="0"/>
        <w:spacing w:line="560" w:lineRule="exact"/>
        <w:ind w:firstLine="640"/>
        <w:textAlignment w:val="auto"/>
        <w:rPr>
          <w:rFonts w:hint="eastAsia"/>
        </w:rPr>
      </w:pPr>
      <w:r>
        <w:rPr>
          <w:rFonts w:hint="eastAsia"/>
        </w:rPr>
        <w:t>推动“公厕＋垃圾投放＋环卫工具房＋废品回收点”集约节约、结合建设，集中具有“邻避”属性的环卫设施，不仅符合节约集约用地的有关要求，缓解用地供求矛盾，而且将减少“邻避”影响范围，方便集中力量推动建设。同时也为广州生活垃圾分类全链条提升、全方位覆盖、全社会参与提供保障。</w:t>
      </w:r>
    </w:p>
    <w:p>
      <w:pPr>
        <w:pStyle w:val="11"/>
        <w:pageBreakBefore w:val="0"/>
        <w:kinsoku/>
        <w:wordWrap/>
        <w:overflowPunct/>
        <w:topLinePunct w:val="0"/>
        <w:bidi w:val="0"/>
        <w:snapToGrid w:val="0"/>
        <w:spacing w:line="560" w:lineRule="exact"/>
        <w:ind w:firstLine="640"/>
        <w:textAlignment w:val="auto"/>
        <w:rPr>
          <w:b/>
          <w:bCs/>
        </w:rPr>
      </w:pPr>
      <w:bookmarkStart w:id="106" w:name="_Toc132989625"/>
      <w:r>
        <w:rPr>
          <w:b/>
          <w:bCs/>
        </w:rPr>
        <w:t>6.2.2</w:t>
      </w:r>
      <w:r>
        <w:rPr>
          <w:rFonts w:hint="eastAsia"/>
          <w:b/>
          <w:bCs/>
        </w:rPr>
        <w:t>推进两网融合站点建设</w:t>
      </w:r>
      <w:bookmarkEnd w:id="106"/>
    </w:p>
    <w:p>
      <w:pPr>
        <w:pageBreakBefore w:val="0"/>
        <w:kinsoku/>
        <w:wordWrap/>
        <w:overflowPunct/>
        <w:topLinePunct w:val="0"/>
        <w:bidi w:val="0"/>
        <w:snapToGrid w:val="0"/>
        <w:spacing w:line="560" w:lineRule="exact"/>
        <w:ind w:firstLine="640"/>
        <w:textAlignment w:val="auto"/>
      </w:pPr>
      <w:r>
        <w:rPr>
          <w:rFonts w:hint="eastAsia"/>
        </w:rPr>
        <w:t>由供销系统统筹建设两网融合示范回收点，运用“物联网+智能资源回收系统”，通过激励的方式引导居民参与垃圾分类，提升居民参与垃圾分类的积极性，养成居民由随手“扔”变成随手“分”的良好习惯，实现垃圾分类最关键的前端——分类投放。</w:t>
      </w:r>
    </w:p>
    <w:p>
      <w:pPr>
        <w:pStyle w:val="11"/>
        <w:pageBreakBefore w:val="0"/>
        <w:kinsoku/>
        <w:wordWrap/>
        <w:overflowPunct/>
        <w:topLinePunct w:val="0"/>
        <w:bidi w:val="0"/>
        <w:snapToGrid w:val="0"/>
        <w:spacing w:line="560" w:lineRule="exact"/>
        <w:ind w:firstLine="640"/>
        <w:textAlignment w:val="auto"/>
        <w:rPr>
          <w:b/>
          <w:bCs/>
        </w:rPr>
      </w:pPr>
      <w:bookmarkStart w:id="107" w:name="_Toc132989626"/>
      <w:r>
        <w:rPr>
          <w:b/>
          <w:bCs/>
        </w:rPr>
        <w:t>6.2.3</w:t>
      </w:r>
      <w:r>
        <w:rPr>
          <w:rFonts w:hint="eastAsia"/>
          <w:b/>
          <w:bCs/>
        </w:rPr>
        <w:t>搭建可回收物社会回收信息化平台</w:t>
      </w:r>
      <w:bookmarkEnd w:id="107"/>
    </w:p>
    <w:p>
      <w:pPr>
        <w:pageBreakBefore w:val="0"/>
        <w:kinsoku/>
        <w:wordWrap/>
        <w:overflowPunct/>
        <w:topLinePunct w:val="0"/>
        <w:bidi w:val="0"/>
        <w:snapToGrid w:val="0"/>
        <w:spacing w:line="560" w:lineRule="exact"/>
        <w:ind w:firstLine="640"/>
        <w:textAlignment w:val="auto"/>
      </w:pPr>
      <w:r>
        <w:rPr>
          <w:rFonts w:hint="eastAsia"/>
        </w:rPr>
        <w:t>实现可回收物在线发布、在线预约、在线回收、在线交流、在线服务等功能。将优质、现代化的可回收物利用企业纳入可回收物回收体系中，促进可回收物产业链上下游企业互动，为消费者提供便捷的服务。</w:t>
      </w:r>
    </w:p>
    <w:p>
      <w:pPr>
        <w:pStyle w:val="11"/>
        <w:pageBreakBefore w:val="0"/>
        <w:kinsoku/>
        <w:wordWrap/>
        <w:overflowPunct/>
        <w:topLinePunct w:val="0"/>
        <w:bidi w:val="0"/>
        <w:snapToGrid w:val="0"/>
        <w:spacing w:line="560" w:lineRule="exact"/>
        <w:ind w:firstLine="640"/>
        <w:textAlignment w:val="auto"/>
        <w:rPr>
          <w:b/>
          <w:bCs/>
        </w:rPr>
      </w:pPr>
      <w:bookmarkStart w:id="108" w:name="_Toc132989627"/>
      <w:r>
        <w:rPr>
          <w:b/>
          <w:bCs/>
        </w:rPr>
        <w:t>6.2.4</w:t>
      </w:r>
      <w:r>
        <w:rPr>
          <w:rFonts w:hint="eastAsia"/>
          <w:b/>
          <w:bCs/>
        </w:rPr>
        <w:t>垃圾收运体系市场化</w:t>
      </w:r>
      <w:bookmarkEnd w:id="108"/>
    </w:p>
    <w:p>
      <w:pPr>
        <w:pageBreakBefore w:val="0"/>
        <w:widowControl/>
        <w:shd w:val="clear" w:color="auto" w:fill="FFFFFF"/>
        <w:kinsoku/>
        <w:wordWrap/>
        <w:overflowPunct/>
        <w:topLinePunct w:val="0"/>
        <w:bidi w:val="0"/>
        <w:snapToGrid w:val="0"/>
        <w:spacing w:line="560" w:lineRule="exact"/>
        <w:ind w:firstLine="640"/>
        <w:textAlignment w:val="auto"/>
        <w:rPr>
          <w:rFonts w:cs="宋体"/>
          <w:kern w:val="0"/>
          <w:shd w:val="clear" w:color="auto" w:fill="FFFFFF"/>
        </w:rPr>
      </w:pPr>
      <w:bookmarkStart w:id="109" w:name="_Toc132989628"/>
      <w:r>
        <w:rPr>
          <w:rFonts w:hint="eastAsia" w:cs="宋体"/>
          <w:kern w:val="0"/>
          <w:shd w:val="clear" w:color="auto" w:fill="FFFFFF"/>
        </w:rPr>
        <w:t>可采用政府购买服务、PPP等形式，吸引社会力量参与垃圾分类收运工作中。通过政府引导、市场导向，优化资源配置，发挥生活垃圾收运处理主体及社会力量的作用，加速及催生生活垃圾收运处理产业。</w:t>
      </w:r>
    </w:p>
    <w:p>
      <w:pPr>
        <w:pStyle w:val="11"/>
        <w:pageBreakBefore w:val="0"/>
        <w:kinsoku/>
        <w:wordWrap/>
        <w:overflowPunct/>
        <w:topLinePunct w:val="0"/>
        <w:bidi w:val="0"/>
        <w:snapToGrid w:val="0"/>
        <w:spacing w:line="560" w:lineRule="exact"/>
        <w:ind w:firstLine="640"/>
        <w:textAlignment w:val="auto"/>
        <w:rPr>
          <w:b/>
          <w:bCs/>
        </w:rPr>
      </w:pPr>
      <w:r>
        <w:rPr>
          <w:b/>
          <w:bCs/>
        </w:rPr>
        <w:t>6.2.5</w:t>
      </w:r>
      <w:r>
        <w:rPr>
          <w:rFonts w:hint="eastAsia"/>
          <w:b/>
          <w:bCs/>
        </w:rPr>
        <w:t>智慧环卫平台建设</w:t>
      </w:r>
      <w:bookmarkEnd w:id="109"/>
    </w:p>
    <w:p>
      <w:pPr>
        <w:pageBreakBefore w:val="0"/>
        <w:kinsoku/>
        <w:wordWrap/>
        <w:overflowPunct/>
        <w:topLinePunct w:val="0"/>
        <w:bidi w:val="0"/>
        <w:snapToGrid w:val="0"/>
        <w:spacing w:line="560" w:lineRule="exact"/>
        <w:ind w:firstLine="640"/>
        <w:textAlignment w:val="auto"/>
        <w:rPr>
          <w:rFonts w:hint="eastAsia"/>
        </w:rPr>
      </w:pPr>
      <w:r>
        <w:rPr>
          <w:rFonts w:hint="eastAsia"/>
        </w:rPr>
        <w:t>依托物联网技术与移动互联网技术，实现环卫道路保洁、垃圾收运、垃圾处置、垃圾分类、公厕管理等多业务的智能监管、高效率质量督查、精细化层级考核、可视化数据分析研判，形成对环卫工作全流程的精细化、智能化、可视化及自动化管理。</w:t>
      </w:r>
    </w:p>
    <w:p>
      <w:pPr>
        <w:pStyle w:val="11"/>
        <w:pageBreakBefore w:val="0"/>
        <w:kinsoku/>
        <w:wordWrap/>
        <w:overflowPunct/>
        <w:topLinePunct w:val="0"/>
        <w:bidi w:val="0"/>
        <w:snapToGrid w:val="0"/>
        <w:spacing w:line="560" w:lineRule="exact"/>
        <w:ind w:firstLine="640"/>
        <w:textAlignment w:val="auto"/>
        <w:rPr>
          <w:b/>
          <w:bCs/>
        </w:rPr>
      </w:pPr>
      <w:bookmarkStart w:id="110" w:name="_Toc132989629"/>
      <w:r>
        <w:rPr>
          <w:b/>
          <w:bCs/>
        </w:rPr>
        <w:t>6</w:t>
      </w:r>
      <w:r>
        <w:rPr>
          <w:rFonts w:hint="eastAsia"/>
          <w:b/>
          <w:bCs/>
        </w:rPr>
        <w:t>.2.6打造与环境融合的垃圾分类收运系统</w:t>
      </w:r>
      <w:bookmarkEnd w:id="110"/>
    </w:p>
    <w:p>
      <w:pPr>
        <w:pageBreakBefore w:val="0"/>
        <w:kinsoku/>
        <w:wordWrap/>
        <w:overflowPunct/>
        <w:topLinePunct w:val="0"/>
        <w:bidi w:val="0"/>
        <w:snapToGrid w:val="0"/>
        <w:spacing w:line="560" w:lineRule="exact"/>
        <w:ind w:firstLine="640"/>
        <w:textAlignment w:val="auto"/>
      </w:pPr>
      <w:r>
        <w:rPr>
          <w:rFonts w:hint="eastAsia"/>
        </w:rPr>
        <w:t>探索在南沙打造垃圾分类收运系统融入环境试点。通过美化站点、站点与环境融合的方式，在全国范围内形成一批“垃圾不臭</w:t>
      </w:r>
      <w:r>
        <w:rPr>
          <w:rFonts w:hint="eastAsia" w:ascii="仿宋_GB2312" w:hAnsi="仿宋_GB2312"/>
        </w:rPr>
        <w:t>”“</w:t>
      </w:r>
      <w:r>
        <w:rPr>
          <w:rFonts w:hint="eastAsia"/>
        </w:rPr>
        <w:t>一站一景”的示范站点，全面助力南沙区打造国际化都市。</w:t>
      </w:r>
    </w:p>
    <w:p>
      <w:pPr>
        <w:pStyle w:val="10"/>
        <w:pageBreakBefore w:val="0"/>
        <w:kinsoku/>
        <w:wordWrap/>
        <w:overflowPunct/>
        <w:topLinePunct w:val="0"/>
        <w:bidi w:val="0"/>
        <w:snapToGrid w:val="0"/>
        <w:spacing w:line="560" w:lineRule="exact"/>
        <w:ind w:firstLine="640" w:firstLineChars="200"/>
        <w:textAlignment w:val="auto"/>
        <w:rPr>
          <w:rFonts w:eastAsia="楷体_GB2312"/>
          <w:b w:val="0"/>
          <w:bCs/>
        </w:rPr>
      </w:pPr>
      <w:bookmarkStart w:id="111" w:name="_Toc132989630"/>
      <w:bookmarkStart w:id="112" w:name="_Toc132986128"/>
      <w:bookmarkStart w:id="113" w:name="_Toc132985657"/>
      <w:r>
        <w:rPr>
          <w:rFonts w:eastAsia="楷体_GB2312"/>
          <w:b w:val="0"/>
          <w:bCs/>
        </w:rPr>
        <w:t>6.3</w:t>
      </w:r>
      <w:r>
        <w:rPr>
          <w:rFonts w:hint="eastAsia" w:eastAsia="楷体_GB2312"/>
          <w:b w:val="0"/>
          <w:bCs/>
        </w:rPr>
        <w:t>规划管理措施</w:t>
      </w:r>
      <w:bookmarkEnd w:id="111"/>
      <w:bookmarkEnd w:id="112"/>
      <w:bookmarkEnd w:id="113"/>
    </w:p>
    <w:p>
      <w:pPr>
        <w:pageBreakBefore w:val="0"/>
        <w:kinsoku/>
        <w:wordWrap/>
        <w:overflowPunct/>
        <w:topLinePunct w:val="0"/>
        <w:autoSpaceDE w:val="0"/>
        <w:autoSpaceDN w:val="0"/>
        <w:bidi w:val="0"/>
        <w:adjustRightInd w:val="0"/>
        <w:snapToGrid w:val="0"/>
        <w:spacing w:line="560" w:lineRule="exact"/>
        <w:ind w:firstLine="640"/>
        <w:textAlignment w:val="auto"/>
        <w:rPr>
          <w:rFonts w:hint="eastAsia"/>
        </w:rPr>
      </w:pPr>
      <w:r>
        <w:rPr>
          <w:rFonts w:hint="eastAsia"/>
        </w:rPr>
        <w:t>以街道为单位建立宣传教育基地，以垃圾分类全民共建为主要思路，强化分类宣传教育，建立垃圾分类教育培训基地。</w:t>
      </w:r>
    </w:p>
    <w:p>
      <w:pPr>
        <w:pageBreakBefore w:val="0"/>
        <w:kinsoku/>
        <w:wordWrap/>
        <w:overflowPunct/>
        <w:topLinePunct w:val="0"/>
        <w:autoSpaceDE w:val="0"/>
        <w:autoSpaceDN w:val="0"/>
        <w:bidi w:val="0"/>
        <w:adjustRightInd w:val="0"/>
        <w:snapToGrid w:val="0"/>
        <w:spacing w:line="560" w:lineRule="exact"/>
        <w:ind w:firstLine="640"/>
        <w:textAlignment w:val="auto"/>
        <w:rPr>
          <w:rFonts w:hint="eastAsia"/>
        </w:rPr>
      </w:pPr>
      <w:r>
        <w:rPr>
          <w:rFonts w:hint="eastAsia"/>
        </w:rPr>
        <w:t>推行垃圾分类处理需要建立健全垃圾分类处理激励机制。按照公平、公正、公开、择优的原则，推行垃圾分类激励机制，对分类成效显著的企业及居民进行激励。</w:t>
      </w:r>
    </w:p>
    <w:p>
      <w:pPr>
        <w:pageBreakBefore w:val="0"/>
        <w:kinsoku/>
        <w:wordWrap/>
        <w:overflowPunct/>
        <w:topLinePunct w:val="0"/>
        <w:autoSpaceDE w:val="0"/>
        <w:autoSpaceDN w:val="0"/>
        <w:bidi w:val="0"/>
        <w:adjustRightInd w:val="0"/>
        <w:snapToGrid w:val="0"/>
        <w:spacing w:line="560" w:lineRule="exact"/>
        <w:ind w:firstLine="640"/>
        <w:textAlignment w:val="auto"/>
      </w:pPr>
      <w:r>
        <w:rPr>
          <w:rFonts w:hint="eastAsia"/>
        </w:rPr>
        <w:t>建立数字化监管模式。积极引入“互联网+”手段，实现垃圾监管信息化，建设环卫一体化综合平台。</w:t>
      </w:r>
    </w:p>
    <w:p>
      <w:pPr>
        <w:pStyle w:val="7"/>
        <w:pageBreakBefore w:val="0"/>
        <w:kinsoku/>
        <w:wordWrap/>
        <w:overflowPunct/>
        <w:topLinePunct w:val="0"/>
        <w:bidi w:val="0"/>
        <w:snapToGrid w:val="0"/>
        <w:spacing w:line="560" w:lineRule="exact"/>
        <w:textAlignment w:val="auto"/>
        <w:rPr>
          <w:rFonts w:hint="eastAsia"/>
        </w:rPr>
      </w:pPr>
      <w:bookmarkStart w:id="114" w:name="_Toc132985664"/>
      <w:bookmarkStart w:id="115" w:name="_Toc132989640"/>
      <w:bookmarkStart w:id="116" w:name="_Toc132986135"/>
      <w:r>
        <w:br w:type="page"/>
      </w:r>
      <w:bookmarkStart w:id="117" w:name="_Toc32578"/>
      <w:r>
        <w:rPr>
          <w:rFonts w:hint="eastAsia"/>
        </w:rPr>
        <w:t>第二部分  实施方案</w:t>
      </w:r>
      <w:bookmarkEnd w:id="114"/>
      <w:bookmarkEnd w:id="115"/>
      <w:bookmarkEnd w:id="116"/>
      <w:bookmarkEnd w:id="117"/>
    </w:p>
    <w:p>
      <w:pPr>
        <w:rPr>
          <w:rFonts w:hint="eastAsia"/>
        </w:rPr>
      </w:pPr>
    </w:p>
    <w:p>
      <w:pPr>
        <w:pageBreakBefore w:val="0"/>
        <w:kinsoku/>
        <w:wordWrap/>
        <w:overflowPunct/>
        <w:topLinePunct w:val="0"/>
        <w:bidi w:val="0"/>
        <w:snapToGrid w:val="0"/>
        <w:spacing w:line="560" w:lineRule="exact"/>
        <w:ind w:firstLine="640"/>
        <w:textAlignment w:val="auto"/>
      </w:pPr>
      <w:r>
        <w:rPr>
          <w:rFonts w:hint="eastAsia"/>
        </w:rPr>
        <w:t>为全面贯彻落实市委、市政府关于开展生活垃圾分类的工作部署，进一步完善生活垃圾分类收运体系建设，规范生活垃圾分类收运秩序，破解分类收运“混收混运”的难题，根据《广东省城乡生活垃圾处理条例</w:t>
      </w:r>
      <w:r>
        <w:rPr>
          <w:rFonts w:hint="eastAsia" w:ascii="仿宋_GB2312" w:hAnsi="仿宋_GB2312"/>
        </w:rPr>
        <w:t>》《</w:t>
      </w:r>
      <w:r>
        <w:rPr>
          <w:rFonts w:hint="eastAsia"/>
        </w:rPr>
        <w:t>广州市生活垃圾分类管理条例</w:t>
      </w:r>
      <w:r>
        <w:rPr>
          <w:rFonts w:hint="eastAsia" w:ascii="仿宋_GB2312" w:hAnsi="仿宋_GB2312"/>
        </w:rPr>
        <w:t>》《</w:t>
      </w:r>
      <w:r>
        <w:rPr>
          <w:rFonts w:hint="eastAsia"/>
        </w:rPr>
        <w:t>广州市生活垃圾分类收运实施工作方案》和《南沙区深化生活垃圾分类处理三年行动计划（2019</w:t>
      </w:r>
      <w:r>
        <w:rPr>
          <w:rFonts w:hint="eastAsia" w:ascii="仿宋_GB2312" w:hAnsi="仿宋_GB2312"/>
        </w:rPr>
        <w:t>-</w:t>
      </w:r>
      <w:r>
        <w:rPr>
          <w:rFonts w:hint="eastAsia"/>
        </w:rPr>
        <w:t>2021年）》，结合南沙区工作实际，制定本实施方案。</w:t>
      </w:r>
    </w:p>
    <w:p>
      <w:pPr>
        <w:pStyle w:val="8"/>
        <w:pageBreakBefore w:val="0"/>
        <w:kinsoku/>
        <w:wordWrap/>
        <w:overflowPunct/>
        <w:topLinePunct w:val="0"/>
        <w:bidi w:val="0"/>
        <w:snapToGrid w:val="0"/>
        <w:spacing w:line="560" w:lineRule="exact"/>
        <w:textAlignment w:val="auto"/>
      </w:pPr>
      <w:bookmarkStart w:id="118" w:name="_Toc28104"/>
      <w:bookmarkStart w:id="119" w:name="_Toc132986136"/>
      <w:bookmarkStart w:id="120" w:name="_Toc132985665"/>
      <w:bookmarkStart w:id="121" w:name="_Toc132989641"/>
      <w:r>
        <w:rPr>
          <w:rFonts w:hint="eastAsia"/>
        </w:rPr>
        <w:t>第一章 工作目标</w:t>
      </w:r>
      <w:bookmarkEnd w:id="118"/>
      <w:bookmarkEnd w:id="119"/>
      <w:bookmarkEnd w:id="120"/>
      <w:bookmarkEnd w:id="121"/>
    </w:p>
    <w:p>
      <w:pPr>
        <w:pageBreakBefore w:val="0"/>
        <w:kinsoku/>
        <w:wordWrap/>
        <w:overflowPunct/>
        <w:topLinePunct w:val="0"/>
        <w:bidi w:val="0"/>
        <w:snapToGrid w:val="0"/>
        <w:spacing w:line="560" w:lineRule="exact"/>
        <w:ind w:firstLine="640"/>
        <w:textAlignment w:val="auto"/>
        <w:rPr>
          <w:highlight w:val="none"/>
        </w:rPr>
      </w:pPr>
      <w:r>
        <w:rPr>
          <w:rFonts w:hint="eastAsia"/>
        </w:rPr>
        <w:t>2</w:t>
      </w:r>
      <w:r>
        <w:t>025</w:t>
      </w:r>
      <w:r>
        <w:rPr>
          <w:rFonts w:hint="eastAsia"/>
        </w:rPr>
        <w:t>年完善垃圾治理全流程体系，提高垃圾分类准确程度，增加垃圾分类处理能力，实现原生垃圾零填埋，实现垃圾资源化利用</w:t>
      </w:r>
      <w:r>
        <w:rPr>
          <w:rFonts w:hint="eastAsia"/>
          <w:highlight w:val="none"/>
        </w:rPr>
        <w:t>，进一步助力南沙</w:t>
      </w:r>
      <w:r>
        <w:rPr>
          <w:rFonts w:hint="eastAsia"/>
          <w:highlight w:val="none"/>
          <w:lang w:val="en-US" w:eastAsia="zh-CN"/>
        </w:rPr>
        <w:t>区发展</w:t>
      </w:r>
      <w:r>
        <w:rPr>
          <w:rFonts w:hint="eastAsia"/>
          <w:highlight w:val="none"/>
        </w:rPr>
        <w:t>，</w:t>
      </w:r>
      <w:r>
        <w:rPr>
          <w:highlight w:val="none"/>
        </w:rPr>
        <w:t>打造</w:t>
      </w:r>
      <w:r>
        <w:rPr>
          <w:rFonts w:hint="eastAsia"/>
          <w:highlight w:val="none"/>
        </w:rPr>
        <w:t>服务</w:t>
      </w:r>
      <w:r>
        <w:rPr>
          <w:highlight w:val="none"/>
        </w:rPr>
        <w:t>粤港澳</w:t>
      </w:r>
      <w:r>
        <w:rPr>
          <w:rFonts w:hint="eastAsia"/>
          <w:highlight w:val="none"/>
        </w:rPr>
        <w:t>的</w:t>
      </w:r>
      <w:r>
        <w:rPr>
          <w:highlight w:val="none"/>
        </w:rPr>
        <w:t>优质宜居生活空间</w:t>
      </w:r>
      <w:r>
        <w:rPr>
          <w:rFonts w:hint="eastAsia"/>
          <w:highlight w:val="none"/>
        </w:rPr>
        <w:t>。生活垃圾无害化处理率达到</w:t>
      </w:r>
      <w:r>
        <w:rPr>
          <w:highlight w:val="none"/>
        </w:rPr>
        <w:t>100</w:t>
      </w:r>
      <w:r>
        <w:rPr>
          <w:rFonts w:hint="eastAsia"/>
          <w:highlight w:val="none"/>
        </w:rPr>
        <w:t>%，生活垃圾回收利用率4</w:t>
      </w:r>
      <w:r>
        <w:rPr>
          <w:highlight w:val="none"/>
        </w:rPr>
        <w:t>0</w:t>
      </w:r>
      <w:r>
        <w:rPr>
          <w:rFonts w:hint="eastAsia"/>
          <w:highlight w:val="none"/>
        </w:rPr>
        <w:t>%以上。</w:t>
      </w:r>
    </w:p>
    <w:p>
      <w:pPr>
        <w:pageBreakBefore w:val="0"/>
        <w:kinsoku/>
        <w:wordWrap/>
        <w:overflowPunct/>
        <w:topLinePunct w:val="0"/>
        <w:bidi w:val="0"/>
        <w:snapToGrid w:val="0"/>
        <w:spacing w:line="560" w:lineRule="exact"/>
        <w:ind w:firstLine="640"/>
        <w:textAlignment w:val="auto"/>
        <w:rPr>
          <w:rFonts w:hint="eastAsia"/>
          <w:highlight w:val="none"/>
        </w:rPr>
      </w:pPr>
      <w:r>
        <w:rPr>
          <w:rFonts w:hint="eastAsia"/>
          <w:highlight w:val="none"/>
        </w:rPr>
        <w:t>至</w:t>
      </w:r>
      <w:r>
        <w:rPr>
          <w:highlight w:val="none"/>
        </w:rPr>
        <w:t>2035</w:t>
      </w:r>
      <w:r>
        <w:rPr>
          <w:rFonts w:hint="eastAsia"/>
          <w:highlight w:val="none"/>
        </w:rPr>
        <w:t>年，全面建成与“粤港澳大湾区高能级中心、塑造世界级滨海城市景观、打造服务粤港澳的优质宜居生活空间”相适应的生活垃圾收运系统发展目标，垃圾治理达到国内领先水平和国际先进水平，原生垃圾零填埋，生活垃圾无害化处理率达到</w:t>
      </w:r>
      <w:r>
        <w:rPr>
          <w:highlight w:val="none"/>
        </w:rPr>
        <w:t>100</w:t>
      </w:r>
      <w:r>
        <w:rPr>
          <w:rFonts w:hint="eastAsia"/>
          <w:highlight w:val="none"/>
        </w:rPr>
        <w:t>%，生活垃圾回收利用率达到</w:t>
      </w:r>
      <w:r>
        <w:rPr>
          <w:highlight w:val="none"/>
        </w:rPr>
        <w:t>45</w:t>
      </w:r>
      <w:r>
        <w:rPr>
          <w:rFonts w:hint="eastAsia"/>
          <w:highlight w:val="none"/>
        </w:rPr>
        <w:t>%以上。建成完善的生活垃圾分类治理全流程体系。</w:t>
      </w:r>
      <w:bookmarkStart w:id="122" w:name="_Toc132986137"/>
      <w:bookmarkStart w:id="123" w:name="_Toc132985666"/>
      <w:bookmarkStart w:id="124" w:name="_Toc132989642"/>
    </w:p>
    <w:p>
      <w:pPr>
        <w:pStyle w:val="8"/>
        <w:pageBreakBefore w:val="0"/>
        <w:kinsoku/>
        <w:wordWrap/>
        <w:overflowPunct/>
        <w:topLinePunct w:val="0"/>
        <w:bidi w:val="0"/>
        <w:snapToGrid w:val="0"/>
        <w:spacing w:line="560" w:lineRule="exact"/>
        <w:textAlignment w:val="auto"/>
        <w:rPr>
          <w:rFonts w:hint="eastAsia"/>
          <w:highlight w:val="none"/>
        </w:rPr>
      </w:pPr>
      <w:r>
        <w:rPr>
          <w:rFonts w:hint="eastAsia" w:cs="黑体"/>
        </w:rPr>
        <w:br w:type="page"/>
      </w:r>
      <w:bookmarkStart w:id="125" w:name="_Toc11066"/>
      <w:r>
        <w:rPr>
          <w:rFonts w:hint="eastAsia"/>
          <w:highlight w:val="none"/>
        </w:rPr>
        <w:t>第二章 生活垃圾分类收运责任分工</w:t>
      </w:r>
      <w:bookmarkEnd w:id="122"/>
      <w:bookmarkEnd w:id="123"/>
      <w:bookmarkEnd w:id="124"/>
      <w:bookmarkEnd w:id="125"/>
    </w:p>
    <w:p>
      <w:pPr>
        <w:pStyle w:val="9"/>
        <w:pageBreakBefore w:val="0"/>
        <w:kinsoku/>
        <w:wordWrap/>
        <w:overflowPunct/>
        <w:topLinePunct w:val="0"/>
        <w:bidi w:val="0"/>
        <w:snapToGrid w:val="0"/>
        <w:spacing w:line="560" w:lineRule="exact"/>
        <w:ind w:firstLine="640" w:firstLineChars="200"/>
        <w:textAlignment w:val="auto"/>
        <w:rPr>
          <w:highlight w:val="none"/>
        </w:rPr>
      </w:pPr>
      <w:r>
        <w:rPr>
          <w:rFonts w:hint="eastAsia"/>
          <w:highlight w:val="none"/>
        </w:rPr>
        <w:t>2.1生活垃圾分类管理责任人责任</w:t>
      </w:r>
    </w:p>
    <w:p>
      <w:pPr>
        <w:pageBreakBefore w:val="0"/>
        <w:kinsoku/>
        <w:wordWrap/>
        <w:overflowPunct/>
        <w:topLinePunct w:val="0"/>
        <w:bidi w:val="0"/>
        <w:snapToGrid w:val="0"/>
        <w:spacing w:line="560" w:lineRule="exact"/>
        <w:ind w:firstLine="640"/>
        <w:textAlignment w:val="auto"/>
        <w:rPr>
          <w:highlight w:val="none"/>
        </w:rPr>
      </w:pPr>
      <w:r>
        <w:rPr>
          <w:rFonts w:hint="eastAsia"/>
          <w:highlight w:val="none"/>
        </w:rPr>
        <w:t>全区各行政主管部门负责本行业生活垃圾分类工作。充分发挥区、镇（街）、村（居）的主导作用和基础作用，指导督促所辖区域生活垃圾分类管理责任人履行生活垃圾分类责任。</w:t>
      </w:r>
    </w:p>
    <w:p>
      <w:pPr>
        <w:pageBreakBefore w:val="0"/>
        <w:kinsoku/>
        <w:wordWrap/>
        <w:overflowPunct/>
        <w:topLinePunct w:val="0"/>
        <w:bidi w:val="0"/>
        <w:snapToGrid w:val="0"/>
        <w:spacing w:line="560" w:lineRule="exact"/>
        <w:ind w:firstLine="640"/>
        <w:textAlignment w:val="auto"/>
        <w:rPr>
          <w:highlight w:val="none"/>
        </w:rPr>
      </w:pPr>
      <w:r>
        <w:rPr>
          <w:rFonts w:hint="eastAsia"/>
          <w:highlight w:val="none"/>
        </w:rPr>
        <w:t>生活垃圾分类管理责任人（根据《广东省城乡生活垃圾处理条例》第九条明确），负责组织责任区内生活垃圾分类收集工作，对责任区内生活垃圾收运人员和收运单位分类收集行为进行监管。</w:t>
      </w:r>
    </w:p>
    <w:p>
      <w:pPr>
        <w:pStyle w:val="9"/>
        <w:pageBreakBefore w:val="0"/>
        <w:kinsoku/>
        <w:wordWrap/>
        <w:overflowPunct/>
        <w:topLinePunct w:val="0"/>
        <w:bidi w:val="0"/>
        <w:snapToGrid w:val="0"/>
        <w:spacing w:line="560" w:lineRule="exact"/>
        <w:ind w:firstLine="640" w:firstLineChars="200"/>
        <w:textAlignment w:val="auto"/>
        <w:rPr>
          <w:rFonts w:hint="default" w:eastAsia="楷体_GB2312"/>
          <w:highlight w:val="none"/>
          <w:lang w:val="en-US" w:eastAsia="zh-CN"/>
        </w:rPr>
      </w:pPr>
      <w:r>
        <w:rPr>
          <w:rFonts w:hint="eastAsia"/>
          <w:highlight w:val="none"/>
        </w:rPr>
        <w:t>2.2城市管理</w:t>
      </w:r>
      <w:r>
        <w:rPr>
          <w:rFonts w:hint="eastAsia"/>
          <w:highlight w:val="none"/>
          <w:lang w:val="en-US" w:eastAsia="zh-CN"/>
        </w:rPr>
        <w:t>部门责任</w:t>
      </w:r>
    </w:p>
    <w:p>
      <w:pPr>
        <w:pageBreakBefore w:val="0"/>
        <w:kinsoku/>
        <w:wordWrap/>
        <w:overflowPunct/>
        <w:topLinePunct w:val="0"/>
        <w:bidi w:val="0"/>
        <w:snapToGrid w:val="0"/>
        <w:spacing w:line="560" w:lineRule="exact"/>
        <w:ind w:firstLine="640"/>
        <w:textAlignment w:val="auto"/>
        <w:rPr>
          <w:rFonts w:hint="eastAsia" w:eastAsia="仿宋_GB2312"/>
          <w:highlight w:val="none"/>
          <w:lang w:eastAsia="zh-CN"/>
        </w:rPr>
      </w:pPr>
      <w:r>
        <w:rPr>
          <w:rFonts w:hint="eastAsia"/>
          <w:highlight w:val="none"/>
        </w:rPr>
        <w:t>区、镇（街）城市管理部门负责行政区内生活垃圾分类收集和运输工作，对生活垃圾收运人员和收运单位分类收运行为进行监管</w:t>
      </w:r>
      <w:bookmarkStart w:id="126" w:name="_Toc132989643"/>
      <w:bookmarkStart w:id="127" w:name="_Toc132986138"/>
      <w:bookmarkStart w:id="128" w:name="_Toc132985667"/>
      <w:r>
        <w:rPr>
          <w:rFonts w:hint="eastAsia"/>
          <w:highlight w:val="none"/>
          <w:lang w:eastAsia="zh-CN"/>
        </w:rPr>
        <w:t>。</w:t>
      </w:r>
    </w:p>
    <w:p>
      <w:pPr>
        <w:pStyle w:val="2"/>
        <w:rPr>
          <w:rFonts w:hint="eastAsia" w:ascii="Times New Roman" w:hAnsi="Times New Roman" w:eastAsia="楷体_GB2312" w:cs="Times New Roman"/>
          <w:bCs/>
          <w:kern w:val="2"/>
          <w:sz w:val="32"/>
          <w:szCs w:val="32"/>
          <w:highlight w:val="none"/>
          <w:lang w:val="en-US" w:eastAsia="zh-CN" w:bidi="ar-SA"/>
        </w:rPr>
      </w:pPr>
      <w:r>
        <w:rPr>
          <w:rFonts w:hint="eastAsia" w:ascii="Times New Roman" w:hAnsi="Times New Roman" w:eastAsia="楷体_GB2312" w:cs="Times New Roman"/>
          <w:bCs/>
          <w:kern w:val="2"/>
          <w:sz w:val="32"/>
          <w:szCs w:val="32"/>
          <w:highlight w:val="none"/>
          <w:lang w:val="en-US" w:eastAsia="zh-CN" w:bidi="ar-SA"/>
        </w:rPr>
        <w:t>2.3综合行政执法部门责任</w:t>
      </w:r>
    </w:p>
    <w:p>
      <w:pPr>
        <w:pStyle w:val="8"/>
        <w:keepNext/>
        <w:keepLines/>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Times New Roman" w:hAnsi="Times New Roman" w:eastAsia="仿宋_GB2312" w:cs="Times New Roman"/>
          <w:bCs w:val="0"/>
          <w:kern w:val="2"/>
          <w:sz w:val="32"/>
          <w:szCs w:val="24"/>
          <w:highlight w:val="none"/>
          <w:lang w:val="en-US" w:eastAsia="zh-CN" w:bidi="ar-SA"/>
        </w:rPr>
      </w:pPr>
      <w:r>
        <w:rPr>
          <w:rFonts w:hint="eastAsia" w:ascii="Times New Roman" w:hAnsi="Times New Roman" w:eastAsia="仿宋_GB2312" w:cs="Times New Roman"/>
          <w:bCs w:val="0"/>
          <w:kern w:val="2"/>
          <w:sz w:val="32"/>
          <w:szCs w:val="24"/>
          <w:highlight w:val="none"/>
          <w:lang w:val="en-US" w:eastAsia="zh-CN" w:bidi="ar-SA"/>
        </w:rPr>
        <w:t>区综合行政执法部门、镇（街）综合行政执法大队负责组织开展行政区内生活垃圾分类收集和运输工作专项执法行动，并对违法行为进行查处。</w:t>
      </w:r>
    </w:p>
    <w:p>
      <w:pPr>
        <w:pStyle w:val="8"/>
        <w:keepNext/>
        <w:keepLines/>
        <w:pageBreakBefore w:val="0"/>
        <w:widowControl w:val="0"/>
        <w:kinsoku/>
        <w:wordWrap/>
        <w:overflowPunct/>
        <w:topLinePunct w:val="0"/>
        <w:autoSpaceDE/>
        <w:autoSpaceDN/>
        <w:bidi w:val="0"/>
        <w:adjustRightInd/>
        <w:snapToGrid w:val="0"/>
        <w:spacing w:line="560" w:lineRule="exact"/>
        <w:jc w:val="center"/>
        <w:textAlignment w:val="auto"/>
      </w:pPr>
      <w:r>
        <w:rPr>
          <w:rFonts w:hint="eastAsia"/>
          <w:highlight w:val="none"/>
        </w:rPr>
        <w:br w:type="page"/>
      </w:r>
      <w:bookmarkStart w:id="129" w:name="_Toc8521"/>
      <w:r>
        <w:rPr>
          <w:rFonts w:hint="eastAsia"/>
        </w:rPr>
        <w:t>第三章 主要任务</w:t>
      </w:r>
      <w:bookmarkEnd w:id="126"/>
      <w:bookmarkEnd w:id="127"/>
      <w:bookmarkEnd w:id="128"/>
      <w:bookmarkEnd w:id="129"/>
    </w:p>
    <w:p>
      <w:pPr>
        <w:pStyle w:val="2"/>
        <w:ind w:firstLine="640"/>
        <w:rPr>
          <w:rFonts w:hint="eastAsia" w:ascii="Times New Roman" w:hAnsi="Times New Roman" w:eastAsia="楷体_GB2312" w:cs="Times New Roman"/>
          <w:bCs/>
          <w:kern w:val="2"/>
          <w:sz w:val="32"/>
          <w:szCs w:val="32"/>
          <w:lang w:val="en-US" w:eastAsia="zh-CN" w:bidi="ar-SA"/>
        </w:rPr>
      </w:pPr>
      <w:r>
        <w:rPr>
          <w:rFonts w:hint="eastAsia" w:ascii="Times New Roman" w:hAnsi="Times New Roman" w:eastAsia="楷体_GB2312" w:cs="Times New Roman"/>
          <w:bCs/>
          <w:kern w:val="2"/>
          <w:sz w:val="32"/>
          <w:szCs w:val="32"/>
          <w:lang w:val="en-US" w:eastAsia="zh-CN" w:bidi="ar-SA"/>
        </w:rPr>
        <w:t>3.1完善分类收运体系建设</w:t>
      </w:r>
    </w:p>
    <w:p>
      <w:pPr>
        <w:pStyle w:val="2"/>
        <w:ind w:firstLine="640"/>
        <w:rPr>
          <w:rFonts w:hint="eastAsia" w:ascii="Times New Roman" w:hAnsi="Times New Roman" w:eastAsia="仿宋_GB2312" w:cs="Times New Roman"/>
          <w:b/>
          <w:bCs/>
          <w:kern w:val="2"/>
          <w:sz w:val="32"/>
          <w:szCs w:val="24"/>
          <w:lang w:val="en-US" w:eastAsia="zh-CN" w:bidi="ar-SA"/>
        </w:rPr>
      </w:pPr>
      <w:r>
        <w:rPr>
          <w:rFonts w:hint="eastAsia" w:ascii="Times New Roman" w:hAnsi="Times New Roman" w:eastAsia="仿宋_GB2312" w:cs="Times New Roman"/>
          <w:b/>
          <w:bCs/>
          <w:kern w:val="2"/>
          <w:sz w:val="32"/>
          <w:szCs w:val="24"/>
          <w:lang w:val="en-US" w:eastAsia="zh-CN" w:bidi="ar-SA"/>
        </w:rPr>
        <w:t xml:space="preserve">3.1.1提升分类投放水平  </w:t>
      </w:r>
    </w:p>
    <w:p>
      <w:pPr>
        <w:pStyle w:val="2"/>
        <w:ind w:firstLine="640"/>
        <w:rPr>
          <w:rFonts w:hint="eastAsia"/>
        </w:rPr>
      </w:pPr>
      <w:r>
        <w:rPr>
          <w:rFonts w:hint="eastAsia"/>
        </w:rPr>
        <w:t>开展广泛的宣教培训。积极组织开展以垃圾分类为主题的宣传教育活动，持续深入推动垃圾分类进学校、进村（社区）、进家庭、进单位，不断强化居民群众垃圾分类意识，逐步形成垃圾分类习惯。</w:t>
      </w:r>
    </w:p>
    <w:p>
      <w:pPr>
        <w:pStyle w:val="2"/>
        <w:ind w:firstLine="640"/>
        <w:rPr>
          <w:rFonts w:hint="eastAsia" w:ascii="Times New Roman" w:hAnsi="Times New Roman" w:eastAsia="仿宋_GB2312" w:cs="Times New Roman"/>
          <w:b/>
          <w:bCs/>
          <w:kern w:val="2"/>
          <w:sz w:val="32"/>
          <w:szCs w:val="24"/>
          <w:lang w:val="en-US" w:eastAsia="zh-CN" w:bidi="ar-SA"/>
        </w:rPr>
      </w:pPr>
      <w:r>
        <w:rPr>
          <w:rFonts w:hint="eastAsia" w:ascii="Times New Roman" w:hAnsi="Times New Roman" w:eastAsia="仿宋_GB2312" w:cs="Times New Roman"/>
          <w:b/>
          <w:bCs/>
          <w:kern w:val="2"/>
          <w:sz w:val="32"/>
          <w:szCs w:val="24"/>
          <w:lang w:val="en-US" w:eastAsia="zh-CN" w:bidi="ar-SA"/>
        </w:rPr>
        <w:t>3.1.2规范生活垃圾分类投放点设置</w:t>
      </w:r>
    </w:p>
    <w:p>
      <w:pPr>
        <w:pStyle w:val="2"/>
        <w:ind w:firstLine="640"/>
        <w:rPr>
          <w:rFonts w:hint="eastAsia"/>
        </w:rPr>
      </w:pPr>
      <w:r>
        <w:rPr>
          <w:rFonts w:hint="eastAsia"/>
        </w:rPr>
        <w:t>推进全区生活垃圾分类收集容器和投放点设置工作，并强化日常管养，确保合理配置、便民美观、环境清洁，推动生活垃圾投放智能化和数据化，引入智能化分类设施，提高居民分类投放积极性。</w:t>
      </w:r>
    </w:p>
    <w:p>
      <w:pPr>
        <w:pStyle w:val="2"/>
        <w:ind w:firstLine="640"/>
        <w:rPr>
          <w:rFonts w:hint="eastAsia" w:ascii="Times New Roman" w:hAnsi="Times New Roman" w:eastAsia="楷体_GB2312" w:cs="Times New Roman"/>
          <w:bCs/>
          <w:kern w:val="2"/>
          <w:sz w:val="32"/>
          <w:szCs w:val="32"/>
          <w:lang w:val="en-US" w:eastAsia="zh-CN" w:bidi="ar-SA"/>
        </w:rPr>
      </w:pPr>
      <w:r>
        <w:rPr>
          <w:rFonts w:hint="eastAsia" w:ascii="Times New Roman" w:hAnsi="Times New Roman" w:eastAsia="楷体_GB2312" w:cs="Times New Roman"/>
          <w:bCs/>
          <w:kern w:val="2"/>
          <w:sz w:val="32"/>
          <w:szCs w:val="32"/>
          <w:lang w:val="en-US" w:eastAsia="zh-CN" w:bidi="ar-SA"/>
        </w:rPr>
        <w:t>3.2规范生活垃圾分类收运</w:t>
      </w:r>
    </w:p>
    <w:p>
      <w:pPr>
        <w:pStyle w:val="2"/>
        <w:ind w:firstLine="640"/>
        <w:rPr>
          <w:rFonts w:hint="eastAsia" w:ascii="Times New Roman" w:hAnsi="Times New Roman" w:eastAsia="仿宋_GB2312" w:cs="Times New Roman"/>
          <w:b/>
          <w:bCs/>
          <w:kern w:val="2"/>
          <w:sz w:val="32"/>
          <w:szCs w:val="24"/>
          <w:lang w:val="en-US" w:eastAsia="zh-CN" w:bidi="ar-SA"/>
        </w:rPr>
      </w:pPr>
      <w:r>
        <w:rPr>
          <w:rFonts w:hint="eastAsia" w:ascii="Times New Roman" w:hAnsi="Times New Roman" w:eastAsia="仿宋_GB2312" w:cs="Times New Roman"/>
          <w:b/>
          <w:bCs/>
          <w:kern w:val="2"/>
          <w:sz w:val="32"/>
          <w:szCs w:val="24"/>
          <w:lang w:val="en-US" w:eastAsia="zh-CN" w:bidi="ar-SA"/>
        </w:rPr>
        <w:t>3.2.1规范垃圾分类收集设施</w:t>
      </w:r>
    </w:p>
    <w:p>
      <w:pPr>
        <w:pStyle w:val="2"/>
        <w:ind w:firstLine="640"/>
        <w:rPr>
          <w:rFonts w:hint="eastAsia"/>
        </w:rPr>
      </w:pPr>
      <w:r>
        <w:rPr>
          <w:rFonts w:hint="eastAsia"/>
        </w:rPr>
        <w:t>统一规范全区垃圾分类收集设施（分类桶、分类箱）的配置标准，指导各镇街对垃圾收集点进行规范围蔽，逐步取缔道路两旁、物业小区（社区、村）、商业楼宇、公共场所的不规范垃圾分类收集设施。</w:t>
      </w:r>
    </w:p>
    <w:p>
      <w:pPr>
        <w:pStyle w:val="2"/>
        <w:ind w:firstLine="640"/>
        <w:rPr>
          <w:rFonts w:hint="eastAsia" w:ascii="Times New Roman" w:hAnsi="Times New Roman" w:eastAsia="仿宋_GB2312" w:cs="Times New Roman"/>
          <w:b/>
          <w:bCs/>
          <w:kern w:val="2"/>
          <w:sz w:val="32"/>
          <w:szCs w:val="24"/>
          <w:lang w:val="en-US" w:eastAsia="zh-CN" w:bidi="ar-SA"/>
        </w:rPr>
      </w:pPr>
      <w:r>
        <w:rPr>
          <w:rFonts w:hint="eastAsia" w:ascii="Times New Roman" w:hAnsi="Times New Roman" w:eastAsia="仿宋_GB2312" w:cs="Times New Roman"/>
          <w:b/>
          <w:bCs/>
          <w:kern w:val="2"/>
          <w:sz w:val="32"/>
          <w:szCs w:val="24"/>
          <w:lang w:val="en-US" w:eastAsia="zh-CN" w:bidi="ar-SA"/>
        </w:rPr>
        <w:t>3.2.2完善垃圾分类收运车辆配置</w:t>
      </w:r>
    </w:p>
    <w:p>
      <w:pPr>
        <w:pStyle w:val="2"/>
        <w:ind w:firstLine="640"/>
        <w:rPr>
          <w:rFonts w:hint="eastAsia"/>
        </w:rPr>
      </w:pPr>
      <w:r>
        <w:rPr>
          <w:rFonts w:hint="eastAsia"/>
        </w:rPr>
        <w:t>在现有环卫车辆的基础上，科学整合、增加经费、配齐满足垃圾分类收运需求、密封性良好、标志明显的专用收集和转运车辆，严格落实餐厨垃圾、其他垃圾收运“桶车一色”要求，全面提升生活垃圾分类收运能力和水平。</w:t>
      </w:r>
    </w:p>
    <w:p>
      <w:pPr>
        <w:pStyle w:val="2"/>
        <w:ind w:firstLine="640"/>
        <w:rPr>
          <w:rFonts w:hint="eastAsia" w:ascii="Times New Roman" w:hAnsi="Times New Roman" w:eastAsia="仿宋_GB2312" w:cs="Times New Roman"/>
          <w:b/>
          <w:bCs/>
          <w:kern w:val="2"/>
          <w:sz w:val="32"/>
          <w:szCs w:val="24"/>
          <w:lang w:val="en-US" w:eastAsia="zh-CN" w:bidi="ar-SA"/>
        </w:rPr>
      </w:pPr>
      <w:r>
        <w:rPr>
          <w:rFonts w:hint="eastAsia" w:ascii="Times New Roman" w:hAnsi="Times New Roman" w:eastAsia="仿宋_GB2312" w:cs="Times New Roman"/>
          <w:b/>
          <w:bCs/>
          <w:kern w:val="2"/>
          <w:sz w:val="32"/>
          <w:szCs w:val="24"/>
          <w:lang w:val="en-US" w:eastAsia="zh-CN" w:bidi="ar-SA"/>
        </w:rPr>
        <w:t>3.2.3生活垃圾转运站升级改造</w:t>
      </w:r>
    </w:p>
    <w:p>
      <w:pPr>
        <w:pStyle w:val="2"/>
        <w:ind w:firstLine="640"/>
        <w:rPr>
          <w:rFonts w:hint="eastAsia"/>
        </w:rPr>
      </w:pPr>
      <w:r>
        <w:rPr>
          <w:rFonts w:hint="eastAsia"/>
        </w:rPr>
        <w:t>对现状垃圾转运站进行提标改造，按照规划建设标准增加用地面积或局部调整地块位置，提升臭气污水处理水平和压缩转运能力。更新现有的符合改造条件的转运站，升级落后的转运站，建造高标准的垃圾（分类）收集、分选和转运设施，提高垃圾收运系统的机械化和自动化水平。</w:t>
      </w:r>
    </w:p>
    <w:p>
      <w:pPr>
        <w:pStyle w:val="2"/>
        <w:ind w:firstLine="640"/>
        <w:rPr>
          <w:rFonts w:hint="eastAsia" w:ascii="Times New Roman" w:hAnsi="Times New Roman" w:eastAsia="楷体_GB2312" w:cs="Times New Roman"/>
          <w:bCs/>
          <w:kern w:val="2"/>
          <w:sz w:val="32"/>
          <w:szCs w:val="32"/>
          <w:lang w:val="en-US" w:eastAsia="zh-CN" w:bidi="ar-SA"/>
        </w:rPr>
      </w:pPr>
      <w:r>
        <w:rPr>
          <w:rFonts w:hint="eastAsia" w:ascii="Times New Roman" w:hAnsi="Times New Roman" w:eastAsia="楷体_GB2312" w:cs="Times New Roman"/>
          <w:bCs/>
          <w:kern w:val="2"/>
          <w:sz w:val="32"/>
          <w:szCs w:val="32"/>
          <w:lang w:val="en-US" w:eastAsia="zh-CN" w:bidi="ar-SA"/>
        </w:rPr>
        <w:t>3.3完善分类处理渠道</w:t>
      </w:r>
    </w:p>
    <w:p>
      <w:pPr>
        <w:pStyle w:val="2"/>
        <w:ind w:firstLine="640"/>
        <w:rPr>
          <w:rFonts w:hint="eastAsia" w:ascii="Times New Roman" w:hAnsi="Times New Roman" w:eastAsia="仿宋_GB2312" w:cs="Times New Roman"/>
          <w:b/>
          <w:bCs/>
          <w:kern w:val="2"/>
          <w:sz w:val="32"/>
          <w:szCs w:val="24"/>
          <w:lang w:val="en-US" w:eastAsia="zh-CN" w:bidi="ar-SA"/>
        </w:rPr>
      </w:pPr>
      <w:r>
        <w:rPr>
          <w:rFonts w:hint="eastAsia" w:ascii="Times New Roman" w:hAnsi="Times New Roman" w:eastAsia="仿宋_GB2312" w:cs="Times New Roman"/>
          <w:b/>
          <w:bCs/>
          <w:kern w:val="2"/>
          <w:sz w:val="32"/>
          <w:szCs w:val="24"/>
          <w:lang w:val="en-US" w:eastAsia="zh-CN" w:bidi="ar-SA"/>
        </w:rPr>
        <w:t>3.3.1加快处理设施建设</w:t>
      </w:r>
    </w:p>
    <w:p>
      <w:pPr>
        <w:pStyle w:val="2"/>
        <w:ind w:firstLine="640"/>
        <w:rPr>
          <w:rFonts w:hint="eastAsia"/>
        </w:rPr>
      </w:pPr>
      <w:r>
        <w:rPr>
          <w:rFonts w:hint="eastAsia"/>
        </w:rPr>
        <w:t>鼓励大型机团单位、企业、大中型农贸市场就近就地配套建设果蔬垃圾脱水处理设施。全面启动并加快推进与生活垃圾分类相适应的新一轮生活垃圾处理设施建设。</w:t>
      </w:r>
    </w:p>
    <w:p>
      <w:pPr>
        <w:pStyle w:val="2"/>
        <w:ind w:firstLine="640"/>
        <w:rPr>
          <w:rFonts w:hint="eastAsia" w:ascii="Times New Roman" w:hAnsi="Times New Roman" w:eastAsia="仿宋_GB2312" w:cs="Times New Roman"/>
          <w:b/>
          <w:bCs/>
          <w:kern w:val="2"/>
          <w:sz w:val="32"/>
          <w:szCs w:val="24"/>
          <w:lang w:val="en-US" w:eastAsia="zh-CN" w:bidi="ar-SA"/>
        </w:rPr>
      </w:pPr>
      <w:r>
        <w:rPr>
          <w:rFonts w:hint="eastAsia" w:ascii="Times New Roman" w:hAnsi="Times New Roman" w:eastAsia="仿宋_GB2312" w:cs="Times New Roman"/>
          <w:b/>
          <w:bCs/>
          <w:kern w:val="2"/>
          <w:sz w:val="32"/>
          <w:szCs w:val="24"/>
          <w:lang w:val="en-US" w:eastAsia="zh-CN" w:bidi="ar-SA"/>
        </w:rPr>
        <w:t>3.3.2完善再生资源回收利用系统</w:t>
      </w:r>
    </w:p>
    <w:p>
      <w:pPr>
        <w:pStyle w:val="2"/>
        <w:ind w:firstLine="640"/>
        <w:rPr>
          <w:rFonts w:hint="eastAsia"/>
        </w:rPr>
      </w:pPr>
      <w:r>
        <w:rPr>
          <w:rFonts w:hint="eastAsia"/>
        </w:rPr>
        <w:t>落实《广州市购买低值可回收物回收处理服务管理办法》，加强低值可回收物回收处理购买服务动态管理，进一步推进废玻璃、废塑料、废木质、废布碎、废纸类等低值可回收物分流分类处理。扩展资源回收系统与环卫收运系统“两网融合”深度，加大资源回收网络建设，确保生活垃圾回收利用率逐年提升。</w:t>
      </w:r>
    </w:p>
    <w:p>
      <w:pPr>
        <w:pStyle w:val="2"/>
        <w:ind w:firstLine="640"/>
        <w:rPr>
          <w:rFonts w:hint="eastAsia" w:ascii="Times New Roman" w:hAnsi="Times New Roman" w:eastAsia="仿宋_GB2312" w:cs="Times New Roman"/>
          <w:b/>
          <w:bCs/>
          <w:kern w:val="2"/>
          <w:sz w:val="32"/>
          <w:szCs w:val="24"/>
          <w:lang w:val="en-US" w:eastAsia="zh-CN" w:bidi="ar-SA"/>
        </w:rPr>
      </w:pPr>
      <w:r>
        <w:rPr>
          <w:rFonts w:hint="eastAsia" w:ascii="Times New Roman" w:hAnsi="Times New Roman" w:eastAsia="仿宋_GB2312" w:cs="Times New Roman"/>
          <w:b/>
          <w:bCs/>
          <w:kern w:val="2"/>
          <w:sz w:val="32"/>
          <w:szCs w:val="24"/>
          <w:lang w:val="en-US" w:eastAsia="zh-CN" w:bidi="ar-SA"/>
        </w:rPr>
        <w:t>3.3.3统一有害垃圾处理途径</w:t>
      </w:r>
    </w:p>
    <w:p>
      <w:pPr>
        <w:pStyle w:val="2"/>
        <w:ind w:firstLine="640"/>
        <w:sectPr>
          <w:footerReference r:id="rId11" w:type="default"/>
          <w:pgSz w:w="11906" w:h="16838"/>
          <w:pgMar w:top="2098" w:right="1474" w:bottom="1984" w:left="1587" w:header="851" w:footer="1247" w:gutter="0"/>
          <w:pgNumType w:fmt="decimal"/>
          <w:cols w:space="720" w:num="1"/>
          <w:docGrid w:type="lines" w:linePitch="439" w:charSpace="0"/>
        </w:sectPr>
      </w:pPr>
      <w:r>
        <w:rPr>
          <w:rFonts w:hint="eastAsia"/>
        </w:rPr>
        <w:t>各镇街自行选址分别建设一个符合环保要求的有害垃圾临时贮存点，就地收运集中贮存生活垃圾中的有害垃圾，由具备处理条件的第三方企业定期统一收运处理。</w:t>
      </w: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default" w:ascii="黑体" w:hAnsi="黑体" w:eastAsia="黑体"/>
          <w:szCs w:val="32"/>
          <w:lang w:val="en-US" w:eastAsia="zh-CN"/>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hAnsi="黑体" w:eastAsia="黑体"/>
          <w:szCs w:val="32"/>
        </w:rPr>
      </w:pPr>
    </w:p>
    <w:p>
      <w:pPr>
        <w:pStyle w:val="66"/>
        <w:spacing w:line="340" w:lineRule="exact"/>
        <w:rPr>
          <w:rFonts w:hint="eastAsia" w:ascii="黑体" w:eastAsia="黑体"/>
          <w:b/>
          <w:sz w:val="28"/>
          <w:szCs w:val="28"/>
        </w:rPr>
      </w:pPr>
      <w:r>
        <w:rPr>
          <w:rFonts w:hint="eastAsia" w:ascii="黑体" w:hAnsi="黑体" w:eastAsia="黑体"/>
          <w:szCs w:val="32"/>
        </w:rPr>
        <w:t>公开方式：</w:t>
      </w:r>
      <w:r>
        <w:rPr>
          <w:rFonts w:hint="eastAsia" w:ascii="仿宋_GB2312" w:hAnsi="黑体"/>
          <w:szCs w:val="32"/>
        </w:rPr>
        <w:t>主动公开</w:t>
      </w:r>
    </w:p>
    <w:sectPr>
      <w:footerReference r:id="rId12" w:type="default"/>
      <w:pgSz w:w="11906" w:h="16838"/>
      <w:pgMar w:top="2098" w:right="1474" w:bottom="1984"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等线 Light">
    <w:altName w:val="汉仪中宋简"/>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华文细黑">
    <w:altName w:val="汉仪中等线简"/>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 w:name="汉仪中等线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560"/>
      <w:jc w:val="cente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0"/>
                            <w:ind w:left="0" w:leftChars="0" w:firstLine="0" w:firstLineChars="0"/>
                            <w:rPr>
                              <w:rFonts w:hint="eastAsia" w:ascii="宋体" w:hAnsi="宋体" w:eastAsia="宋体" w:cs="宋体"/>
                              <w:lang w:eastAsia="zh-CN"/>
                            </w:rPr>
                          </w:pPr>
                          <w:r>
                            <w:rPr>
                              <w:rFonts w:hint="eastAsia" w:ascii="宋体" w:hAnsi="宋体" w:eastAsia="宋体" w:cs="宋体"/>
                              <w:lang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2</w:t>
                          </w:r>
                          <w:r>
                            <w:rPr>
                              <w:rFonts w:hint="eastAsia" w:ascii="宋体" w:hAnsi="宋体" w:eastAsia="宋体" w:cs="宋体"/>
                              <w:lang w:eastAsia="zh-CN"/>
                            </w:rPr>
                            <w:fldChar w:fldCharType="end"/>
                          </w:r>
                          <w:r>
                            <w:rPr>
                              <w:rFonts w:hint="eastAsia" w:ascii="宋体" w:hAnsi="宋体" w:eastAsia="宋体" w:cs="宋体"/>
                              <w:lang w:eastAsia="zh-CN"/>
                            </w:rPr>
                            <w:t xml:space="preserve"> —</w:t>
                          </w:r>
                        </w:p>
                      </w:txbxContent>
                    </wps:txbx>
                    <wps:bodyPr wrap="none" lIns="0" tIns="0" rIns="0" bIns="0" upright="false">
                      <a:spAutoFit/>
                    </wps:bodyPr>
                  </wps:wsp>
                </a:graphicData>
              </a:graphic>
            </wp:anchor>
          </w:drawing>
        </mc:Choice>
        <mc:Fallback>
          <w:pict>
            <v:shape id="文本框 9"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2iR9nrQBAABSAwAADgAAAAAAAAABACAAAAA0AQAAZHJzL2Uyb0Rv&#10;Yy54bWxQSwUGAAAAAAYABgBZAQAAWgUAAAAA&#10;">
              <v:fill on="f" focussize="0,0"/>
              <v:stroke on="f"/>
              <v:imagedata o:title=""/>
              <o:lock v:ext="edit" aspectratio="f"/>
              <v:textbox inset="0mm,0mm,0mm,0mm" style="mso-fit-shape-to-text:t;">
                <w:txbxContent>
                  <w:p>
                    <w:pPr>
                      <w:pStyle w:val="20"/>
                      <w:ind w:left="0" w:leftChars="0" w:firstLine="0" w:firstLineChars="0"/>
                      <w:rPr>
                        <w:rFonts w:hint="eastAsia" w:ascii="宋体" w:hAnsi="宋体" w:eastAsia="宋体" w:cs="宋体"/>
                        <w:lang w:eastAsia="zh-CN"/>
                      </w:rPr>
                    </w:pPr>
                    <w:r>
                      <w:rPr>
                        <w:rFonts w:hint="eastAsia" w:ascii="宋体" w:hAnsi="宋体" w:eastAsia="宋体" w:cs="宋体"/>
                        <w:lang w:eastAsia="zh-CN"/>
                      </w:rPr>
                      <w:t xml:space="preserve">—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2</w:t>
                    </w:r>
                    <w:r>
                      <w:rPr>
                        <w:rFonts w:hint="eastAsia" w:ascii="宋体" w:hAnsi="宋体" w:eastAsia="宋体" w:cs="宋体"/>
                        <w:lang w:eastAsia="zh-CN"/>
                      </w:rPr>
                      <w:fldChar w:fldCharType="end"/>
                    </w:r>
                    <w:r>
                      <w:rPr>
                        <w:rFonts w:hint="eastAsia" w:ascii="宋体" w:hAnsi="宋体" w:eastAsia="宋体" w:cs="宋体"/>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5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5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560"/>
      <w:jc w:val="center"/>
    </w:pPr>
  </w:p>
  <w:p>
    <w:pPr>
      <w:pStyle w:val="20"/>
      <w:ind w:firstLine="5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6350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0"/>
                            <w:ind w:firstLine="0" w:firstLineChars="0"/>
                            <w:rPr>
                              <w:rFonts w:hint="eastAsia" w:ascii="宋体" w:hAnsi="宋体" w:eastAsia="宋体" w:cs="宋体"/>
                              <w:lang w:eastAsia="zh-CN"/>
                            </w:rPr>
                          </w:pPr>
                          <w:r>
                            <w:rPr>
                              <w:rFonts w:hint="eastAsia" w:ascii="宋体" w:hAnsi="宋体" w:cs="宋体"/>
                              <w:lang w:eastAsia="zh-CN"/>
                            </w:rPr>
                            <w:t xml:space="preserve">— </w:t>
                          </w:r>
                          <w:r>
                            <w:rPr>
                              <w:rFonts w:hint="eastAsia" w:ascii="宋体" w:hAnsi="宋体" w:cs="宋体"/>
                              <w:lang w:eastAsia="zh-CN"/>
                            </w:rPr>
                            <w:fldChar w:fldCharType="begin"/>
                          </w:r>
                          <w:r>
                            <w:rPr>
                              <w:rFonts w:hint="eastAsia" w:ascii="宋体" w:hAnsi="宋体" w:cs="宋体"/>
                              <w:lang w:eastAsia="zh-CN"/>
                            </w:rPr>
                            <w:instrText xml:space="preserve"> PAGE  \* MERGEFORMAT </w:instrText>
                          </w:r>
                          <w:r>
                            <w:rPr>
                              <w:rFonts w:hint="eastAsia" w:ascii="宋体" w:hAnsi="宋体" w:cs="宋体"/>
                              <w:lang w:eastAsia="zh-CN"/>
                            </w:rPr>
                            <w:fldChar w:fldCharType="separate"/>
                          </w:r>
                          <w:r>
                            <w:rPr>
                              <w:rFonts w:hint="eastAsia" w:ascii="宋体" w:hAnsi="宋体" w:cs="宋体"/>
                              <w:lang w:eastAsia="zh-CN"/>
                            </w:rPr>
                            <w:t>1</w:t>
                          </w:r>
                          <w:r>
                            <w:rPr>
                              <w:rFonts w:hint="eastAsia" w:ascii="宋体" w:hAnsi="宋体" w:cs="宋体"/>
                              <w:lang w:eastAsia="zh-CN"/>
                            </w:rPr>
                            <w:fldChar w:fldCharType="end"/>
                          </w:r>
                          <w:r>
                            <w:rPr>
                              <w:rFonts w:hint="eastAsia" w:ascii="宋体" w:hAnsi="宋体" w:cs="宋体"/>
                              <w:lang w:eastAsia="zh-CN"/>
                            </w:rPr>
                            <w:t xml:space="preserve"> —</w:t>
                          </w:r>
                        </w:p>
                      </w:txbxContent>
                    </wps:txbx>
                    <wps:bodyPr wrap="none" lIns="0" tIns="0" rIns="0" bIns="0" upright="false">
                      <a:spAutoFit/>
                    </wps:bodyPr>
                  </wps:wsp>
                </a:graphicData>
              </a:graphic>
            </wp:anchor>
          </w:drawing>
        </mc:Choice>
        <mc:Fallback>
          <w:pict>
            <v:shape id="文本框 2" o:spid="_x0000_s1026" o:spt="202" type="#_x0000_t202" style="position:absolute;left:0pt;margin-top:0.5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bDhs0tAAAAAGAQAADwAAAAAAAAABACAAAAA4AAAAZHJzL2Rvd25yZXYu&#10;eG1sUEsBAhQAFAAAAAgAh07iQED76n60AQAAUgMAAA4AAAAAAAAAAQAgAAAANQEAAGRycy9lMm9E&#10;b2MueG1sUEsFBgAAAAAGAAYAWQEAAFsFAAAAAA==&#10;">
              <v:fill on="f" focussize="0,0"/>
              <v:stroke on="f"/>
              <v:imagedata o:title=""/>
              <o:lock v:ext="edit" aspectratio="f"/>
              <v:textbox inset="0mm,0mm,0mm,0mm" style="mso-fit-shape-to-text:t;">
                <w:txbxContent>
                  <w:p>
                    <w:pPr>
                      <w:pStyle w:val="20"/>
                      <w:ind w:firstLine="0" w:firstLineChars="0"/>
                      <w:rPr>
                        <w:rFonts w:hint="eastAsia" w:ascii="宋体" w:hAnsi="宋体" w:eastAsia="宋体" w:cs="宋体"/>
                        <w:lang w:eastAsia="zh-CN"/>
                      </w:rPr>
                    </w:pPr>
                    <w:r>
                      <w:rPr>
                        <w:rFonts w:hint="eastAsia" w:ascii="宋体" w:hAnsi="宋体" w:cs="宋体"/>
                        <w:lang w:eastAsia="zh-CN"/>
                      </w:rPr>
                      <w:t xml:space="preserve">— </w:t>
                    </w:r>
                    <w:r>
                      <w:rPr>
                        <w:rFonts w:hint="eastAsia" w:ascii="宋体" w:hAnsi="宋体" w:cs="宋体"/>
                        <w:lang w:eastAsia="zh-CN"/>
                      </w:rPr>
                      <w:fldChar w:fldCharType="begin"/>
                    </w:r>
                    <w:r>
                      <w:rPr>
                        <w:rFonts w:hint="eastAsia" w:ascii="宋体" w:hAnsi="宋体" w:cs="宋体"/>
                        <w:lang w:eastAsia="zh-CN"/>
                      </w:rPr>
                      <w:instrText xml:space="preserve"> PAGE  \* MERGEFORMAT </w:instrText>
                    </w:r>
                    <w:r>
                      <w:rPr>
                        <w:rFonts w:hint="eastAsia" w:ascii="宋体" w:hAnsi="宋体" w:cs="宋体"/>
                        <w:lang w:eastAsia="zh-CN"/>
                      </w:rPr>
                      <w:fldChar w:fldCharType="separate"/>
                    </w:r>
                    <w:r>
                      <w:rPr>
                        <w:rFonts w:hint="eastAsia" w:ascii="宋体" w:hAnsi="宋体" w:cs="宋体"/>
                        <w:lang w:eastAsia="zh-CN"/>
                      </w:rPr>
                      <w:t>1</w:t>
                    </w:r>
                    <w:r>
                      <w:rPr>
                        <w:rFonts w:hint="eastAsia" w:ascii="宋体" w:hAnsi="宋体" w:cs="宋体"/>
                        <w:lang w:eastAsia="zh-CN"/>
                      </w:rPr>
                      <w:fldChar w:fldCharType="end"/>
                    </w:r>
                    <w:r>
                      <w:rPr>
                        <w:rFonts w:hint="eastAsia" w:ascii="宋体" w:hAnsi="宋体" w:cs="宋体"/>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560"/>
      <w:jc w:val="center"/>
    </w:pPr>
  </w:p>
  <w:p>
    <w:pPr>
      <w:pStyle w:val="20"/>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spacing w:line="240" w:lineRule="auto"/>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3139EE"/>
    <w:multiLevelType w:val="multilevel"/>
    <w:tmpl w:val="203139EE"/>
    <w:lvl w:ilvl="0" w:tentative="0">
      <w:start w:val="1"/>
      <w:numFmt w:val="decimal"/>
      <w:lvlText w:val="表2-4-%1"/>
      <w:lvlJc w:val="left"/>
      <w:pPr>
        <w:ind w:left="2688" w:hanging="420"/>
      </w:pPr>
      <w:rPr>
        <w:rFonts w:hint="eastAsia"/>
        <w:b w:val="0"/>
        <w:i w:val="0"/>
        <w:sz w:val="21"/>
        <w:szCs w:val="24"/>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nforcement="0"/>
  <w:defaultTabStop w:val="420"/>
  <w:hyphenationZone w:val="360"/>
  <w:drawingGridHorizontalSpacing w:val="160"/>
  <w:drawingGridVerticalSpacing w:val="439"/>
  <w:displayHorizontalDrawingGridEvery w:val="2"/>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ZDgzYjY1NTA4NGRmZTgwZTcyOGI0MDgwMjc0NTgifQ=="/>
  </w:docVars>
  <w:rsids>
    <w:rsidRoot w:val="00194075"/>
    <w:rsid w:val="00003412"/>
    <w:rsid w:val="00005CCE"/>
    <w:rsid w:val="0000640F"/>
    <w:rsid w:val="00006CC9"/>
    <w:rsid w:val="00007CAC"/>
    <w:rsid w:val="00011136"/>
    <w:rsid w:val="000115B3"/>
    <w:rsid w:val="00013BF9"/>
    <w:rsid w:val="00017DFA"/>
    <w:rsid w:val="00023449"/>
    <w:rsid w:val="00023D1A"/>
    <w:rsid w:val="0002445A"/>
    <w:rsid w:val="0002476C"/>
    <w:rsid w:val="00027098"/>
    <w:rsid w:val="00030059"/>
    <w:rsid w:val="00031283"/>
    <w:rsid w:val="000323BC"/>
    <w:rsid w:val="000328D7"/>
    <w:rsid w:val="00033B4E"/>
    <w:rsid w:val="000349D1"/>
    <w:rsid w:val="00035C8B"/>
    <w:rsid w:val="00040C30"/>
    <w:rsid w:val="000422E8"/>
    <w:rsid w:val="00043131"/>
    <w:rsid w:val="00043C17"/>
    <w:rsid w:val="00044289"/>
    <w:rsid w:val="00045136"/>
    <w:rsid w:val="00046C38"/>
    <w:rsid w:val="00047D35"/>
    <w:rsid w:val="00047EF4"/>
    <w:rsid w:val="000513D1"/>
    <w:rsid w:val="00051B00"/>
    <w:rsid w:val="000536CB"/>
    <w:rsid w:val="00054621"/>
    <w:rsid w:val="00054ADB"/>
    <w:rsid w:val="0005543B"/>
    <w:rsid w:val="00055B4D"/>
    <w:rsid w:val="00055BE6"/>
    <w:rsid w:val="0006344B"/>
    <w:rsid w:val="00064669"/>
    <w:rsid w:val="00064963"/>
    <w:rsid w:val="00067388"/>
    <w:rsid w:val="00072EFA"/>
    <w:rsid w:val="00073D7A"/>
    <w:rsid w:val="00073F81"/>
    <w:rsid w:val="000741DF"/>
    <w:rsid w:val="00075505"/>
    <w:rsid w:val="000759CC"/>
    <w:rsid w:val="00076C11"/>
    <w:rsid w:val="00077FAA"/>
    <w:rsid w:val="000800DC"/>
    <w:rsid w:val="000807B3"/>
    <w:rsid w:val="00080EB8"/>
    <w:rsid w:val="000814A6"/>
    <w:rsid w:val="00081F31"/>
    <w:rsid w:val="00082D19"/>
    <w:rsid w:val="00082EBE"/>
    <w:rsid w:val="00082EC5"/>
    <w:rsid w:val="00086904"/>
    <w:rsid w:val="00086AF8"/>
    <w:rsid w:val="000875FA"/>
    <w:rsid w:val="00091ADB"/>
    <w:rsid w:val="00092AD7"/>
    <w:rsid w:val="00093BD5"/>
    <w:rsid w:val="00093D46"/>
    <w:rsid w:val="00094829"/>
    <w:rsid w:val="00096364"/>
    <w:rsid w:val="0009637C"/>
    <w:rsid w:val="00097D25"/>
    <w:rsid w:val="000A2527"/>
    <w:rsid w:val="000A25EB"/>
    <w:rsid w:val="000A3517"/>
    <w:rsid w:val="000A3E2A"/>
    <w:rsid w:val="000A4326"/>
    <w:rsid w:val="000A6EA9"/>
    <w:rsid w:val="000A7742"/>
    <w:rsid w:val="000B04F2"/>
    <w:rsid w:val="000B0529"/>
    <w:rsid w:val="000B327F"/>
    <w:rsid w:val="000B518F"/>
    <w:rsid w:val="000B5AF2"/>
    <w:rsid w:val="000C1616"/>
    <w:rsid w:val="000C171D"/>
    <w:rsid w:val="000C1A6A"/>
    <w:rsid w:val="000C36D8"/>
    <w:rsid w:val="000C44F3"/>
    <w:rsid w:val="000C6D2C"/>
    <w:rsid w:val="000D7805"/>
    <w:rsid w:val="000E0CA9"/>
    <w:rsid w:val="000E27DA"/>
    <w:rsid w:val="000E3593"/>
    <w:rsid w:val="000E4A9E"/>
    <w:rsid w:val="000F0164"/>
    <w:rsid w:val="000F1FAF"/>
    <w:rsid w:val="000F4C5D"/>
    <w:rsid w:val="000F7F9D"/>
    <w:rsid w:val="00100061"/>
    <w:rsid w:val="00100D49"/>
    <w:rsid w:val="00100EE2"/>
    <w:rsid w:val="00101EF4"/>
    <w:rsid w:val="00103D6B"/>
    <w:rsid w:val="001071CA"/>
    <w:rsid w:val="0011167A"/>
    <w:rsid w:val="00111C4C"/>
    <w:rsid w:val="00111F7A"/>
    <w:rsid w:val="00114059"/>
    <w:rsid w:val="00114A36"/>
    <w:rsid w:val="00114C7E"/>
    <w:rsid w:val="00120227"/>
    <w:rsid w:val="00123A47"/>
    <w:rsid w:val="00124627"/>
    <w:rsid w:val="001258F9"/>
    <w:rsid w:val="001259E9"/>
    <w:rsid w:val="00125B58"/>
    <w:rsid w:val="0012671B"/>
    <w:rsid w:val="00127068"/>
    <w:rsid w:val="00130B65"/>
    <w:rsid w:val="00132695"/>
    <w:rsid w:val="00133005"/>
    <w:rsid w:val="001334BD"/>
    <w:rsid w:val="0013468C"/>
    <w:rsid w:val="00134741"/>
    <w:rsid w:val="00136C02"/>
    <w:rsid w:val="00137C53"/>
    <w:rsid w:val="001423F8"/>
    <w:rsid w:val="00145149"/>
    <w:rsid w:val="001457C2"/>
    <w:rsid w:val="001509F1"/>
    <w:rsid w:val="0015122F"/>
    <w:rsid w:val="0015192C"/>
    <w:rsid w:val="00152F15"/>
    <w:rsid w:val="00154AA0"/>
    <w:rsid w:val="00155CD1"/>
    <w:rsid w:val="00155F8B"/>
    <w:rsid w:val="00157E8C"/>
    <w:rsid w:val="001703E7"/>
    <w:rsid w:val="00171529"/>
    <w:rsid w:val="00171B5F"/>
    <w:rsid w:val="00172200"/>
    <w:rsid w:val="00174735"/>
    <w:rsid w:val="0017588A"/>
    <w:rsid w:val="00182ECB"/>
    <w:rsid w:val="001835D7"/>
    <w:rsid w:val="00183C75"/>
    <w:rsid w:val="001875F0"/>
    <w:rsid w:val="00187EE3"/>
    <w:rsid w:val="00191A51"/>
    <w:rsid w:val="00192EEC"/>
    <w:rsid w:val="001938D2"/>
    <w:rsid w:val="00193D71"/>
    <w:rsid w:val="00194075"/>
    <w:rsid w:val="0019735B"/>
    <w:rsid w:val="001A4697"/>
    <w:rsid w:val="001A5CF1"/>
    <w:rsid w:val="001A5D55"/>
    <w:rsid w:val="001B01EE"/>
    <w:rsid w:val="001B06D6"/>
    <w:rsid w:val="001B0ABC"/>
    <w:rsid w:val="001B3C15"/>
    <w:rsid w:val="001B471A"/>
    <w:rsid w:val="001B5AE6"/>
    <w:rsid w:val="001B5DB4"/>
    <w:rsid w:val="001B6B67"/>
    <w:rsid w:val="001B6B8D"/>
    <w:rsid w:val="001C160F"/>
    <w:rsid w:val="001C31F3"/>
    <w:rsid w:val="001C7037"/>
    <w:rsid w:val="001D09C0"/>
    <w:rsid w:val="001D0D3E"/>
    <w:rsid w:val="001D37D1"/>
    <w:rsid w:val="001D4B26"/>
    <w:rsid w:val="001D74AA"/>
    <w:rsid w:val="001D7A0A"/>
    <w:rsid w:val="001E03B5"/>
    <w:rsid w:val="001E0450"/>
    <w:rsid w:val="001E125F"/>
    <w:rsid w:val="001E13C0"/>
    <w:rsid w:val="001E22AA"/>
    <w:rsid w:val="001E247F"/>
    <w:rsid w:val="001E2758"/>
    <w:rsid w:val="001E3A75"/>
    <w:rsid w:val="001E3C38"/>
    <w:rsid w:val="001F06A0"/>
    <w:rsid w:val="001F1EA9"/>
    <w:rsid w:val="001F275F"/>
    <w:rsid w:val="001F2A51"/>
    <w:rsid w:val="001F300E"/>
    <w:rsid w:val="001F5640"/>
    <w:rsid w:val="001F6E56"/>
    <w:rsid w:val="001F7EB0"/>
    <w:rsid w:val="00200D28"/>
    <w:rsid w:val="00210B4B"/>
    <w:rsid w:val="00210F37"/>
    <w:rsid w:val="00211251"/>
    <w:rsid w:val="002118DC"/>
    <w:rsid w:val="002138BD"/>
    <w:rsid w:val="0021434C"/>
    <w:rsid w:val="00215200"/>
    <w:rsid w:val="00216E44"/>
    <w:rsid w:val="002216E4"/>
    <w:rsid w:val="00221FF9"/>
    <w:rsid w:val="00224C23"/>
    <w:rsid w:val="00226354"/>
    <w:rsid w:val="00226F64"/>
    <w:rsid w:val="002275DF"/>
    <w:rsid w:val="00230410"/>
    <w:rsid w:val="00231FEB"/>
    <w:rsid w:val="00235A7A"/>
    <w:rsid w:val="00236662"/>
    <w:rsid w:val="00237A5C"/>
    <w:rsid w:val="00237B9B"/>
    <w:rsid w:val="00240612"/>
    <w:rsid w:val="00244DB1"/>
    <w:rsid w:val="002473B0"/>
    <w:rsid w:val="0025014F"/>
    <w:rsid w:val="00252A54"/>
    <w:rsid w:val="002561C3"/>
    <w:rsid w:val="00262B24"/>
    <w:rsid w:val="00262D3A"/>
    <w:rsid w:val="00263417"/>
    <w:rsid w:val="002635D4"/>
    <w:rsid w:val="002637B2"/>
    <w:rsid w:val="00266D52"/>
    <w:rsid w:val="00267E8A"/>
    <w:rsid w:val="00270C90"/>
    <w:rsid w:val="002723A6"/>
    <w:rsid w:val="00272EE0"/>
    <w:rsid w:val="002735B8"/>
    <w:rsid w:val="00273C05"/>
    <w:rsid w:val="00275AFA"/>
    <w:rsid w:val="00276475"/>
    <w:rsid w:val="0027685D"/>
    <w:rsid w:val="00282364"/>
    <w:rsid w:val="00285C66"/>
    <w:rsid w:val="002862C1"/>
    <w:rsid w:val="00286400"/>
    <w:rsid w:val="00287C7D"/>
    <w:rsid w:val="00287CB2"/>
    <w:rsid w:val="00291661"/>
    <w:rsid w:val="00292F2A"/>
    <w:rsid w:val="00293798"/>
    <w:rsid w:val="0029399A"/>
    <w:rsid w:val="00294637"/>
    <w:rsid w:val="0029490A"/>
    <w:rsid w:val="00294987"/>
    <w:rsid w:val="002973C5"/>
    <w:rsid w:val="00297AEE"/>
    <w:rsid w:val="002A125C"/>
    <w:rsid w:val="002A4BF8"/>
    <w:rsid w:val="002A5BBC"/>
    <w:rsid w:val="002A67AC"/>
    <w:rsid w:val="002A7EC0"/>
    <w:rsid w:val="002B22D1"/>
    <w:rsid w:val="002B4DFB"/>
    <w:rsid w:val="002B5707"/>
    <w:rsid w:val="002B6070"/>
    <w:rsid w:val="002B6A74"/>
    <w:rsid w:val="002B6B32"/>
    <w:rsid w:val="002B6C41"/>
    <w:rsid w:val="002C21B3"/>
    <w:rsid w:val="002C2BBE"/>
    <w:rsid w:val="002C5237"/>
    <w:rsid w:val="002C6F5E"/>
    <w:rsid w:val="002C79DB"/>
    <w:rsid w:val="002D1BCA"/>
    <w:rsid w:val="002D217B"/>
    <w:rsid w:val="002D7560"/>
    <w:rsid w:val="002D7863"/>
    <w:rsid w:val="002D7B13"/>
    <w:rsid w:val="002D7B96"/>
    <w:rsid w:val="002D7D69"/>
    <w:rsid w:val="002D7EA8"/>
    <w:rsid w:val="002E1350"/>
    <w:rsid w:val="002E198D"/>
    <w:rsid w:val="002E25A3"/>
    <w:rsid w:val="002E4A78"/>
    <w:rsid w:val="002E4E37"/>
    <w:rsid w:val="002F0764"/>
    <w:rsid w:val="002F1C9E"/>
    <w:rsid w:val="002F2063"/>
    <w:rsid w:val="002F22BF"/>
    <w:rsid w:val="002F2590"/>
    <w:rsid w:val="002F3521"/>
    <w:rsid w:val="00305712"/>
    <w:rsid w:val="00306F15"/>
    <w:rsid w:val="00307BEC"/>
    <w:rsid w:val="00310F11"/>
    <w:rsid w:val="00310F3A"/>
    <w:rsid w:val="00310FDF"/>
    <w:rsid w:val="00311993"/>
    <w:rsid w:val="00312505"/>
    <w:rsid w:val="00312870"/>
    <w:rsid w:val="00312F09"/>
    <w:rsid w:val="00313D90"/>
    <w:rsid w:val="003154DE"/>
    <w:rsid w:val="00315C95"/>
    <w:rsid w:val="003169F4"/>
    <w:rsid w:val="00317590"/>
    <w:rsid w:val="003211C8"/>
    <w:rsid w:val="00323435"/>
    <w:rsid w:val="00323F4D"/>
    <w:rsid w:val="00324112"/>
    <w:rsid w:val="00324FC2"/>
    <w:rsid w:val="00326B02"/>
    <w:rsid w:val="00327EE6"/>
    <w:rsid w:val="00330BEE"/>
    <w:rsid w:val="00331CE6"/>
    <w:rsid w:val="00344FC1"/>
    <w:rsid w:val="003454A5"/>
    <w:rsid w:val="00346FA9"/>
    <w:rsid w:val="00350E4B"/>
    <w:rsid w:val="00351161"/>
    <w:rsid w:val="003525B2"/>
    <w:rsid w:val="00353684"/>
    <w:rsid w:val="00353DA1"/>
    <w:rsid w:val="00355408"/>
    <w:rsid w:val="0035616D"/>
    <w:rsid w:val="00360DEB"/>
    <w:rsid w:val="00361687"/>
    <w:rsid w:val="00362301"/>
    <w:rsid w:val="00362479"/>
    <w:rsid w:val="0036414D"/>
    <w:rsid w:val="00365D6F"/>
    <w:rsid w:val="00366844"/>
    <w:rsid w:val="003675D3"/>
    <w:rsid w:val="0037461A"/>
    <w:rsid w:val="00374BA9"/>
    <w:rsid w:val="003761B0"/>
    <w:rsid w:val="00377324"/>
    <w:rsid w:val="0038360A"/>
    <w:rsid w:val="003845F6"/>
    <w:rsid w:val="00384C58"/>
    <w:rsid w:val="00386830"/>
    <w:rsid w:val="00386AFF"/>
    <w:rsid w:val="003870E8"/>
    <w:rsid w:val="0039015A"/>
    <w:rsid w:val="003903A9"/>
    <w:rsid w:val="00390F19"/>
    <w:rsid w:val="00391C8F"/>
    <w:rsid w:val="00395A9C"/>
    <w:rsid w:val="00397597"/>
    <w:rsid w:val="00397BD3"/>
    <w:rsid w:val="003A1FB4"/>
    <w:rsid w:val="003A2D29"/>
    <w:rsid w:val="003A6EFF"/>
    <w:rsid w:val="003A6F6B"/>
    <w:rsid w:val="003B0240"/>
    <w:rsid w:val="003B17C0"/>
    <w:rsid w:val="003B23D5"/>
    <w:rsid w:val="003B2B0B"/>
    <w:rsid w:val="003B2D2B"/>
    <w:rsid w:val="003B66C2"/>
    <w:rsid w:val="003C02CB"/>
    <w:rsid w:val="003C2590"/>
    <w:rsid w:val="003C52F0"/>
    <w:rsid w:val="003C6CD6"/>
    <w:rsid w:val="003C7BF2"/>
    <w:rsid w:val="003D2285"/>
    <w:rsid w:val="003D2F7E"/>
    <w:rsid w:val="003D5DE6"/>
    <w:rsid w:val="003D7799"/>
    <w:rsid w:val="003E0F19"/>
    <w:rsid w:val="003E13CE"/>
    <w:rsid w:val="003E1C29"/>
    <w:rsid w:val="003E5332"/>
    <w:rsid w:val="003E5E84"/>
    <w:rsid w:val="003E7304"/>
    <w:rsid w:val="003E74AE"/>
    <w:rsid w:val="003F061B"/>
    <w:rsid w:val="003F08D5"/>
    <w:rsid w:val="003F2558"/>
    <w:rsid w:val="003F43F9"/>
    <w:rsid w:val="003F46D7"/>
    <w:rsid w:val="003F4FF7"/>
    <w:rsid w:val="003F576D"/>
    <w:rsid w:val="003F5806"/>
    <w:rsid w:val="003F5A3D"/>
    <w:rsid w:val="003F5B94"/>
    <w:rsid w:val="003F6014"/>
    <w:rsid w:val="003F6821"/>
    <w:rsid w:val="003F772B"/>
    <w:rsid w:val="00401ECE"/>
    <w:rsid w:val="00411C1B"/>
    <w:rsid w:val="00412B45"/>
    <w:rsid w:val="00414E8B"/>
    <w:rsid w:val="00415F36"/>
    <w:rsid w:val="00420A99"/>
    <w:rsid w:val="004242E0"/>
    <w:rsid w:val="0042430B"/>
    <w:rsid w:val="00424399"/>
    <w:rsid w:val="00424D25"/>
    <w:rsid w:val="0042663C"/>
    <w:rsid w:val="00427E88"/>
    <w:rsid w:val="00431150"/>
    <w:rsid w:val="0043374D"/>
    <w:rsid w:val="0043526F"/>
    <w:rsid w:val="00437E68"/>
    <w:rsid w:val="004404EC"/>
    <w:rsid w:val="0044089F"/>
    <w:rsid w:val="00441615"/>
    <w:rsid w:val="004437BA"/>
    <w:rsid w:val="00443A2E"/>
    <w:rsid w:val="00450728"/>
    <w:rsid w:val="00450BC3"/>
    <w:rsid w:val="00452C5F"/>
    <w:rsid w:val="00454433"/>
    <w:rsid w:val="00454FDA"/>
    <w:rsid w:val="00455B2B"/>
    <w:rsid w:val="00455DE8"/>
    <w:rsid w:val="00455F9B"/>
    <w:rsid w:val="00456507"/>
    <w:rsid w:val="0045771E"/>
    <w:rsid w:val="004606A9"/>
    <w:rsid w:val="00461AAF"/>
    <w:rsid w:val="00461B97"/>
    <w:rsid w:val="00463D8D"/>
    <w:rsid w:val="00463F3D"/>
    <w:rsid w:val="00465BE2"/>
    <w:rsid w:val="00470D4C"/>
    <w:rsid w:val="00472066"/>
    <w:rsid w:val="0047371B"/>
    <w:rsid w:val="00474663"/>
    <w:rsid w:val="00474E73"/>
    <w:rsid w:val="00476B7A"/>
    <w:rsid w:val="0047706D"/>
    <w:rsid w:val="00477E49"/>
    <w:rsid w:val="00482C8F"/>
    <w:rsid w:val="00483324"/>
    <w:rsid w:val="00486126"/>
    <w:rsid w:val="00487281"/>
    <w:rsid w:val="00492B7B"/>
    <w:rsid w:val="004939A2"/>
    <w:rsid w:val="00497188"/>
    <w:rsid w:val="00497C72"/>
    <w:rsid w:val="004A1099"/>
    <w:rsid w:val="004A1770"/>
    <w:rsid w:val="004A1E3C"/>
    <w:rsid w:val="004A3527"/>
    <w:rsid w:val="004A3658"/>
    <w:rsid w:val="004A3E6A"/>
    <w:rsid w:val="004B188E"/>
    <w:rsid w:val="004B51AF"/>
    <w:rsid w:val="004B64C9"/>
    <w:rsid w:val="004B7084"/>
    <w:rsid w:val="004C038C"/>
    <w:rsid w:val="004C2FC6"/>
    <w:rsid w:val="004C5624"/>
    <w:rsid w:val="004C584D"/>
    <w:rsid w:val="004C6080"/>
    <w:rsid w:val="004D16BF"/>
    <w:rsid w:val="004D1CA2"/>
    <w:rsid w:val="004D1F7F"/>
    <w:rsid w:val="004D360F"/>
    <w:rsid w:val="004D46E5"/>
    <w:rsid w:val="004D5438"/>
    <w:rsid w:val="004E01EA"/>
    <w:rsid w:val="004E2D7B"/>
    <w:rsid w:val="004E43D0"/>
    <w:rsid w:val="004E4BB6"/>
    <w:rsid w:val="004F2A1F"/>
    <w:rsid w:val="004F563B"/>
    <w:rsid w:val="0050147B"/>
    <w:rsid w:val="00502EE0"/>
    <w:rsid w:val="005031A0"/>
    <w:rsid w:val="00503492"/>
    <w:rsid w:val="005039DD"/>
    <w:rsid w:val="005110E3"/>
    <w:rsid w:val="00511E76"/>
    <w:rsid w:val="00512809"/>
    <w:rsid w:val="00513B63"/>
    <w:rsid w:val="0051658D"/>
    <w:rsid w:val="00517569"/>
    <w:rsid w:val="00517C0D"/>
    <w:rsid w:val="0052078D"/>
    <w:rsid w:val="00520C31"/>
    <w:rsid w:val="00521280"/>
    <w:rsid w:val="0052499C"/>
    <w:rsid w:val="00524F01"/>
    <w:rsid w:val="005269BB"/>
    <w:rsid w:val="00527EC4"/>
    <w:rsid w:val="00530EC3"/>
    <w:rsid w:val="005310C5"/>
    <w:rsid w:val="00531B81"/>
    <w:rsid w:val="00531C96"/>
    <w:rsid w:val="005323EB"/>
    <w:rsid w:val="00532950"/>
    <w:rsid w:val="00533A05"/>
    <w:rsid w:val="00536EB7"/>
    <w:rsid w:val="00537633"/>
    <w:rsid w:val="00537D74"/>
    <w:rsid w:val="005409EC"/>
    <w:rsid w:val="00542ADE"/>
    <w:rsid w:val="00542B15"/>
    <w:rsid w:val="005430CA"/>
    <w:rsid w:val="005471F6"/>
    <w:rsid w:val="005503D2"/>
    <w:rsid w:val="00553519"/>
    <w:rsid w:val="0055726E"/>
    <w:rsid w:val="00557833"/>
    <w:rsid w:val="00560BF4"/>
    <w:rsid w:val="005611D2"/>
    <w:rsid w:val="005672AE"/>
    <w:rsid w:val="00571500"/>
    <w:rsid w:val="005715B2"/>
    <w:rsid w:val="0057212F"/>
    <w:rsid w:val="00573F2B"/>
    <w:rsid w:val="00573FD6"/>
    <w:rsid w:val="005752EB"/>
    <w:rsid w:val="005755EB"/>
    <w:rsid w:val="00576E95"/>
    <w:rsid w:val="00580ABC"/>
    <w:rsid w:val="00581724"/>
    <w:rsid w:val="005850CF"/>
    <w:rsid w:val="0058589F"/>
    <w:rsid w:val="00586604"/>
    <w:rsid w:val="00591E90"/>
    <w:rsid w:val="005937A0"/>
    <w:rsid w:val="00594DE5"/>
    <w:rsid w:val="00595077"/>
    <w:rsid w:val="005956CC"/>
    <w:rsid w:val="005959DB"/>
    <w:rsid w:val="00596A15"/>
    <w:rsid w:val="005A2FC2"/>
    <w:rsid w:val="005A59C7"/>
    <w:rsid w:val="005A7807"/>
    <w:rsid w:val="005A7E41"/>
    <w:rsid w:val="005B1A7B"/>
    <w:rsid w:val="005B22B8"/>
    <w:rsid w:val="005B253E"/>
    <w:rsid w:val="005B3475"/>
    <w:rsid w:val="005B5B48"/>
    <w:rsid w:val="005B6CDB"/>
    <w:rsid w:val="005B7D10"/>
    <w:rsid w:val="005C0F58"/>
    <w:rsid w:val="005C1288"/>
    <w:rsid w:val="005C2042"/>
    <w:rsid w:val="005C3FD8"/>
    <w:rsid w:val="005C4829"/>
    <w:rsid w:val="005C57EE"/>
    <w:rsid w:val="005C5FD4"/>
    <w:rsid w:val="005C6662"/>
    <w:rsid w:val="005D0EE2"/>
    <w:rsid w:val="005D30C8"/>
    <w:rsid w:val="005D4A32"/>
    <w:rsid w:val="005D580F"/>
    <w:rsid w:val="005D5BA0"/>
    <w:rsid w:val="005E0D12"/>
    <w:rsid w:val="005E1C91"/>
    <w:rsid w:val="005E2CCC"/>
    <w:rsid w:val="005E2F2A"/>
    <w:rsid w:val="005E4495"/>
    <w:rsid w:val="005E497B"/>
    <w:rsid w:val="005E5464"/>
    <w:rsid w:val="005E5BEE"/>
    <w:rsid w:val="005F0357"/>
    <w:rsid w:val="005F0DCA"/>
    <w:rsid w:val="005F0EE6"/>
    <w:rsid w:val="005F2922"/>
    <w:rsid w:val="005F330C"/>
    <w:rsid w:val="005F38E5"/>
    <w:rsid w:val="005F3AFB"/>
    <w:rsid w:val="005F65F1"/>
    <w:rsid w:val="005F6955"/>
    <w:rsid w:val="00600FE3"/>
    <w:rsid w:val="0060115D"/>
    <w:rsid w:val="00602D81"/>
    <w:rsid w:val="006038DB"/>
    <w:rsid w:val="0060409C"/>
    <w:rsid w:val="006040E8"/>
    <w:rsid w:val="006047EA"/>
    <w:rsid w:val="00606187"/>
    <w:rsid w:val="006101CE"/>
    <w:rsid w:val="006113C5"/>
    <w:rsid w:val="00612294"/>
    <w:rsid w:val="00612307"/>
    <w:rsid w:val="006124A3"/>
    <w:rsid w:val="006130F9"/>
    <w:rsid w:val="006133EC"/>
    <w:rsid w:val="0061509F"/>
    <w:rsid w:val="00617225"/>
    <w:rsid w:val="00620B24"/>
    <w:rsid w:val="00621857"/>
    <w:rsid w:val="00623740"/>
    <w:rsid w:val="00623765"/>
    <w:rsid w:val="0062727A"/>
    <w:rsid w:val="00627A3E"/>
    <w:rsid w:val="00627BC3"/>
    <w:rsid w:val="00630013"/>
    <w:rsid w:val="00630348"/>
    <w:rsid w:val="00632CA3"/>
    <w:rsid w:val="00637B0C"/>
    <w:rsid w:val="00642CA6"/>
    <w:rsid w:val="00646425"/>
    <w:rsid w:val="00650184"/>
    <w:rsid w:val="00650F94"/>
    <w:rsid w:val="00651431"/>
    <w:rsid w:val="006531CC"/>
    <w:rsid w:val="006556C2"/>
    <w:rsid w:val="00655D93"/>
    <w:rsid w:val="00655DE9"/>
    <w:rsid w:val="0065677E"/>
    <w:rsid w:val="0066106B"/>
    <w:rsid w:val="0066117B"/>
    <w:rsid w:val="006617F4"/>
    <w:rsid w:val="00662327"/>
    <w:rsid w:val="00663656"/>
    <w:rsid w:val="006637DE"/>
    <w:rsid w:val="00666CCB"/>
    <w:rsid w:val="00675215"/>
    <w:rsid w:val="00680FB3"/>
    <w:rsid w:val="00681E4F"/>
    <w:rsid w:val="00682290"/>
    <w:rsid w:val="00683216"/>
    <w:rsid w:val="00683946"/>
    <w:rsid w:val="00693ED1"/>
    <w:rsid w:val="00694C70"/>
    <w:rsid w:val="006957B8"/>
    <w:rsid w:val="0069720B"/>
    <w:rsid w:val="006A008A"/>
    <w:rsid w:val="006A01D8"/>
    <w:rsid w:val="006A07C4"/>
    <w:rsid w:val="006A26D5"/>
    <w:rsid w:val="006A2D17"/>
    <w:rsid w:val="006A4E05"/>
    <w:rsid w:val="006A565D"/>
    <w:rsid w:val="006A6B57"/>
    <w:rsid w:val="006A7A0A"/>
    <w:rsid w:val="006B1840"/>
    <w:rsid w:val="006B1858"/>
    <w:rsid w:val="006B2541"/>
    <w:rsid w:val="006B26F2"/>
    <w:rsid w:val="006B2BFC"/>
    <w:rsid w:val="006B407E"/>
    <w:rsid w:val="006B408C"/>
    <w:rsid w:val="006B5A95"/>
    <w:rsid w:val="006B7042"/>
    <w:rsid w:val="006C2213"/>
    <w:rsid w:val="006C34EB"/>
    <w:rsid w:val="006C4D8F"/>
    <w:rsid w:val="006C68FC"/>
    <w:rsid w:val="006C76C3"/>
    <w:rsid w:val="006D34FC"/>
    <w:rsid w:val="006D3A06"/>
    <w:rsid w:val="006D56F1"/>
    <w:rsid w:val="006D6892"/>
    <w:rsid w:val="006D748A"/>
    <w:rsid w:val="006E0F6B"/>
    <w:rsid w:val="006E466F"/>
    <w:rsid w:val="006E4C36"/>
    <w:rsid w:val="006E66F4"/>
    <w:rsid w:val="006E6827"/>
    <w:rsid w:val="006E7C12"/>
    <w:rsid w:val="006F2B9A"/>
    <w:rsid w:val="006F4D9E"/>
    <w:rsid w:val="006F5D4D"/>
    <w:rsid w:val="0070004C"/>
    <w:rsid w:val="00700F7B"/>
    <w:rsid w:val="00701108"/>
    <w:rsid w:val="007017C8"/>
    <w:rsid w:val="007025C7"/>
    <w:rsid w:val="00703BF2"/>
    <w:rsid w:val="0070408D"/>
    <w:rsid w:val="007043E1"/>
    <w:rsid w:val="0070460B"/>
    <w:rsid w:val="00705C66"/>
    <w:rsid w:val="00706362"/>
    <w:rsid w:val="0070697E"/>
    <w:rsid w:val="00710A6E"/>
    <w:rsid w:val="00711236"/>
    <w:rsid w:val="007117B5"/>
    <w:rsid w:val="00711FFD"/>
    <w:rsid w:val="00712632"/>
    <w:rsid w:val="0071278F"/>
    <w:rsid w:val="00712C88"/>
    <w:rsid w:val="00714DE3"/>
    <w:rsid w:val="00716E9A"/>
    <w:rsid w:val="0071743F"/>
    <w:rsid w:val="00717552"/>
    <w:rsid w:val="00717A7A"/>
    <w:rsid w:val="00720FF7"/>
    <w:rsid w:val="00721FCC"/>
    <w:rsid w:val="00723520"/>
    <w:rsid w:val="00724EF4"/>
    <w:rsid w:val="007269FD"/>
    <w:rsid w:val="0072755E"/>
    <w:rsid w:val="00733D5C"/>
    <w:rsid w:val="007345FF"/>
    <w:rsid w:val="007410D8"/>
    <w:rsid w:val="00743529"/>
    <w:rsid w:val="00744079"/>
    <w:rsid w:val="0074489F"/>
    <w:rsid w:val="00744B1A"/>
    <w:rsid w:val="0074682B"/>
    <w:rsid w:val="0075126E"/>
    <w:rsid w:val="00752698"/>
    <w:rsid w:val="00753798"/>
    <w:rsid w:val="00755113"/>
    <w:rsid w:val="00756C6C"/>
    <w:rsid w:val="0075771B"/>
    <w:rsid w:val="00761BD5"/>
    <w:rsid w:val="007648AD"/>
    <w:rsid w:val="007654AE"/>
    <w:rsid w:val="00765D9D"/>
    <w:rsid w:val="00766442"/>
    <w:rsid w:val="00766EEE"/>
    <w:rsid w:val="00767098"/>
    <w:rsid w:val="007674EA"/>
    <w:rsid w:val="007700CA"/>
    <w:rsid w:val="0077111D"/>
    <w:rsid w:val="00771802"/>
    <w:rsid w:val="00772112"/>
    <w:rsid w:val="00772488"/>
    <w:rsid w:val="007744B9"/>
    <w:rsid w:val="00775274"/>
    <w:rsid w:val="007759FD"/>
    <w:rsid w:val="00775C15"/>
    <w:rsid w:val="0077682F"/>
    <w:rsid w:val="007774D3"/>
    <w:rsid w:val="00784FB2"/>
    <w:rsid w:val="0078730B"/>
    <w:rsid w:val="00790AD6"/>
    <w:rsid w:val="0079103F"/>
    <w:rsid w:val="007924F0"/>
    <w:rsid w:val="007927A6"/>
    <w:rsid w:val="00794E93"/>
    <w:rsid w:val="007960F4"/>
    <w:rsid w:val="00797B89"/>
    <w:rsid w:val="007A0992"/>
    <w:rsid w:val="007A197B"/>
    <w:rsid w:val="007A1EB1"/>
    <w:rsid w:val="007A2C37"/>
    <w:rsid w:val="007A3447"/>
    <w:rsid w:val="007A3E56"/>
    <w:rsid w:val="007A59E1"/>
    <w:rsid w:val="007A6773"/>
    <w:rsid w:val="007B0A31"/>
    <w:rsid w:val="007B133B"/>
    <w:rsid w:val="007B1C7A"/>
    <w:rsid w:val="007B29C0"/>
    <w:rsid w:val="007B43DA"/>
    <w:rsid w:val="007C0C9D"/>
    <w:rsid w:val="007C0FF0"/>
    <w:rsid w:val="007C1083"/>
    <w:rsid w:val="007C24E6"/>
    <w:rsid w:val="007C3DE5"/>
    <w:rsid w:val="007C49B8"/>
    <w:rsid w:val="007C56EB"/>
    <w:rsid w:val="007C5D70"/>
    <w:rsid w:val="007C5FFB"/>
    <w:rsid w:val="007C6706"/>
    <w:rsid w:val="007C729C"/>
    <w:rsid w:val="007D193F"/>
    <w:rsid w:val="007D1EA6"/>
    <w:rsid w:val="007D29C0"/>
    <w:rsid w:val="007D3476"/>
    <w:rsid w:val="007D39D7"/>
    <w:rsid w:val="007D5585"/>
    <w:rsid w:val="007D6036"/>
    <w:rsid w:val="007E06E4"/>
    <w:rsid w:val="007E182A"/>
    <w:rsid w:val="007E53E4"/>
    <w:rsid w:val="007E6079"/>
    <w:rsid w:val="007E7D74"/>
    <w:rsid w:val="007F0A1A"/>
    <w:rsid w:val="007F1A20"/>
    <w:rsid w:val="007F2AF1"/>
    <w:rsid w:val="007F3CCF"/>
    <w:rsid w:val="007F476F"/>
    <w:rsid w:val="007F4EBD"/>
    <w:rsid w:val="007F6AB4"/>
    <w:rsid w:val="00800EBD"/>
    <w:rsid w:val="00801737"/>
    <w:rsid w:val="0080360C"/>
    <w:rsid w:val="00804E47"/>
    <w:rsid w:val="008066D0"/>
    <w:rsid w:val="00806980"/>
    <w:rsid w:val="00806C8B"/>
    <w:rsid w:val="008070B9"/>
    <w:rsid w:val="008074D8"/>
    <w:rsid w:val="00810683"/>
    <w:rsid w:val="00810DAE"/>
    <w:rsid w:val="008119B6"/>
    <w:rsid w:val="00812D77"/>
    <w:rsid w:val="008141AA"/>
    <w:rsid w:val="00814B3C"/>
    <w:rsid w:val="00814D1B"/>
    <w:rsid w:val="0081700E"/>
    <w:rsid w:val="00817161"/>
    <w:rsid w:val="00817261"/>
    <w:rsid w:val="0081797B"/>
    <w:rsid w:val="00820D86"/>
    <w:rsid w:val="0082179A"/>
    <w:rsid w:val="00823CDA"/>
    <w:rsid w:val="008240F8"/>
    <w:rsid w:val="00824D8D"/>
    <w:rsid w:val="0082571F"/>
    <w:rsid w:val="008276EC"/>
    <w:rsid w:val="008311DD"/>
    <w:rsid w:val="008322AA"/>
    <w:rsid w:val="008342DC"/>
    <w:rsid w:val="008347CC"/>
    <w:rsid w:val="00834BFE"/>
    <w:rsid w:val="00835281"/>
    <w:rsid w:val="0083618F"/>
    <w:rsid w:val="00837ED7"/>
    <w:rsid w:val="00840753"/>
    <w:rsid w:val="00840DEA"/>
    <w:rsid w:val="00841215"/>
    <w:rsid w:val="00843D78"/>
    <w:rsid w:val="00845946"/>
    <w:rsid w:val="008459CD"/>
    <w:rsid w:val="008471A9"/>
    <w:rsid w:val="008521CD"/>
    <w:rsid w:val="008541AE"/>
    <w:rsid w:val="0086238E"/>
    <w:rsid w:val="00862902"/>
    <w:rsid w:val="00863AA8"/>
    <w:rsid w:val="008652EE"/>
    <w:rsid w:val="00865560"/>
    <w:rsid w:val="008656F6"/>
    <w:rsid w:val="008658F9"/>
    <w:rsid w:val="00866310"/>
    <w:rsid w:val="00871BB0"/>
    <w:rsid w:val="00871C04"/>
    <w:rsid w:val="00873815"/>
    <w:rsid w:val="00874BE8"/>
    <w:rsid w:val="00874CE5"/>
    <w:rsid w:val="0087517E"/>
    <w:rsid w:val="008764B7"/>
    <w:rsid w:val="00877972"/>
    <w:rsid w:val="00881930"/>
    <w:rsid w:val="00885410"/>
    <w:rsid w:val="0088607E"/>
    <w:rsid w:val="00886916"/>
    <w:rsid w:val="00892B7F"/>
    <w:rsid w:val="0089437B"/>
    <w:rsid w:val="008944A8"/>
    <w:rsid w:val="008944B8"/>
    <w:rsid w:val="00894E14"/>
    <w:rsid w:val="00895872"/>
    <w:rsid w:val="008A123F"/>
    <w:rsid w:val="008A1D04"/>
    <w:rsid w:val="008A2A22"/>
    <w:rsid w:val="008A3E99"/>
    <w:rsid w:val="008A3FE8"/>
    <w:rsid w:val="008A55C3"/>
    <w:rsid w:val="008A567B"/>
    <w:rsid w:val="008A5CFE"/>
    <w:rsid w:val="008B15B6"/>
    <w:rsid w:val="008B25A4"/>
    <w:rsid w:val="008B404B"/>
    <w:rsid w:val="008B4592"/>
    <w:rsid w:val="008B5AD9"/>
    <w:rsid w:val="008B7BFD"/>
    <w:rsid w:val="008B7F88"/>
    <w:rsid w:val="008C0707"/>
    <w:rsid w:val="008C0E4A"/>
    <w:rsid w:val="008C5166"/>
    <w:rsid w:val="008C56F6"/>
    <w:rsid w:val="008D0705"/>
    <w:rsid w:val="008D1B03"/>
    <w:rsid w:val="008D1B8B"/>
    <w:rsid w:val="008D1BDA"/>
    <w:rsid w:val="008D32AC"/>
    <w:rsid w:val="008D4B90"/>
    <w:rsid w:val="008D7981"/>
    <w:rsid w:val="008E088E"/>
    <w:rsid w:val="008E3CAF"/>
    <w:rsid w:val="008E4437"/>
    <w:rsid w:val="008E44D2"/>
    <w:rsid w:val="008E528C"/>
    <w:rsid w:val="008E6FE1"/>
    <w:rsid w:val="008E704C"/>
    <w:rsid w:val="008E75C3"/>
    <w:rsid w:val="008F2325"/>
    <w:rsid w:val="008F2EA4"/>
    <w:rsid w:val="008F474F"/>
    <w:rsid w:val="008F5F52"/>
    <w:rsid w:val="00900AAE"/>
    <w:rsid w:val="00902A83"/>
    <w:rsid w:val="009034BA"/>
    <w:rsid w:val="009054E7"/>
    <w:rsid w:val="00905676"/>
    <w:rsid w:val="009060E9"/>
    <w:rsid w:val="0090711C"/>
    <w:rsid w:val="009074A7"/>
    <w:rsid w:val="00907569"/>
    <w:rsid w:val="0091150A"/>
    <w:rsid w:val="00911A68"/>
    <w:rsid w:val="0091284A"/>
    <w:rsid w:val="00914119"/>
    <w:rsid w:val="0091491B"/>
    <w:rsid w:val="00916F29"/>
    <w:rsid w:val="00920516"/>
    <w:rsid w:val="0092075D"/>
    <w:rsid w:val="00920BA7"/>
    <w:rsid w:val="0092173D"/>
    <w:rsid w:val="00921843"/>
    <w:rsid w:val="00922707"/>
    <w:rsid w:val="009246F5"/>
    <w:rsid w:val="00924B1A"/>
    <w:rsid w:val="00926CB4"/>
    <w:rsid w:val="009270F9"/>
    <w:rsid w:val="00932228"/>
    <w:rsid w:val="0093461B"/>
    <w:rsid w:val="00936F8F"/>
    <w:rsid w:val="00940B8F"/>
    <w:rsid w:val="00942D8C"/>
    <w:rsid w:val="00943524"/>
    <w:rsid w:val="00945C7F"/>
    <w:rsid w:val="00946D23"/>
    <w:rsid w:val="009501E8"/>
    <w:rsid w:val="0095172F"/>
    <w:rsid w:val="009527AF"/>
    <w:rsid w:val="00954B9F"/>
    <w:rsid w:val="009551F6"/>
    <w:rsid w:val="009553D5"/>
    <w:rsid w:val="0095681B"/>
    <w:rsid w:val="00960D62"/>
    <w:rsid w:val="00961100"/>
    <w:rsid w:val="009634C4"/>
    <w:rsid w:val="00964AD9"/>
    <w:rsid w:val="00965748"/>
    <w:rsid w:val="009659CC"/>
    <w:rsid w:val="00967A02"/>
    <w:rsid w:val="00970888"/>
    <w:rsid w:val="009718C0"/>
    <w:rsid w:val="00973029"/>
    <w:rsid w:val="009733D9"/>
    <w:rsid w:val="00973C18"/>
    <w:rsid w:val="00973DEB"/>
    <w:rsid w:val="009742A4"/>
    <w:rsid w:val="009742B0"/>
    <w:rsid w:val="00976559"/>
    <w:rsid w:val="009801DF"/>
    <w:rsid w:val="00982D10"/>
    <w:rsid w:val="0098585E"/>
    <w:rsid w:val="0098620C"/>
    <w:rsid w:val="00986B04"/>
    <w:rsid w:val="0098731D"/>
    <w:rsid w:val="0099465C"/>
    <w:rsid w:val="009A2F75"/>
    <w:rsid w:val="009A47D8"/>
    <w:rsid w:val="009A52DA"/>
    <w:rsid w:val="009A56DF"/>
    <w:rsid w:val="009A663D"/>
    <w:rsid w:val="009B05C7"/>
    <w:rsid w:val="009B288E"/>
    <w:rsid w:val="009B3389"/>
    <w:rsid w:val="009B6D43"/>
    <w:rsid w:val="009B70B5"/>
    <w:rsid w:val="009C1B3E"/>
    <w:rsid w:val="009C1DD6"/>
    <w:rsid w:val="009C228F"/>
    <w:rsid w:val="009C26A4"/>
    <w:rsid w:val="009C455B"/>
    <w:rsid w:val="009D0C39"/>
    <w:rsid w:val="009D203A"/>
    <w:rsid w:val="009D360C"/>
    <w:rsid w:val="009D36CD"/>
    <w:rsid w:val="009D409B"/>
    <w:rsid w:val="009D5100"/>
    <w:rsid w:val="009E1316"/>
    <w:rsid w:val="009E255C"/>
    <w:rsid w:val="009E25E3"/>
    <w:rsid w:val="009E4779"/>
    <w:rsid w:val="009E5E0A"/>
    <w:rsid w:val="009E6516"/>
    <w:rsid w:val="009F330D"/>
    <w:rsid w:val="009F3B1C"/>
    <w:rsid w:val="009F4D97"/>
    <w:rsid w:val="009F5AEE"/>
    <w:rsid w:val="009F776C"/>
    <w:rsid w:val="00A02EEC"/>
    <w:rsid w:val="00A037E2"/>
    <w:rsid w:val="00A050A1"/>
    <w:rsid w:val="00A079D2"/>
    <w:rsid w:val="00A10EF8"/>
    <w:rsid w:val="00A12256"/>
    <w:rsid w:val="00A14A51"/>
    <w:rsid w:val="00A220AD"/>
    <w:rsid w:val="00A23BA1"/>
    <w:rsid w:val="00A25410"/>
    <w:rsid w:val="00A25499"/>
    <w:rsid w:val="00A25C66"/>
    <w:rsid w:val="00A2636C"/>
    <w:rsid w:val="00A27014"/>
    <w:rsid w:val="00A305A7"/>
    <w:rsid w:val="00A31466"/>
    <w:rsid w:val="00A314F7"/>
    <w:rsid w:val="00A36776"/>
    <w:rsid w:val="00A3743F"/>
    <w:rsid w:val="00A37C7A"/>
    <w:rsid w:val="00A41017"/>
    <w:rsid w:val="00A421D2"/>
    <w:rsid w:val="00A437D8"/>
    <w:rsid w:val="00A448F0"/>
    <w:rsid w:val="00A454FD"/>
    <w:rsid w:val="00A4685B"/>
    <w:rsid w:val="00A47CCF"/>
    <w:rsid w:val="00A52B4E"/>
    <w:rsid w:val="00A552FB"/>
    <w:rsid w:val="00A57509"/>
    <w:rsid w:val="00A62B86"/>
    <w:rsid w:val="00A65CCE"/>
    <w:rsid w:val="00A65D1A"/>
    <w:rsid w:val="00A67812"/>
    <w:rsid w:val="00A706C7"/>
    <w:rsid w:val="00A70B33"/>
    <w:rsid w:val="00A7195D"/>
    <w:rsid w:val="00A7391A"/>
    <w:rsid w:val="00A73E21"/>
    <w:rsid w:val="00A746D4"/>
    <w:rsid w:val="00A76131"/>
    <w:rsid w:val="00A80F92"/>
    <w:rsid w:val="00A81F2D"/>
    <w:rsid w:val="00A82E37"/>
    <w:rsid w:val="00A83AEC"/>
    <w:rsid w:val="00A84918"/>
    <w:rsid w:val="00A85760"/>
    <w:rsid w:val="00A86A53"/>
    <w:rsid w:val="00A91798"/>
    <w:rsid w:val="00A917BB"/>
    <w:rsid w:val="00A93141"/>
    <w:rsid w:val="00A93242"/>
    <w:rsid w:val="00A93A79"/>
    <w:rsid w:val="00A93CF3"/>
    <w:rsid w:val="00A94315"/>
    <w:rsid w:val="00A94E2D"/>
    <w:rsid w:val="00A9548A"/>
    <w:rsid w:val="00AA012A"/>
    <w:rsid w:val="00AA167B"/>
    <w:rsid w:val="00AA4ABB"/>
    <w:rsid w:val="00AA5110"/>
    <w:rsid w:val="00AA71D8"/>
    <w:rsid w:val="00AB04CC"/>
    <w:rsid w:val="00AB08CD"/>
    <w:rsid w:val="00AB0E2B"/>
    <w:rsid w:val="00AB23A5"/>
    <w:rsid w:val="00AB25A8"/>
    <w:rsid w:val="00AB4597"/>
    <w:rsid w:val="00AB4BB7"/>
    <w:rsid w:val="00AB6F2A"/>
    <w:rsid w:val="00AB709C"/>
    <w:rsid w:val="00AB7741"/>
    <w:rsid w:val="00AC302C"/>
    <w:rsid w:val="00AC4849"/>
    <w:rsid w:val="00AC491D"/>
    <w:rsid w:val="00AD2168"/>
    <w:rsid w:val="00AD3435"/>
    <w:rsid w:val="00AD584E"/>
    <w:rsid w:val="00AD6EB8"/>
    <w:rsid w:val="00AE23C8"/>
    <w:rsid w:val="00AE26F3"/>
    <w:rsid w:val="00AE6A21"/>
    <w:rsid w:val="00AE70F3"/>
    <w:rsid w:val="00AF3311"/>
    <w:rsid w:val="00AF356B"/>
    <w:rsid w:val="00AF7AA4"/>
    <w:rsid w:val="00B01CBE"/>
    <w:rsid w:val="00B02A4D"/>
    <w:rsid w:val="00B02AB6"/>
    <w:rsid w:val="00B02AFC"/>
    <w:rsid w:val="00B04643"/>
    <w:rsid w:val="00B0710E"/>
    <w:rsid w:val="00B07168"/>
    <w:rsid w:val="00B10F8B"/>
    <w:rsid w:val="00B1169E"/>
    <w:rsid w:val="00B12050"/>
    <w:rsid w:val="00B13F1B"/>
    <w:rsid w:val="00B140F9"/>
    <w:rsid w:val="00B17A5F"/>
    <w:rsid w:val="00B20825"/>
    <w:rsid w:val="00B234D7"/>
    <w:rsid w:val="00B235BA"/>
    <w:rsid w:val="00B24FBF"/>
    <w:rsid w:val="00B308EE"/>
    <w:rsid w:val="00B30D7F"/>
    <w:rsid w:val="00B311AB"/>
    <w:rsid w:val="00B311EF"/>
    <w:rsid w:val="00B3471B"/>
    <w:rsid w:val="00B359C2"/>
    <w:rsid w:val="00B403BA"/>
    <w:rsid w:val="00B42B10"/>
    <w:rsid w:val="00B433A2"/>
    <w:rsid w:val="00B434AC"/>
    <w:rsid w:val="00B44E61"/>
    <w:rsid w:val="00B47351"/>
    <w:rsid w:val="00B473E2"/>
    <w:rsid w:val="00B51C17"/>
    <w:rsid w:val="00B51DFD"/>
    <w:rsid w:val="00B52EED"/>
    <w:rsid w:val="00B52FB0"/>
    <w:rsid w:val="00B5325F"/>
    <w:rsid w:val="00B5350E"/>
    <w:rsid w:val="00B53926"/>
    <w:rsid w:val="00B53F6A"/>
    <w:rsid w:val="00B5616C"/>
    <w:rsid w:val="00B56755"/>
    <w:rsid w:val="00B5675F"/>
    <w:rsid w:val="00B57D39"/>
    <w:rsid w:val="00B57DD8"/>
    <w:rsid w:val="00B64011"/>
    <w:rsid w:val="00B64857"/>
    <w:rsid w:val="00B6506A"/>
    <w:rsid w:val="00B71444"/>
    <w:rsid w:val="00B719F1"/>
    <w:rsid w:val="00B75314"/>
    <w:rsid w:val="00B756AA"/>
    <w:rsid w:val="00B75877"/>
    <w:rsid w:val="00B7590A"/>
    <w:rsid w:val="00B8315C"/>
    <w:rsid w:val="00B83AFA"/>
    <w:rsid w:val="00B87265"/>
    <w:rsid w:val="00B90B86"/>
    <w:rsid w:val="00B91134"/>
    <w:rsid w:val="00B92EB0"/>
    <w:rsid w:val="00B9382A"/>
    <w:rsid w:val="00B942CA"/>
    <w:rsid w:val="00B96232"/>
    <w:rsid w:val="00BA1B54"/>
    <w:rsid w:val="00BA2AA2"/>
    <w:rsid w:val="00BA59F6"/>
    <w:rsid w:val="00BA69C4"/>
    <w:rsid w:val="00BA6B58"/>
    <w:rsid w:val="00BA7FE5"/>
    <w:rsid w:val="00BB1120"/>
    <w:rsid w:val="00BB2B0F"/>
    <w:rsid w:val="00BB3388"/>
    <w:rsid w:val="00BB3D68"/>
    <w:rsid w:val="00BB42DE"/>
    <w:rsid w:val="00BB48EA"/>
    <w:rsid w:val="00BB6218"/>
    <w:rsid w:val="00BB722A"/>
    <w:rsid w:val="00BC1A6E"/>
    <w:rsid w:val="00BC1AA5"/>
    <w:rsid w:val="00BC49C8"/>
    <w:rsid w:val="00BC4F87"/>
    <w:rsid w:val="00BC5E6A"/>
    <w:rsid w:val="00BC6222"/>
    <w:rsid w:val="00BC6959"/>
    <w:rsid w:val="00BC7200"/>
    <w:rsid w:val="00BD01EC"/>
    <w:rsid w:val="00BD06B6"/>
    <w:rsid w:val="00BD0B8B"/>
    <w:rsid w:val="00BD2240"/>
    <w:rsid w:val="00BD332F"/>
    <w:rsid w:val="00BD39A4"/>
    <w:rsid w:val="00BD4584"/>
    <w:rsid w:val="00BD51B9"/>
    <w:rsid w:val="00BD62E5"/>
    <w:rsid w:val="00BD7416"/>
    <w:rsid w:val="00BE119A"/>
    <w:rsid w:val="00BE1976"/>
    <w:rsid w:val="00BE2621"/>
    <w:rsid w:val="00BE4388"/>
    <w:rsid w:val="00BE63F3"/>
    <w:rsid w:val="00BE6946"/>
    <w:rsid w:val="00BE6FB6"/>
    <w:rsid w:val="00BF1348"/>
    <w:rsid w:val="00BF2D86"/>
    <w:rsid w:val="00BF36F6"/>
    <w:rsid w:val="00BF3EEA"/>
    <w:rsid w:val="00BF4B5B"/>
    <w:rsid w:val="00BF60F0"/>
    <w:rsid w:val="00BF65A8"/>
    <w:rsid w:val="00BF7207"/>
    <w:rsid w:val="00C01BC2"/>
    <w:rsid w:val="00C020D5"/>
    <w:rsid w:val="00C023A4"/>
    <w:rsid w:val="00C06969"/>
    <w:rsid w:val="00C07278"/>
    <w:rsid w:val="00C12E70"/>
    <w:rsid w:val="00C12F87"/>
    <w:rsid w:val="00C13C07"/>
    <w:rsid w:val="00C14564"/>
    <w:rsid w:val="00C150EE"/>
    <w:rsid w:val="00C156F3"/>
    <w:rsid w:val="00C17C16"/>
    <w:rsid w:val="00C225B4"/>
    <w:rsid w:val="00C2262F"/>
    <w:rsid w:val="00C302B9"/>
    <w:rsid w:val="00C30444"/>
    <w:rsid w:val="00C31E93"/>
    <w:rsid w:val="00C37D7B"/>
    <w:rsid w:val="00C4055A"/>
    <w:rsid w:val="00C40589"/>
    <w:rsid w:val="00C41471"/>
    <w:rsid w:val="00C41998"/>
    <w:rsid w:val="00C429B3"/>
    <w:rsid w:val="00C4323E"/>
    <w:rsid w:val="00C46887"/>
    <w:rsid w:val="00C46E94"/>
    <w:rsid w:val="00C47D16"/>
    <w:rsid w:val="00C507A8"/>
    <w:rsid w:val="00C52826"/>
    <w:rsid w:val="00C53A1E"/>
    <w:rsid w:val="00C54C15"/>
    <w:rsid w:val="00C55085"/>
    <w:rsid w:val="00C557EE"/>
    <w:rsid w:val="00C5627D"/>
    <w:rsid w:val="00C57B77"/>
    <w:rsid w:val="00C60C06"/>
    <w:rsid w:val="00C622D1"/>
    <w:rsid w:val="00C630B1"/>
    <w:rsid w:val="00C65FB3"/>
    <w:rsid w:val="00C661D4"/>
    <w:rsid w:val="00C70844"/>
    <w:rsid w:val="00C71CC7"/>
    <w:rsid w:val="00C75A9B"/>
    <w:rsid w:val="00C7674E"/>
    <w:rsid w:val="00C76CF7"/>
    <w:rsid w:val="00C800CC"/>
    <w:rsid w:val="00C8187B"/>
    <w:rsid w:val="00C81AAF"/>
    <w:rsid w:val="00C81D9B"/>
    <w:rsid w:val="00C83AE2"/>
    <w:rsid w:val="00C841ED"/>
    <w:rsid w:val="00C85E25"/>
    <w:rsid w:val="00C91B47"/>
    <w:rsid w:val="00C92E77"/>
    <w:rsid w:val="00C935F5"/>
    <w:rsid w:val="00C953CF"/>
    <w:rsid w:val="00C954A6"/>
    <w:rsid w:val="00C9671D"/>
    <w:rsid w:val="00CA0D97"/>
    <w:rsid w:val="00CA14AF"/>
    <w:rsid w:val="00CA3274"/>
    <w:rsid w:val="00CA415D"/>
    <w:rsid w:val="00CA482F"/>
    <w:rsid w:val="00CA5166"/>
    <w:rsid w:val="00CA6D7F"/>
    <w:rsid w:val="00CB1F2E"/>
    <w:rsid w:val="00CB2DD0"/>
    <w:rsid w:val="00CC35AB"/>
    <w:rsid w:val="00CC4A97"/>
    <w:rsid w:val="00CD286C"/>
    <w:rsid w:val="00CD4437"/>
    <w:rsid w:val="00CD4998"/>
    <w:rsid w:val="00CD4C28"/>
    <w:rsid w:val="00CD589F"/>
    <w:rsid w:val="00CD5ACC"/>
    <w:rsid w:val="00CE0E38"/>
    <w:rsid w:val="00CE2E91"/>
    <w:rsid w:val="00CE3E79"/>
    <w:rsid w:val="00CE555B"/>
    <w:rsid w:val="00CE5EEC"/>
    <w:rsid w:val="00CE6FE8"/>
    <w:rsid w:val="00CF0897"/>
    <w:rsid w:val="00CF157A"/>
    <w:rsid w:val="00CF15AE"/>
    <w:rsid w:val="00CF1702"/>
    <w:rsid w:val="00CF1C08"/>
    <w:rsid w:val="00CF24B1"/>
    <w:rsid w:val="00CF25D4"/>
    <w:rsid w:val="00CF5DA3"/>
    <w:rsid w:val="00CF5EA7"/>
    <w:rsid w:val="00CF5EBC"/>
    <w:rsid w:val="00D00DB1"/>
    <w:rsid w:val="00D0231F"/>
    <w:rsid w:val="00D0293F"/>
    <w:rsid w:val="00D02D01"/>
    <w:rsid w:val="00D056F0"/>
    <w:rsid w:val="00D05DA5"/>
    <w:rsid w:val="00D05F62"/>
    <w:rsid w:val="00D06860"/>
    <w:rsid w:val="00D103E9"/>
    <w:rsid w:val="00D112C1"/>
    <w:rsid w:val="00D1157D"/>
    <w:rsid w:val="00D11BFA"/>
    <w:rsid w:val="00D11DB3"/>
    <w:rsid w:val="00D11E71"/>
    <w:rsid w:val="00D13363"/>
    <w:rsid w:val="00D1401A"/>
    <w:rsid w:val="00D141EC"/>
    <w:rsid w:val="00D1467B"/>
    <w:rsid w:val="00D22058"/>
    <w:rsid w:val="00D225C6"/>
    <w:rsid w:val="00D2294A"/>
    <w:rsid w:val="00D244EA"/>
    <w:rsid w:val="00D36F0F"/>
    <w:rsid w:val="00D37414"/>
    <w:rsid w:val="00D37677"/>
    <w:rsid w:val="00D3794E"/>
    <w:rsid w:val="00D411F4"/>
    <w:rsid w:val="00D44FE9"/>
    <w:rsid w:val="00D46BD2"/>
    <w:rsid w:val="00D5018F"/>
    <w:rsid w:val="00D502E0"/>
    <w:rsid w:val="00D53156"/>
    <w:rsid w:val="00D54450"/>
    <w:rsid w:val="00D555CB"/>
    <w:rsid w:val="00D55902"/>
    <w:rsid w:val="00D55A8F"/>
    <w:rsid w:val="00D57EEA"/>
    <w:rsid w:val="00D619D3"/>
    <w:rsid w:val="00D654EE"/>
    <w:rsid w:val="00D7096E"/>
    <w:rsid w:val="00D70DA1"/>
    <w:rsid w:val="00D71835"/>
    <w:rsid w:val="00D718C8"/>
    <w:rsid w:val="00D7198B"/>
    <w:rsid w:val="00D81B5A"/>
    <w:rsid w:val="00D825AD"/>
    <w:rsid w:val="00D833B1"/>
    <w:rsid w:val="00D84102"/>
    <w:rsid w:val="00D84E2C"/>
    <w:rsid w:val="00D871B3"/>
    <w:rsid w:val="00D87DE6"/>
    <w:rsid w:val="00D913B7"/>
    <w:rsid w:val="00D91FF8"/>
    <w:rsid w:val="00D93298"/>
    <w:rsid w:val="00D9338B"/>
    <w:rsid w:val="00DA3124"/>
    <w:rsid w:val="00DA3FEC"/>
    <w:rsid w:val="00DA4C47"/>
    <w:rsid w:val="00DA78C6"/>
    <w:rsid w:val="00DB0225"/>
    <w:rsid w:val="00DB0786"/>
    <w:rsid w:val="00DB12B7"/>
    <w:rsid w:val="00DB2E96"/>
    <w:rsid w:val="00DB3997"/>
    <w:rsid w:val="00DB3DE9"/>
    <w:rsid w:val="00DB3EEB"/>
    <w:rsid w:val="00DB482C"/>
    <w:rsid w:val="00DB4AFA"/>
    <w:rsid w:val="00DB4D83"/>
    <w:rsid w:val="00DB62D8"/>
    <w:rsid w:val="00DB655E"/>
    <w:rsid w:val="00DB6A1F"/>
    <w:rsid w:val="00DB7B7F"/>
    <w:rsid w:val="00DC07BC"/>
    <w:rsid w:val="00DC149A"/>
    <w:rsid w:val="00DC2069"/>
    <w:rsid w:val="00DC2CCD"/>
    <w:rsid w:val="00DC3117"/>
    <w:rsid w:val="00DC50DD"/>
    <w:rsid w:val="00DC529E"/>
    <w:rsid w:val="00DC6A8E"/>
    <w:rsid w:val="00DD1941"/>
    <w:rsid w:val="00DD1FB3"/>
    <w:rsid w:val="00DD3343"/>
    <w:rsid w:val="00DD4532"/>
    <w:rsid w:val="00DD57B5"/>
    <w:rsid w:val="00DD599F"/>
    <w:rsid w:val="00DD7141"/>
    <w:rsid w:val="00DD79C6"/>
    <w:rsid w:val="00DE0684"/>
    <w:rsid w:val="00DE22C2"/>
    <w:rsid w:val="00DE2C89"/>
    <w:rsid w:val="00DE2F99"/>
    <w:rsid w:val="00DE47DE"/>
    <w:rsid w:val="00DE4FCC"/>
    <w:rsid w:val="00DE77DF"/>
    <w:rsid w:val="00DF0A8C"/>
    <w:rsid w:val="00DF1086"/>
    <w:rsid w:val="00DF3836"/>
    <w:rsid w:val="00DF4488"/>
    <w:rsid w:val="00DF4F07"/>
    <w:rsid w:val="00DF5766"/>
    <w:rsid w:val="00DF5943"/>
    <w:rsid w:val="00DF5B4D"/>
    <w:rsid w:val="00DF7426"/>
    <w:rsid w:val="00E00A5E"/>
    <w:rsid w:val="00E01562"/>
    <w:rsid w:val="00E02738"/>
    <w:rsid w:val="00E04448"/>
    <w:rsid w:val="00E05EA7"/>
    <w:rsid w:val="00E0781F"/>
    <w:rsid w:val="00E1051C"/>
    <w:rsid w:val="00E1164D"/>
    <w:rsid w:val="00E163E4"/>
    <w:rsid w:val="00E204B5"/>
    <w:rsid w:val="00E21B0D"/>
    <w:rsid w:val="00E21C17"/>
    <w:rsid w:val="00E23E1E"/>
    <w:rsid w:val="00E24053"/>
    <w:rsid w:val="00E24562"/>
    <w:rsid w:val="00E247FD"/>
    <w:rsid w:val="00E2498C"/>
    <w:rsid w:val="00E27B7C"/>
    <w:rsid w:val="00E27DC6"/>
    <w:rsid w:val="00E310F4"/>
    <w:rsid w:val="00E338BB"/>
    <w:rsid w:val="00E34F0C"/>
    <w:rsid w:val="00E35257"/>
    <w:rsid w:val="00E357A4"/>
    <w:rsid w:val="00E36A5D"/>
    <w:rsid w:val="00E37AC3"/>
    <w:rsid w:val="00E37E70"/>
    <w:rsid w:val="00E4034C"/>
    <w:rsid w:val="00E415C4"/>
    <w:rsid w:val="00E42233"/>
    <w:rsid w:val="00E42920"/>
    <w:rsid w:val="00E42C8D"/>
    <w:rsid w:val="00E43342"/>
    <w:rsid w:val="00E4350A"/>
    <w:rsid w:val="00E438AA"/>
    <w:rsid w:val="00E443DA"/>
    <w:rsid w:val="00E448EC"/>
    <w:rsid w:val="00E47299"/>
    <w:rsid w:val="00E5053A"/>
    <w:rsid w:val="00E51292"/>
    <w:rsid w:val="00E51F8F"/>
    <w:rsid w:val="00E51FF0"/>
    <w:rsid w:val="00E528F4"/>
    <w:rsid w:val="00E566F6"/>
    <w:rsid w:val="00E56CDC"/>
    <w:rsid w:val="00E57136"/>
    <w:rsid w:val="00E57DB2"/>
    <w:rsid w:val="00E6301B"/>
    <w:rsid w:val="00E63F96"/>
    <w:rsid w:val="00E64E33"/>
    <w:rsid w:val="00E65028"/>
    <w:rsid w:val="00E65F03"/>
    <w:rsid w:val="00E6617A"/>
    <w:rsid w:val="00E66CBE"/>
    <w:rsid w:val="00E66D72"/>
    <w:rsid w:val="00E70792"/>
    <w:rsid w:val="00E70C37"/>
    <w:rsid w:val="00E717D3"/>
    <w:rsid w:val="00E75E12"/>
    <w:rsid w:val="00E7635E"/>
    <w:rsid w:val="00E7719D"/>
    <w:rsid w:val="00E7796C"/>
    <w:rsid w:val="00E817E0"/>
    <w:rsid w:val="00E82544"/>
    <w:rsid w:val="00E84242"/>
    <w:rsid w:val="00E8437C"/>
    <w:rsid w:val="00E858BC"/>
    <w:rsid w:val="00E85A32"/>
    <w:rsid w:val="00E85E6F"/>
    <w:rsid w:val="00E873A3"/>
    <w:rsid w:val="00E90885"/>
    <w:rsid w:val="00E91868"/>
    <w:rsid w:val="00E91BD9"/>
    <w:rsid w:val="00E92686"/>
    <w:rsid w:val="00E92D3F"/>
    <w:rsid w:val="00E93B7F"/>
    <w:rsid w:val="00EA0EBE"/>
    <w:rsid w:val="00EA210F"/>
    <w:rsid w:val="00EA4E25"/>
    <w:rsid w:val="00EA5912"/>
    <w:rsid w:val="00EA5A50"/>
    <w:rsid w:val="00EA768F"/>
    <w:rsid w:val="00EB0A19"/>
    <w:rsid w:val="00EB10C6"/>
    <w:rsid w:val="00EB4345"/>
    <w:rsid w:val="00EB6561"/>
    <w:rsid w:val="00EB6827"/>
    <w:rsid w:val="00EC0475"/>
    <w:rsid w:val="00EC15B1"/>
    <w:rsid w:val="00ED0565"/>
    <w:rsid w:val="00ED1BDB"/>
    <w:rsid w:val="00ED2369"/>
    <w:rsid w:val="00ED5B7D"/>
    <w:rsid w:val="00EE1900"/>
    <w:rsid w:val="00EE1D30"/>
    <w:rsid w:val="00EE2036"/>
    <w:rsid w:val="00EE32D4"/>
    <w:rsid w:val="00EE33BC"/>
    <w:rsid w:val="00EE4415"/>
    <w:rsid w:val="00EE6D91"/>
    <w:rsid w:val="00EE78D8"/>
    <w:rsid w:val="00EF0B7E"/>
    <w:rsid w:val="00EF27B2"/>
    <w:rsid w:val="00EF3E75"/>
    <w:rsid w:val="00EF5AD8"/>
    <w:rsid w:val="00EF6711"/>
    <w:rsid w:val="00F002B5"/>
    <w:rsid w:val="00F005B9"/>
    <w:rsid w:val="00F00AF5"/>
    <w:rsid w:val="00F01307"/>
    <w:rsid w:val="00F04832"/>
    <w:rsid w:val="00F04A0E"/>
    <w:rsid w:val="00F04A3E"/>
    <w:rsid w:val="00F066D9"/>
    <w:rsid w:val="00F06872"/>
    <w:rsid w:val="00F1114A"/>
    <w:rsid w:val="00F116F2"/>
    <w:rsid w:val="00F11826"/>
    <w:rsid w:val="00F124FD"/>
    <w:rsid w:val="00F1318F"/>
    <w:rsid w:val="00F13E02"/>
    <w:rsid w:val="00F20B19"/>
    <w:rsid w:val="00F23696"/>
    <w:rsid w:val="00F240B7"/>
    <w:rsid w:val="00F2539B"/>
    <w:rsid w:val="00F25628"/>
    <w:rsid w:val="00F25A1C"/>
    <w:rsid w:val="00F264F5"/>
    <w:rsid w:val="00F267E2"/>
    <w:rsid w:val="00F310EC"/>
    <w:rsid w:val="00F41E56"/>
    <w:rsid w:val="00F429A6"/>
    <w:rsid w:val="00F42BD9"/>
    <w:rsid w:val="00F430BD"/>
    <w:rsid w:val="00F44946"/>
    <w:rsid w:val="00F47489"/>
    <w:rsid w:val="00F50C61"/>
    <w:rsid w:val="00F51E50"/>
    <w:rsid w:val="00F539BA"/>
    <w:rsid w:val="00F56B8C"/>
    <w:rsid w:val="00F5726A"/>
    <w:rsid w:val="00F57925"/>
    <w:rsid w:val="00F60320"/>
    <w:rsid w:val="00F616A0"/>
    <w:rsid w:val="00F63FE0"/>
    <w:rsid w:val="00F647C1"/>
    <w:rsid w:val="00F6644A"/>
    <w:rsid w:val="00F70279"/>
    <w:rsid w:val="00F73457"/>
    <w:rsid w:val="00F774C2"/>
    <w:rsid w:val="00F77CC9"/>
    <w:rsid w:val="00F80501"/>
    <w:rsid w:val="00F8076B"/>
    <w:rsid w:val="00F85B98"/>
    <w:rsid w:val="00F86EDE"/>
    <w:rsid w:val="00F9075E"/>
    <w:rsid w:val="00F9115F"/>
    <w:rsid w:val="00F9260C"/>
    <w:rsid w:val="00F955C8"/>
    <w:rsid w:val="00FA0464"/>
    <w:rsid w:val="00FA1061"/>
    <w:rsid w:val="00FA1379"/>
    <w:rsid w:val="00FA25DF"/>
    <w:rsid w:val="00FA2A3E"/>
    <w:rsid w:val="00FA2ED2"/>
    <w:rsid w:val="00FA6D12"/>
    <w:rsid w:val="00FA76BB"/>
    <w:rsid w:val="00FA7D51"/>
    <w:rsid w:val="00FB0962"/>
    <w:rsid w:val="00FB6969"/>
    <w:rsid w:val="00FC0313"/>
    <w:rsid w:val="00FC24C6"/>
    <w:rsid w:val="00FC295B"/>
    <w:rsid w:val="00FC52EE"/>
    <w:rsid w:val="00FC57C2"/>
    <w:rsid w:val="00FC6559"/>
    <w:rsid w:val="00FD094A"/>
    <w:rsid w:val="00FD0A5E"/>
    <w:rsid w:val="00FD1023"/>
    <w:rsid w:val="00FD14F9"/>
    <w:rsid w:val="00FD18C8"/>
    <w:rsid w:val="00FD22C8"/>
    <w:rsid w:val="00FD44B6"/>
    <w:rsid w:val="00FD4E3A"/>
    <w:rsid w:val="00FD5008"/>
    <w:rsid w:val="00FD6EB1"/>
    <w:rsid w:val="00FE0619"/>
    <w:rsid w:val="00FE143B"/>
    <w:rsid w:val="00FE550E"/>
    <w:rsid w:val="00FE5941"/>
    <w:rsid w:val="00FE6015"/>
    <w:rsid w:val="00FE6ABB"/>
    <w:rsid w:val="00FE6C3C"/>
    <w:rsid w:val="00FE7021"/>
    <w:rsid w:val="00FF4902"/>
    <w:rsid w:val="00FF4F5F"/>
    <w:rsid w:val="01BC094F"/>
    <w:rsid w:val="05552FF8"/>
    <w:rsid w:val="08061B81"/>
    <w:rsid w:val="0992356F"/>
    <w:rsid w:val="0C5B4676"/>
    <w:rsid w:val="0C7B6167"/>
    <w:rsid w:val="0D5C1B13"/>
    <w:rsid w:val="0DA5089B"/>
    <w:rsid w:val="0E3208E1"/>
    <w:rsid w:val="0EC03831"/>
    <w:rsid w:val="0FEC0996"/>
    <w:rsid w:val="100B53C9"/>
    <w:rsid w:val="11C421FA"/>
    <w:rsid w:val="1412620E"/>
    <w:rsid w:val="14DE58BA"/>
    <w:rsid w:val="151F4B19"/>
    <w:rsid w:val="15D07EE9"/>
    <w:rsid w:val="16CB1E6E"/>
    <w:rsid w:val="1810246E"/>
    <w:rsid w:val="1BDC7BC0"/>
    <w:rsid w:val="1E690CE7"/>
    <w:rsid w:val="1FF87E76"/>
    <w:rsid w:val="20A25A2F"/>
    <w:rsid w:val="2533755C"/>
    <w:rsid w:val="25F65AFD"/>
    <w:rsid w:val="274A68D8"/>
    <w:rsid w:val="27EC649B"/>
    <w:rsid w:val="27F73FD0"/>
    <w:rsid w:val="2816777A"/>
    <w:rsid w:val="282D0BDB"/>
    <w:rsid w:val="29366CA9"/>
    <w:rsid w:val="2A62257A"/>
    <w:rsid w:val="2BAC491A"/>
    <w:rsid w:val="2D8606CF"/>
    <w:rsid w:val="33B64ADE"/>
    <w:rsid w:val="33E422E0"/>
    <w:rsid w:val="343243E8"/>
    <w:rsid w:val="35AD1584"/>
    <w:rsid w:val="37935938"/>
    <w:rsid w:val="39C75329"/>
    <w:rsid w:val="3A425663"/>
    <w:rsid w:val="3A891719"/>
    <w:rsid w:val="3B1D20C1"/>
    <w:rsid w:val="3C7877BC"/>
    <w:rsid w:val="3D0A6621"/>
    <w:rsid w:val="3F59485D"/>
    <w:rsid w:val="41041214"/>
    <w:rsid w:val="41781AFB"/>
    <w:rsid w:val="421E2927"/>
    <w:rsid w:val="42C745C1"/>
    <w:rsid w:val="42D823EF"/>
    <w:rsid w:val="433272A7"/>
    <w:rsid w:val="44302457"/>
    <w:rsid w:val="462B19A8"/>
    <w:rsid w:val="48DC64FA"/>
    <w:rsid w:val="491F05E5"/>
    <w:rsid w:val="49907954"/>
    <w:rsid w:val="4DA02303"/>
    <w:rsid w:val="4E6364D6"/>
    <w:rsid w:val="4E9B673A"/>
    <w:rsid w:val="55AD49B3"/>
    <w:rsid w:val="596B7C42"/>
    <w:rsid w:val="59E25DD4"/>
    <w:rsid w:val="5A6326B9"/>
    <w:rsid w:val="5C671F88"/>
    <w:rsid w:val="5D3A70EE"/>
    <w:rsid w:val="5E203E1A"/>
    <w:rsid w:val="5E39312E"/>
    <w:rsid w:val="5E3E3B17"/>
    <w:rsid w:val="5FCB419B"/>
    <w:rsid w:val="60EC760A"/>
    <w:rsid w:val="62FB2C69"/>
    <w:rsid w:val="63D32B4A"/>
    <w:rsid w:val="63E07B4E"/>
    <w:rsid w:val="64B653F3"/>
    <w:rsid w:val="661A50CA"/>
    <w:rsid w:val="669A0E7C"/>
    <w:rsid w:val="66BA1E66"/>
    <w:rsid w:val="693C6DF1"/>
    <w:rsid w:val="6ACB22C2"/>
    <w:rsid w:val="6D1F199E"/>
    <w:rsid w:val="6D8530F6"/>
    <w:rsid w:val="6F912572"/>
    <w:rsid w:val="6FCE3772"/>
    <w:rsid w:val="708E1DDC"/>
    <w:rsid w:val="73493046"/>
    <w:rsid w:val="73582E06"/>
    <w:rsid w:val="73B11409"/>
    <w:rsid w:val="74586227"/>
    <w:rsid w:val="74A57F17"/>
    <w:rsid w:val="75BF2775"/>
    <w:rsid w:val="76B0666B"/>
    <w:rsid w:val="773525E0"/>
    <w:rsid w:val="776F7B60"/>
    <w:rsid w:val="79DC674C"/>
    <w:rsid w:val="7BFF517E"/>
    <w:rsid w:val="7CFC5F8D"/>
    <w:rsid w:val="7D9B767B"/>
    <w:rsid w:val="7E78664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exact"/>
      <w:ind w:firstLine="200" w:firstLineChars="200"/>
    </w:pPr>
    <w:rPr>
      <w:rFonts w:ascii="Times New Roman" w:hAnsi="Times New Roman" w:eastAsia="仿宋_GB2312" w:cs="Times New Roman"/>
      <w:kern w:val="2"/>
      <w:sz w:val="32"/>
      <w:szCs w:val="24"/>
      <w:lang w:val="en-US" w:eastAsia="zh-CN" w:bidi="ar-SA"/>
    </w:rPr>
  </w:style>
  <w:style w:type="paragraph" w:styleId="7">
    <w:name w:val="heading 1"/>
    <w:basedOn w:val="1"/>
    <w:next w:val="1"/>
    <w:link w:val="37"/>
    <w:qFormat/>
    <w:uiPriority w:val="0"/>
    <w:pPr>
      <w:keepNext/>
      <w:keepLines/>
      <w:ind w:firstLine="0" w:firstLineChars="0"/>
      <w:jc w:val="center"/>
      <w:outlineLvl w:val="0"/>
    </w:pPr>
    <w:rPr>
      <w:rFonts w:ascii="黑体" w:hAnsi="黑体" w:eastAsia="方正小标宋简体"/>
      <w:bCs/>
      <w:kern w:val="44"/>
      <w:sz w:val="44"/>
      <w:szCs w:val="44"/>
    </w:rPr>
  </w:style>
  <w:style w:type="paragraph" w:styleId="8">
    <w:name w:val="heading 2"/>
    <w:basedOn w:val="1"/>
    <w:next w:val="1"/>
    <w:link w:val="38"/>
    <w:qFormat/>
    <w:uiPriority w:val="0"/>
    <w:pPr>
      <w:keepNext/>
      <w:keepLines/>
      <w:ind w:firstLine="0" w:firstLineChars="0"/>
      <w:jc w:val="center"/>
      <w:outlineLvl w:val="1"/>
    </w:pPr>
    <w:rPr>
      <w:rFonts w:ascii="黑体" w:hAnsi="黑体" w:eastAsia="黑体"/>
      <w:bCs/>
      <w:szCs w:val="32"/>
    </w:rPr>
  </w:style>
  <w:style w:type="paragraph" w:styleId="9">
    <w:name w:val="heading 3"/>
    <w:basedOn w:val="1"/>
    <w:next w:val="1"/>
    <w:link w:val="39"/>
    <w:qFormat/>
    <w:uiPriority w:val="0"/>
    <w:pPr>
      <w:keepNext/>
      <w:keepLines/>
      <w:adjustRightInd w:val="0"/>
      <w:ind w:firstLine="0" w:firstLineChars="0"/>
      <w:jc w:val="left"/>
      <w:outlineLvl w:val="2"/>
    </w:pPr>
    <w:rPr>
      <w:rFonts w:eastAsia="楷体_GB2312"/>
      <w:bCs/>
      <w:sz w:val="32"/>
      <w:szCs w:val="32"/>
    </w:rPr>
  </w:style>
  <w:style w:type="paragraph" w:styleId="10">
    <w:name w:val="heading 4"/>
    <w:basedOn w:val="1"/>
    <w:next w:val="1"/>
    <w:qFormat/>
    <w:uiPriority w:val="9"/>
    <w:pPr>
      <w:keepNext/>
      <w:keepLines/>
      <w:spacing w:beforeLines="0" w:beforeAutospacing="0" w:afterLines="0" w:afterAutospacing="0" w:line="560" w:lineRule="exact"/>
      <w:ind w:firstLine="0" w:firstLineChars="0"/>
      <w:outlineLvl w:val="3"/>
    </w:pPr>
    <w:rPr>
      <w:b/>
    </w:rPr>
  </w:style>
  <w:style w:type="paragraph" w:styleId="11">
    <w:name w:val="heading 5"/>
    <w:basedOn w:val="1"/>
    <w:next w:val="1"/>
    <w:qFormat/>
    <w:uiPriority w:val="9"/>
    <w:pPr>
      <w:keepNext/>
      <w:keepLines/>
      <w:spacing w:beforeLines="0" w:beforeAutospacing="0" w:afterLines="0" w:afterAutospacing="0" w:line="560" w:lineRule="exact"/>
      <w:outlineLvl w:val="4"/>
    </w:pPr>
    <w:rPr>
      <w:sz w:val="32"/>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rPr>
      <w:rFonts w:ascii="Times New Roman" w:hAnsi="Times New Roman"/>
    </w:rPr>
  </w:style>
  <w:style w:type="paragraph" w:styleId="3">
    <w:name w:val="Body Text Indent"/>
    <w:basedOn w:val="1"/>
    <w:next w:val="4"/>
    <w:qFormat/>
    <w:uiPriority w:val="0"/>
    <w:pPr>
      <w:adjustRightInd w:val="0"/>
      <w:ind w:firstLine="640" w:firstLineChars="200"/>
    </w:pPr>
  </w:style>
  <w:style w:type="paragraph" w:styleId="4">
    <w:name w:val="envelope return"/>
    <w:basedOn w:val="1"/>
    <w:unhideWhenUsed/>
    <w:qFormat/>
    <w:uiPriority w:val="99"/>
    <w:pPr>
      <w:snapToGrid w:val="0"/>
    </w:pPr>
    <w:rPr>
      <w:rFonts w:ascii="Cambria" w:hAnsi="Cambria"/>
    </w:rPr>
  </w:style>
  <w:style w:type="paragraph" w:styleId="5">
    <w:name w:val="Body Text First Indent"/>
    <w:basedOn w:val="6"/>
    <w:next w:val="2"/>
    <w:qFormat/>
    <w:uiPriority w:val="0"/>
    <w:pPr>
      <w:ind w:firstLine="420" w:firstLineChars="100"/>
    </w:pPr>
  </w:style>
  <w:style w:type="paragraph" w:styleId="6">
    <w:name w:val="Body Text"/>
    <w:basedOn w:val="1"/>
    <w:next w:val="1"/>
    <w:qFormat/>
    <w:uiPriority w:val="0"/>
  </w:style>
  <w:style w:type="paragraph" w:styleId="12">
    <w:name w:val="toc 7"/>
    <w:basedOn w:val="1"/>
    <w:next w:val="1"/>
    <w:unhideWhenUsed/>
    <w:qFormat/>
    <w:uiPriority w:val="39"/>
    <w:pPr>
      <w:ind w:left="1260"/>
      <w:jc w:val="left"/>
    </w:pPr>
    <w:rPr>
      <w:rFonts w:ascii="Calibri" w:hAnsi="Calibri"/>
      <w:sz w:val="18"/>
      <w:szCs w:val="18"/>
    </w:rPr>
  </w:style>
  <w:style w:type="paragraph" w:styleId="13">
    <w:name w:val="Normal Indent"/>
    <w:basedOn w:val="1"/>
    <w:qFormat/>
    <w:uiPriority w:val="0"/>
    <w:pPr>
      <w:ind w:firstLine="0" w:firstLineChars="0"/>
      <w:jc w:val="center"/>
    </w:pPr>
    <w:rPr>
      <w:rFonts w:eastAsia="方正小标宋简体" w:cs="Times New Roman"/>
      <w:sz w:val="44"/>
    </w:rPr>
  </w:style>
  <w:style w:type="paragraph" w:styleId="14">
    <w:name w:val="caption"/>
    <w:next w:val="1"/>
    <w:qFormat/>
    <w:uiPriority w:val="35"/>
    <w:pPr>
      <w:widowControl w:val="0"/>
      <w:jc w:val="both"/>
    </w:pPr>
    <w:rPr>
      <w:rFonts w:ascii="等线 Light" w:hAnsi="等线 Light" w:eastAsia="等线 Light" w:cs="等线 Light"/>
      <w:color w:val="000000"/>
      <w:kern w:val="2"/>
      <w:lang w:val="en-US" w:eastAsia="zh-CN" w:bidi="ar-SA"/>
    </w:rPr>
  </w:style>
  <w:style w:type="paragraph" w:styleId="15">
    <w:name w:val="annotation text"/>
    <w:basedOn w:val="1"/>
    <w:link w:val="40"/>
    <w:unhideWhenUsed/>
    <w:qFormat/>
    <w:uiPriority w:val="99"/>
    <w:pPr>
      <w:jc w:val="left"/>
    </w:pPr>
  </w:style>
  <w:style w:type="paragraph" w:styleId="16">
    <w:name w:val="toc 5"/>
    <w:basedOn w:val="1"/>
    <w:next w:val="1"/>
    <w:unhideWhenUsed/>
    <w:qFormat/>
    <w:uiPriority w:val="39"/>
    <w:pPr>
      <w:ind w:left="840"/>
      <w:jc w:val="left"/>
    </w:pPr>
    <w:rPr>
      <w:rFonts w:ascii="Calibri" w:hAnsi="Calibri"/>
      <w:sz w:val="18"/>
      <w:szCs w:val="18"/>
    </w:rPr>
  </w:style>
  <w:style w:type="paragraph" w:styleId="17">
    <w:name w:val="toc 3"/>
    <w:basedOn w:val="1"/>
    <w:next w:val="1"/>
    <w:unhideWhenUsed/>
    <w:qFormat/>
    <w:uiPriority w:val="39"/>
    <w:pPr>
      <w:ind w:left="420"/>
      <w:jc w:val="left"/>
    </w:pPr>
    <w:rPr>
      <w:rFonts w:ascii="Calibri" w:hAnsi="Calibri"/>
      <w:i/>
      <w:iCs/>
      <w:sz w:val="20"/>
      <w:szCs w:val="20"/>
    </w:rPr>
  </w:style>
  <w:style w:type="paragraph" w:styleId="18">
    <w:name w:val="toc 8"/>
    <w:basedOn w:val="1"/>
    <w:next w:val="1"/>
    <w:unhideWhenUsed/>
    <w:qFormat/>
    <w:uiPriority w:val="39"/>
    <w:pPr>
      <w:ind w:left="1470"/>
      <w:jc w:val="left"/>
    </w:pPr>
    <w:rPr>
      <w:rFonts w:ascii="Calibri" w:hAnsi="Calibri"/>
      <w:sz w:val="18"/>
      <w:szCs w:val="18"/>
    </w:rPr>
  </w:style>
  <w:style w:type="paragraph" w:styleId="19">
    <w:name w:val="Balloon Text"/>
    <w:basedOn w:val="1"/>
    <w:link w:val="41"/>
    <w:unhideWhenUsed/>
    <w:qFormat/>
    <w:uiPriority w:val="99"/>
    <w:rPr>
      <w:sz w:val="18"/>
      <w:szCs w:val="18"/>
    </w:rPr>
  </w:style>
  <w:style w:type="paragraph" w:styleId="20">
    <w:name w:val="footer"/>
    <w:basedOn w:val="1"/>
    <w:link w:val="36"/>
    <w:unhideWhenUsed/>
    <w:qFormat/>
    <w:uiPriority w:val="99"/>
    <w:pPr>
      <w:tabs>
        <w:tab w:val="center" w:pos="4153"/>
        <w:tab w:val="right" w:pos="8306"/>
      </w:tabs>
      <w:snapToGrid w:val="0"/>
      <w:jc w:val="left"/>
    </w:pPr>
    <w:rPr>
      <w:rFonts w:eastAsia="宋体"/>
      <w:sz w:val="28"/>
      <w:szCs w:val="18"/>
    </w:rPr>
  </w:style>
  <w:style w:type="paragraph" w:styleId="21">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tabs>
        <w:tab w:val="right" w:leader="dot" w:pos="10243"/>
      </w:tabs>
      <w:spacing w:before="120" w:after="120" w:line="240" w:lineRule="auto"/>
      <w:ind w:firstLine="0" w:firstLineChars="0"/>
      <w:jc w:val="left"/>
    </w:pPr>
    <w:rPr>
      <w:rFonts w:ascii="Arial" w:hAnsi="Arial" w:eastAsia="黑体"/>
      <w:bCs/>
      <w:caps/>
      <w:sz w:val="20"/>
      <w:szCs w:val="20"/>
    </w:rPr>
  </w:style>
  <w:style w:type="paragraph" w:styleId="23">
    <w:name w:val="toc 4"/>
    <w:basedOn w:val="1"/>
    <w:next w:val="1"/>
    <w:unhideWhenUsed/>
    <w:qFormat/>
    <w:uiPriority w:val="39"/>
    <w:pPr>
      <w:ind w:left="630"/>
      <w:jc w:val="left"/>
    </w:pPr>
    <w:rPr>
      <w:rFonts w:ascii="Calibri" w:hAnsi="Calibri"/>
      <w:sz w:val="18"/>
      <w:szCs w:val="18"/>
    </w:rPr>
  </w:style>
  <w:style w:type="paragraph" w:styleId="24">
    <w:name w:val="toc 6"/>
    <w:basedOn w:val="1"/>
    <w:next w:val="1"/>
    <w:unhideWhenUsed/>
    <w:qFormat/>
    <w:uiPriority w:val="39"/>
    <w:pPr>
      <w:ind w:left="1050"/>
      <w:jc w:val="left"/>
    </w:pPr>
    <w:rPr>
      <w:rFonts w:ascii="Calibri" w:hAnsi="Calibri"/>
      <w:sz w:val="18"/>
      <w:szCs w:val="18"/>
    </w:rPr>
  </w:style>
  <w:style w:type="paragraph" w:styleId="25">
    <w:name w:val="toc 2"/>
    <w:basedOn w:val="1"/>
    <w:next w:val="1"/>
    <w:unhideWhenUsed/>
    <w:qFormat/>
    <w:uiPriority w:val="39"/>
    <w:pPr>
      <w:ind w:left="210"/>
      <w:jc w:val="left"/>
    </w:pPr>
    <w:rPr>
      <w:rFonts w:ascii="Calibri" w:hAnsi="Calibri"/>
      <w:smallCaps/>
      <w:sz w:val="20"/>
      <w:szCs w:val="20"/>
    </w:rPr>
  </w:style>
  <w:style w:type="paragraph" w:styleId="26">
    <w:name w:val="toc 9"/>
    <w:basedOn w:val="1"/>
    <w:next w:val="1"/>
    <w:unhideWhenUsed/>
    <w:qFormat/>
    <w:uiPriority w:val="39"/>
    <w:pPr>
      <w:ind w:left="1680"/>
      <w:jc w:val="left"/>
    </w:pPr>
    <w:rPr>
      <w:rFonts w:ascii="Calibri" w:hAnsi="Calibri"/>
      <w:sz w:val="18"/>
      <w:szCs w:val="18"/>
    </w:rPr>
  </w:style>
  <w:style w:type="paragraph" w:styleId="27">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rPr>
  </w:style>
  <w:style w:type="paragraph" w:styleId="28">
    <w:name w:val="annotation subject"/>
    <w:basedOn w:val="15"/>
    <w:next w:val="15"/>
    <w:link w:val="43"/>
    <w:unhideWhenUsed/>
    <w:qFormat/>
    <w:uiPriority w:val="99"/>
    <w:rPr>
      <w:b/>
      <w:bCs/>
    </w:rPr>
  </w:style>
  <w:style w:type="table" w:styleId="30">
    <w:name w:val="Table Grid"/>
    <w:basedOn w:val="29"/>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page number"/>
    <w:basedOn w:val="31"/>
    <w:qFormat/>
    <w:uiPriority w:val="0"/>
  </w:style>
  <w:style w:type="character" w:styleId="33">
    <w:name w:val="FollowedHyperlink"/>
    <w:unhideWhenUsed/>
    <w:qFormat/>
    <w:uiPriority w:val="99"/>
    <w:rPr>
      <w:color w:val="954F72"/>
      <w:u w:val="single"/>
    </w:rPr>
  </w:style>
  <w:style w:type="character" w:styleId="34">
    <w:name w:val="Hyperlink"/>
    <w:unhideWhenUsed/>
    <w:qFormat/>
    <w:uiPriority w:val="99"/>
    <w:rPr>
      <w:color w:val="0563C1"/>
      <w:u w:val="single"/>
    </w:rPr>
  </w:style>
  <w:style w:type="character" w:styleId="35">
    <w:name w:val="annotation reference"/>
    <w:unhideWhenUsed/>
    <w:qFormat/>
    <w:uiPriority w:val="99"/>
    <w:rPr>
      <w:sz w:val="21"/>
      <w:szCs w:val="21"/>
    </w:rPr>
  </w:style>
  <w:style w:type="character" w:customStyle="1" w:styleId="36">
    <w:name w:val="页脚 字符1"/>
    <w:link w:val="20"/>
    <w:qFormat/>
    <w:uiPriority w:val="99"/>
    <w:rPr>
      <w:rFonts w:ascii="Times New Roman" w:hAnsi="Times New Roman" w:eastAsia="宋体" w:cs="Times New Roman"/>
      <w:sz w:val="28"/>
      <w:szCs w:val="18"/>
    </w:rPr>
  </w:style>
  <w:style w:type="character" w:customStyle="1" w:styleId="37">
    <w:name w:val="标题 1 字符"/>
    <w:link w:val="7"/>
    <w:qFormat/>
    <w:uiPriority w:val="0"/>
    <w:rPr>
      <w:rFonts w:ascii="黑体" w:hAnsi="黑体" w:eastAsia="方正小标宋简体"/>
      <w:bCs/>
      <w:kern w:val="44"/>
      <w:sz w:val="44"/>
      <w:szCs w:val="44"/>
    </w:rPr>
  </w:style>
  <w:style w:type="character" w:customStyle="1" w:styleId="38">
    <w:name w:val="标题 2 字符"/>
    <w:link w:val="8"/>
    <w:qFormat/>
    <w:uiPriority w:val="0"/>
    <w:rPr>
      <w:rFonts w:ascii="黑体" w:hAnsi="黑体" w:eastAsia="黑体"/>
      <w:bCs/>
      <w:kern w:val="2"/>
      <w:sz w:val="32"/>
      <w:szCs w:val="32"/>
    </w:rPr>
  </w:style>
  <w:style w:type="character" w:customStyle="1" w:styleId="39">
    <w:name w:val="标题 3 字符"/>
    <w:link w:val="9"/>
    <w:qFormat/>
    <w:uiPriority w:val="0"/>
    <w:rPr>
      <w:rFonts w:ascii="微软雅黑" w:eastAsia="楷体_GB2312"/>
      <w:bCs/>
      <w:kern w:val="2"/>
      <w:sz w:val="32"/>
      <w:szCs w:val="32"/>
    </w:rPr>
  </w:style>
  <w:style w:type="character" w:customStyle="1" w:styleId="40">
    <w:name w:val="批注文字 字符"/>
    <w:link w:val="15"/>
    <w:qFormat/>
    <w:uiPriority w:val="99"/>
    <w:rPr>
      <w:rFonts w:ascii="Times New Roman" w:hAnsi="Times New Roman"/>
      <w:kern w:val="2"/>
      <w:sz w:val="21"/>
      <w:szCs w:val="24"/>
    </w:rPr>
  </w:style>
  <w:style w:type="character" w:customStyle="1" w:styleId="41">
    <w:name w:val="批注框文本 字符"/>
    <w:link w:val="19"/>
    <w:qFormat/>
    <w:uiPriority w:val="99"/>
    <w:rPr>
      <w:rFonts w:ascii="Times New Roman" w:hAnsi="Times New Roman" w:eastAsia="宋体" w:cs="Times New Roman"/>
      <w:sz w:val="18"/>
      <w:szCs w:val="18"/>
    </w:rPr>
  </w:style>
  <w:style w:type="character" w:customStyle="1" w:styleId="42">
    <w:name w:val="页眉 字符1"/>
    <w:link w:val="21"/>
    <w:qFormat/>
    <w:uiPriority w:val="99"/>
    <w:rPr>
      <w:rFonts w:ascii="Times New Roman" w:hAnsi="Times New Roman" w:eastAsia="宋体" w:cs="Times New Roman"/>
      <w:sz w:val="18"/>
      <w:szCs w:val="18"/>
    </w:rPr>
  </w:style>
  <w:style w:type="character" w:customStyle="1" w:styleId="43">
    <w:name w:val="批注主题 字符"/>
    <w:link w:val="28"/>
    <w:qFormat/>
    <w:uiPriority w:val="99"/>
    <w:rPr>
      <w:rFonts w:ascii="Times New Roman" w:hAnsi="Times New Roman"/>
      <w:b/>
      <w:bCs/>
      <w:kern w:val="2"/>
      <w:sz w:val="21"/>
      <w:szCs w:val="24"/>
    </w:rPr>
  </w:style>
  <w:style w:type="character" w:customStyle="1" w:styleId="44">
    <w:name w:val="font01"/>
    <w:qFormat/>
    <w:uiPriority w:val="0"/>
    <w:rPr>
      <w:rFonts w:hint="eastAsia" w:ascii="宋体" w:hAnsi="宋体" w:eastAsia="宋体" w:cs="宋体"/>
      <w:color w:val="000000"/>
      <w:sz w:val="21"/>
      <w:szCs w:val="21"/>
      <w:u w:val="none"/>
      <w:vertAlign w:val="superscript"/>
    </w:rPr>
  </w:style>
  <w:style w:type="character" w:customStyle="1" w:styleId="45">
    <w:name w:val="页脚 字符"/>
    <w:qFormat/>
    <w:uiPriority w:val="99"/>
    <w:rPr>
      <w:rFonts w:ascii="华文细黑" w:hAnsi="华文细黑" w:eastAsia="华文细黑" w:cs="Times New Roman"/>
      <w:sz w:val="18"/>
      <w:szCs w:val="18"/>
    </w:rPr>
  </w:style>
  <w:style w:type="character" w:customStyle="1" w:styleId="46">
    <w:name w:val="页眉 字符"/>
    <w:qFormat/>
    <w:uiPriority w:val="99"/>
    <w:rPr>
      <w:rFonts w:ascii="华文细黑" w:hAnsi="华文细黑" w:eastAsia="华文细黑" w:cs="Times New Roman"/>
      <w:sz w:val="18"/>
      <w:szCs w:val="18"/>
    </w:rPr>
  </w:style>
  <w:style w:type="character" w:customStyle="1" w:styleId="47">
    <w:name w:val="font11"/>
    <w:qFormat/>
    <w:uiPriority w:val="0"/>
    <w:rPr>
      <w:rFonts w:hint="eastAsia" w:ascii="宋体" w:hAnsi="宋体" w:eastAsia="宋体" w:cs="宋体"/>
      <w:color w:val="000000"/>
      <w:sz w:val="21"/>
      <w:szCs w:val="21"/>
      <w:u w:val="none"/>
    </w:rPr>
  </w:style>
  <w:style w:type="character" w:customStyle="1" w:styleId="48">
    <w:name w:val="第一章 字符"/>
    <w:link w:val="49"/>
    <w:qFormat/>
    <w:uiPriority w:val="0"/>
    <w:rPr>
      <w:rFonts w:ascii="Arial" w:hAnsi="Arial" w:eastAsia="黑体"/>
      <w:b/>
      <w:bCs/>
      <w:color w:val="000000"/>
      <w:kern w:val="44"/>
      <w:sz w:val="32"/>
      <w:szCs w:val="32"/>
    </w:rPr>
  </w:style>
  <w:style w:type="paragraph" w:customStyle="1" w:styleId="49">
    <w:name w:val="第一章"/>
    <w:basedOn w:val="7"/>
    <w:link w:val="48"/>
    <w:qFormat/>
    <w:uiPriority w:val="0"/>
    <w:pPr>
      <w:snapToGrid w:val="0"/>
      <w:jc w:val="center"/>
    </w:pPr>
    <w:rPr>
      <w:rFonts w:ascii="Arial" w:hAnsi="Arial" w:eastAsia="黑体"/>
      <w:color w:val="000000"/>
      <w:sz w:val="32"/>
      <w:szCs w:val="32"/>
    </w:rPr>
  </w:style>
  <w:style w:type="character" w:customStyle="1" w:styleId="50">
    <w:name w:val="标题 3 Char"/>
    <w:semiHidden/>
    <w:qFormat/>
    <w:uiPriority w:val="9"/>
    <w:rPr>
      <w:rFonts w:ascii="Times New Roman" w:hAnsi="Times New Roman" w:eastAsia="宋体" w:cs="Times New Roman"/>
      <w:b/>
      <w:bCs/>
      <w:sz w:val="32"/>
      <w:szCs w:val="32"/>
    </w:rPr>
  </w:style>
  <w:style w:type="character" w:customStyle="1" w:styleId="51">
    <w:name w:val="1.1.1.1 字符"/>
    <w:link w:val="52"/>
    <w:qFormat/>
    <w:uiPriority w:val="0"/>
    <w:rPr>
      <w:rFonts w:eastAsia="黑体"/>
      <w:b/>
      <w:bCs/>
      <w:kern w:val="2"/>
      <w:sz w:val="24"/>
      <w:szCs w:val="28"/>
    </w:rPr>
  </w:style>
  <w:style w:type="paragraph" w:customStyle="1" w:styleId="52">
    <w:name w:val="1.1.1.1"/>
    <w:basedOn w:val="1"/>
    <w:link w:val="51"/>
    <w:qFormat/>
    <w:uiPriority w:val="0"/>
    <w:pPr>
      <w:keepNext/>
      <w:keepLines/>
      <w:ind w:firstLine="0" w:firstLineChars="0"/>
      <w:outlineLvl w:val="3"/>
    </w:pPr>
    <w:rPr>
      <w:rFonts w:ascii="Times New Roman" w:eastAsia="黑体"/>
      <w:b/>
      <w:bCs/>
      <w:szCs w:val="28"/>
    </w:rPr>
  </w:style>
  <w:style w:type="character" w:customStyle="1" w:styleId="53">
    <w:name w:val="页眉 字符2"/>
    <w:semiHidden/>
    <w:qFormat/>
    <w:uiPriority w:val="99"/>
    <w:rPr>
      <w:rFonts w:ascii="微软雅黑" w:hAnsi="Times New Roman" w:eastAsia="微软雅黑"/>
      <w:kern w:val="2"/>
      <w:sz w:val="18"/>
      <w:szCs w:val="18"/>
    </w:rPr>
  </w:style>
  <w:style w:type="character" w:customStyle="1" w:styleId="54">
    <w:name w:val="批注主题 字符1"/>
    <w:semiHidden/>
    <w:qFormat/>
    <w:uiPriority w:val="99"/>
    <w:rPr>
      <w:rFonts w:ascii="微软雅黑" w:hAnsi="Times New Roman" w:eastAsia="微软雅黑"/>
      <w:b/>
      <w:bCs/>
      <w:kern w:val="2"/>
      <w:sz w:val="24"/>
      <w:szCs w:val="24"/>
    </w:rPr>
  </w:style>
  <w:style w:type="character" w:customStyle="1" w:styleId="55">
    <w:name w:val="规划说明正文 字符"/>
    <w:link w:val="56"/>
    <w:qFormat/>
    <w:uiPriority w:val="0"/>
    <w:rPr>
      <w:rFonts w:ascii="Times New Roman" w:hAnsi="Times New Roman" w:eastAsia="仿宋" w:cs="Arial"/>
      <w:sz w:val="24"/>
      <w:szCs w:val="28"/>
    </w:rPr>
  </w:style>
  <w:style w:type="paragraph" w:customStyle="1" w:styleId="56">
    <w:name w:val="规划说明正文"/>
    <w:basedOn w:val="1"/>
    <w:link w:val="55"/>
    <w:qFormat/>
    <w:uiPriority w:val="0"/>
    <w:pPr>
      <w:tabs>
        <w:tab w:val="left" w:pos="3555"/>
      </w:tabs>
      <w:adjustRightInd w:val="0"/>
      <w:snapToGrid w:val="0"/>
      <w:spacing w:line="360" w:lineRule="auto"/>
      <w:ind w:firstLine="480" w:firstLineChars="200"/>
      <w:jc w:val="left"/>
    </w:pPr>
    <w:rPr>
      <w:rFonts w:eastAsia="仿宋" w:cs="Arial"/>
      <w:kern w:val="0"/>
      <w:sz w:val="24"/>
      <w:szCs w:val="28"/>
    </w:rPr>
  </w:style>
  <w:style w:type="character" w:customStyle="1" w:styleId="57">
    <w:name w:val="表格 字符"/>
    <w:link w:val="58"/>
    <w:qFormat/>
    <w:uiPriority w:val="0"/>
    <w:rPr>
      <w:rFonts w:ascii="微软雅黑" w:hAnsi="华文细黑" w:eastAsia="微软雅黑"/>
      <w:kern w:val="2"/>
      <w:sz w:val="21"/>
      <w:szCs w:val="24"/>
    </w:rPr>
  </w:style>
  <w:style w:type="paragraph" w:customStyle="1" w:styleId="58">
    <w:name w:val="表格"/>
    <w:basedOn w:val="1"/>
    <w:link w:val="57"/>
    <w:qFormat/>
    <w:uiPriority w:val="0"/>
    <w:pPr>
      <w:snapToGrid w:val="0"/>
      <w:spacing w:line="240" w:lineRule="auto"/>
      <w:ind w:firstLine="0" w:firstLineChars="0"/>
      <w:jc w:val="center"/>
    </w:pPr>
    <w:rPr>
      <w:rFonts w:hAnsi="华文细黑"/>
      <w:sz w:val="21"/>
    </w:rPr>
  </w:style>
  <w:style w:type="character" w:customStyle="1" w:styleId="59">
    <w:name w:val="批注框文本 字符1"/>
    <w:semiHidden/>
    <w:qFormat/>
    <w:uiPriority w:val="99"/>
    <w:rPr>
      <w:rFonts w:ascii="微软雅黑" w:hAnsi="Times New Roman" w:eastAsia="微软雅黑"/>
      <w:kern w:val="2"/>
      <w:sz w:val="18"/>
      <w:szCs w:val="18"/>
    </w:rPr>
  </w:style>
  <w:style w:type="character" w:customStyle="1" w:styleId="60">
    <w:name w:val="_Style 59"/>
    <w:unhideWhenUsed/>
    <w:qFormat/>
    <w:uiPriority w:val="99"/>
    <w:rPr>
      <w:color w:val="605E5C"/>
      <w:shd w:val="clear" w:color="auto" w:fill="E1DFDD"/>
    </w:rPr>
  </w:style>
  <w:style w:type="character" w:customStyle="1" w:styleId="61">
    <w:name w:val="批注文字 字符1"/>
    <w:semiHidden/>
    <w:qFormat/>
    <w:uiPriority w:val="99"/>
    <w:rPr>
      <w:rFonts w:ascii="微软雅黑" w:hAnsi="Times New Roman" w:eastAsia="微软雅黑"/>
      <w:kern w:val="2"/>
      <w:sz w:val="24"/>
      <w:szCs w:val="24"/>
    </w:rPr>
  </w:style>
  <w:style w:type="character" w:customStyle="1" w:styleId="62">
    <w:name w:val="页脚 字符2"/>
    <w:semiHidden/>
    <w:qFormat/>
    <w:uiPriority w:val="99"/>
    <w:rPr>
      <w:rFonts w:ascii="微软雅黑" w:hAnsi="Times New Roman" w:eastAsia="微软雅黑"/>
      <w:kern w:val="2"/>
      <w:sz w:val="18"/>
      <w:szCs w:val="18"/>
    </w:rPr>
  </w:style>
  <w:style w:type="paragraph" w:customStyle="1" w:styleId="6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文本"/>
    <w:basedOn w:val="1"/>
    <w:semiHidden/>
    <w:qFormat/>
    <w:uiPriority w:val="99"/>
    <w:pPr>
      <w:overflowPunct w:val="0"/>
      <w:spacing w:line="360" w:lineRule="auto"/>
      <w:ind w:firstLine="480" w:firstLineChars="200"/>
    </w:pPr>
    <w:rPr>
      <w:rFonts w:ascii="宋体" w:hAnsi="宋体" w:cs="宋体"/>
      <w:color w:val="000000"/>
      <w:kern w:val="0"/>
      <w:sz w:val="28"/>
      <w:szCs w:val="21"/>
    </w:rPr>
  </w:style>
  <w:style w:type="paragraph" w:customStyle="1" w:styleId="65">
    <w:name w:val="_Style 9"/>
    <w:basedOn w:val="1"/>
    <w:next w:val="1"/>
    <w:qFormat/>
    <w:uiPriority w:val="39"/>
    <w:pPr>
      <w:spacing w:before="120" w:after="120"/>
      <w:jc w:val="left"/>
    </w:pPr>
    <w:rPr>
      <w:rFonts w:ascii="等线" w:hAnsi="Times New Roman" w:eastAsia="等线" w:cs="Times New Roman"/>
      <w:b/>
      <w:bCs/>
      <w:caps/>
      <w:sz w:val="20"/>
      <w:szCs w:val="20"/>
    </w:rPr>
  </w:style>
  <w:style w:type="paragraph" w:customStyle="1" w:styleId="66">
    <w:name w:val="无间隔1"/>
    <w:qFormat/>
    <w:uiPriority w:val="0"/>
    <w:pPr>
      <w:widowControl w:val="0"/>
      <w:jc w:val="both"/>
    </w:pPr>
    <w:rPr>
      <w:rFonts w:ascii="Times New Roman" w:hAnsi="Times New Roman" w:eastAsia="仿宋_GB2312" w:cs="黑体"/>
      <w:kern w:val="2"/>
      <w:sz w:val="32"/>
      <w:szCs w:val="22"/>
      <w:lang w:val="en-US" w:eastAsia="zh-CN" w:bidi="ar-SA"/>
    </w:rPr>
  </w:style>
  <w:style w:type="paragraph" w:customStyle="1" w:styleId="67">
    <w:name w:val="正文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68">
    <w:name w:val="样式 样式 标题 4 + 四号 + 段后: 0.5 行"/>
    <w:basedOn w:val="1"/>
    <w:qFormat/>
    <w:uiPriority w:val="0"/>
    <w:pPr>
      <w:keepNext/>
      <w:keepLines/>
      <w:snapToGrid w:val="0"/>
      <w:spacing w:after="156" w:afterLines="50" w:line="300" w:lineRule="auto"/>
      <w:outlineLvl w:val="3"/>
    </w:pPr>
    <w:rPr>
      <w:rFonts w:ascii="Arial" w:hAnsi="Arial" w:eastAsia="华文细黑" w:cs="宋体"/>
      <w:bCs/>
      <w:sz w:val="24"/>
      <w:szCs w:val="20"/>
    </w:rPr>
  </w:style>
  <w:style w:type="paragraph" w:customStyle="1" w:styleId="69">
    <w:name w:val="WPSOffice手动目录 1"/>
    <w:qFormat/>
    <w:uiPriority w:val="0"/>
    <w:rPr>
      <w:rFonts w:ascii="Times New Roman" w:hAnsi="Times New Roman" w:eastAsia="宋体" w:cs="Times New Roman"/>
      <w:lang w:val="en-US" w:eastAsia="zh-CN" w:bidi="ar-SA"/>
    </w:rPr>
  </w:style>
  <w:style w:type="paragraph" w:customStyle="1" w:styleId="70">
    <w:name w:val="_Style 69"/>
    <w:basedOn w:val="7"/>
    <w:next w:val="1"/>
    <w:qFormat/>
    <w:uiPriority w:val="39"/>
    <w:pPr>
      <w:widowControl/>
      <w:spacing w:before="240" w:after="0" w:line="259" w:lineRule="auto"/>
      <w:ind w:firstLine="0" w:firstLineChars="0"/>
      <w:jc w:val="left"/>
      <w:outlineLvl w:val="9"/>
    </w:pPr>
    <w:rPr>
      <w:rFonts w:ascii="等线 Light" w:hAnsi="等线 Light" w:eastAsia="等线 Light" w:cs="Times New Roman"/>
      <w:b/>
      <w:bCs w:val="0"/>
      <w:color w:val="2F5496"/>
      <w:kern w:val="0"/>
      <w:sz w:val="32"/>
      <w:szCs w:val="32"/>
    </w:rPr>
  </w:style>
  <w:style w:type="paragraph" w:customStyle="1" w:styleId="71">
    <w:name w:val="正文文本 New"/>
    <w:basedOn w:val="63"/>
    <w:qFormat/>
    <w:uiPriority w:val="0"/>
    <w:pPr>
      <w:spacing w:line="520" w:lineRule="atLeast"/>
      <w:jc w:val="center"/>
    </w:pPr>
    <w:rPr>
      <w:rFonts w:eastAsia="方正小标宋简体"/>
      <w:sz w:val="44"/>
    </w:rPr>
  </w:style>
  <w:style w:type="paragraph" w:styleId="72">
    <w:name w:val="No Spacing"/>
    <w:qFormat/>
    <w:uiPriority w:val="1"/>
    <w:pPr>
      <w:widowControl w:val="0"/>
      <w:jc w:val="center"/>
    </w:pPr>
    <w:rPr>
      <w:rFonts w:ascii="Times New Roman" w:hAnsi="Times New Roman" w:eastAsia="仿宋_GB2312" w:cs="Times New Roman"/>
      <w:kern w:val="2"/>
      <w:sz w:val="24"/>
      <w:szCs w:val="22"/>
      <w:lang w:val="en-US" w:eastAsia="zh-CN" w:bidi="ar-SA"/>
    </w:rPr>
  </w:style>
  <w:style w:type="paragraph" w:customStyle="1" w:styleId="73">
    <w:name w:val="2"/>
    <w:basedOn w:val="1"/>
    <w:next w:val="1"/>
    <w:unhideWhenUsed/>
    <w:qFormat/>
    <w:uiPriority w:val="39"/>
    <w:pPr>
      <w:snapToGrid w:val="0"/>
      <w:spacing w:line="360" w:lineRule="auto"/>
      <w:ind w:left="240" w:firstLine="200" w:firstLineChars="200"/>
      <w:jc w:val="left"/>
    </w:pPr>
    <w:rPr>
      <w:rFonts w:ascii="Calibri" w:hAnsi="Calibri" w:eastAsia="华文细黑"/>
      <w:smallCaps/>
      <w:sz w:val="20"/>
      <w:szCs w:val="20"/>
    </w:rPr>
  </w:style>
  <w:style w:type="paragraph" w:customStyle="1" w:styleId="74">
    <w:name w:val="1"/>
    <w:basedOn w:val="1"/>
    <w:next w:val="75"/>
    <w:qFormat/>
    <w:uiPriority w:val="34"/>
    <w:pPr>
      <w:ind w:firstLine="420" w:firstLineChars="200"/>
    </w:pPr>
    <w:rPr>
      <w:rFonts w:ascii="Calibri" w:hAnsi="Calibri"/>
      <w:szCs w:val="22"/>
    </w:rPr>
  </w:style>
  <w:style w:type="paragraph" w:styleId="75">
    <w:name w:val="List Paragraph"/>
    <w:basedOn w:val="1"/>
    <w:qFormat/>
    <w:uiPriority w:val="34"/>
    <w:pPr>
      <w:ind w:firstLine="420" w:firstLineChars="200"/>
    </w:pPr>
    <w:rPr>
      <w:rFonts w:ascii="Calibri" w:hAnsi="Calibri"/>
      <w:szCs w:val="22"/>
    </w:rPr>
  </w:style>
  <w:style w:type="table" w:customStyle="1" w:styleId="76">
    <w:name w:val="网格型2"/>
    <w:basedOn w:val="29"/>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7">
    <w:name w:val="网格型1"/>
    <w:basedOn w:val="29"/>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8">
    <w:name w:val="网格型4"/>
    <w:basedOn w:val="29"/>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9">
    <w:name w:val="网格型3"/>
    <w:basedOn w:val="29"/>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Users\Administrator\Desktop\&#21021;&#27493;&#25104;&#26524;2020063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初步成果20200630(1)</Template>
  <Company>Microsoft</Company>
  <Pages>28</Pages>
  <Words>12236</Words>
  <Characters>13643</Characters>
  <Lines>101</Lines>
  <Paragraphs>28</Paragraphs>
  <TotalTime>15</TotalTime>
  <ScaleCrop>false</ScaleCrop>
  <LinksUpToDate>false</LinksUpToDate>
  <CharactersWithSpaces>13776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2023-05-31T18:41:00Z</dcterms:created>
  <dc:creator>Administrator</dc:creator>
  <cp:lastModifiedBy>user</cp:lastModifiedBy>
  <cp:lastPrinted>2023-07-26T16:44:00Z</cp:lastPrinted>
  <dcterms:modified xsi:type="dcterms:W3CDTF">2023-07-26T17:37:27Z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D3AED3E1FF2E47369A3CC4B13DAF8AC5_13</vt:lpwstr>
  </property>
</Properties>
</file>