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outlineLvl w:val="2"/>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黑体"/>
          <w:sz w:val="36"/>
          <w:szCs w:val="32"/>
        </w:rPr>
      </w:pPr>
      <w:r>
        <w:rPr>
          <w:rFonts w:hint="eastAsia" w:ascii="方正小标宋简体" w:hAnsi="华文中宋" w:eastAsia="方正小标宋简体"/>
          <w:sz w:val="36"/>
          <w:szCs w:val="44"/>
        </w:rPr>
        <w:t>烟花爆竹零售店（点）选址标准</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rPr>
        <w:t>根据《烟花爆竹安全管理条例》（国务院令第455号）、《烟花爆竹经营许可实施办法》（总局第65号令）</w:t>
      </w:r>
      <w:r>
        <w:rPr>
          <w:rFonts w:hint="eastAsia" w:ascii="仿宋_GB2312" w:hAnsi="仿宋_GB2312" w:eastAsia="仿宋_GB2312" w:cs="仿宋_GB2312"/>
          <w:sz w:val="32"/>
          <w:szCs w:val="32"/>
          <w:lang w:val="en-US" w:eastAsia="zh-CN"/>
        </w:rPr>
        <w:t>《烟花爆竹零售店（点）安全技术规范》（AQ4128-2019）</w:t>
      </w:r>
      <w:r>
        <w:rPr>
          <w:rFonts w:hint="eastAsia" w:ascii="仿宋_GB2312" w:hAnsi="仿宋_GB2312" w:eastAsia="仿宋_GB2312" w:cs="仿宋_GB2312"/>
          <w:b w:val="0"/>
          <w:i w:val="0"/>
          <w:caps w:val="0"/>
          <w:color w:val="auto"/>
          <w:spacing w:val="0"/>
          <w:sz w:val="32"/>
          <w:szCs w:val="32"/>
          <w:shd w:val="clear" w:color="auto" w:fill="FFFFFF"/>
        </w:rPr>
        <w:t>和</w:t>
      </w:r>
      <w:r>
        <w:rPr>
          <w:rFonts w:hint="eastAsia" w:ascii="仿宋_GB2312" w:hAnsi="仿宋_GB2312" w:eastAsia="仿宋_GB2312" w:cs="仿宋_GB2312"/>
          <w:sz w:val="32"/>
          <w:szCs w:val="32"/>
        </w:rPr>
        <w:t>《广东省安全生产监督管理局关于烟花爆竹经营许可的实施细则》</w:t>
      </w:r>
      <w:r>
        <w:rPr>
          <w:rFonts w:hint="eastAsia" w:ascii="仿宋_GB2312" w:hAnsi="仿宋_GB2312" w:eastAsia="仿宋_GB2312" w:cs="仿宋_GB2312"/>
          <w:sz w:val="32"/>
          <w:szCs w:val="32"/>
          <w:lang w:eastAsia="zh-CN"/>
        </w:rPr>
        <w:t>（粤安监〔201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b w:val="0"/>
          <w:i w:val="0"/>
          <w:caps w:val="0"/>
          <w:color w:val="auto"/>
          <w:spacing w:val="0"/>
          <w:sz w:val="32"/>
          <w:szCs w:val="32"/>
          <w:shd w:val="clear" w:color="auto" w:fill="FFFFFF"/>
        </w:rPr>
        <w:t>等相关法规和文件</w:t>
      </w:r>
      <w:r>
        <w:rPr>
          <w:rFonts w:hint="eastAsia" w:ascii="仿宋_GB2312" w:hAnsi="仿宋_GB2312" w:eastAsia="仿宋_GB2312" w:cs="仿宋_GB2312"/>
          <w:b w:val="0"/>
          <w:i w:val="0"/>
          <w:caps w:val="0"/>
          <w:color w:val="auto"/>
          <w:spacing w:val="0"/>
          <w:sz w:val="32"/>
          <w:szCs w:val="32"/>
          <w:shd w:val="clear" w:color="auto" w:fill="FFFFFF"/>
          <w:lang w:eastAsia="zh-CN"/>
        </w:rPr>
        <w:t>的规定</w:t>
      </w:r>
      <w:r>
        <w:rPr>
          <w:rFonts w:hint="eastAsia" w:ascii="仿宋_GB2312" w:hAnsi="仿宋_GB2312" w:eastAsia="仿宋_GB2312" w:cs="仿宋_GB2312"/>
          <w:b w:val="0"/>
          <w:i w:val="0"/>
          <w:caps w:val="0"/>
          <w:color w:val="auto"/>
          <w:spacing w:val="0"/>
          <w:sz w:val="32"/>
          <w:szCs w:val="32"/>
          <w:shd w:val="clear" w:color="auto" w:fill="FFFFFF"/>
        </w:rPr>
        <w:t>，</w:t>
      </w:r>
      <w:r>
        <w:rPr>
          <w:rFonts w:hint="eastAsia" w:ascii="仿宋_GB2312" w:hAnsi="仿宋_GB2312" w:eastAsia="仿宋_GB2312" w:cs="仿宋_GB2312"/>
          <w:b w:val="0"/>
          <w:i w:val="0"/>
          <w:caps w:val="0"/>
          <w:color w:val="auto"/>
          <w:spacing w:val="0"/>
          <w:sz w:val="32"/>
          <w:szCs w:val="32"/>
          <w:shd w:val="clear" w:color="auto" w:fill="FFFFFF"/>
          <w:lang w:eastAsia="zh-CN"/>
        </w:rPr>
        <w:t>烟花爆竹零售布点规划应符合以下要求：</w:t>
      </w:r>
    </w:p>
    <w:p>
      <w:pPr>
        <w:pStyle w:val="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eastAsia" w:ascii="仿宋_GB2312" w:eastAsia="仿宋_GB2312"/>
          <w:bCs/>
          <w:color w:val="auto"/>
          <w:kern w:val="0"/>
          <w:sz w:val="32"/>
          <w:szCs w:val="32"/>
        </w:rPr>
      </w:pPr>
      <w:r>
        <w:rPr>
          <w:rFonts w:hint="eastAsia" w:ascii="仿宋_GB2312" w:eastAsia="仿宋_GB2312" w:cs="宋体"/>
          <w:color w:val="auto"/>
          <w:kern w:val="0"/>
          <w:sz w:val="32"/>
          <w:szCs w:val="32"/>
          <w:lang w:val="en-US" w:eastAsia="zh-CN"/>
        </w:rPr>
        <w:t>1.</w:t>
      </w:r>
      <w:r>
        <w:rPr>
          <w:rFonts w:hint="eastAsia" w:ascii="仿宋_GB2312" w:eastAsia="仿宋_GB2312" w:cs="宋体"/>
          <w:color w:val="auto"/>
          <w:kern w:val="0"/>
          <w:sz w:val="32"/>
          <w:szCs w:val="32"/>
          <w:lang w:eastAsia="zh-CN"/>
        </w:rPr>
        <w:t>零售店（点）</w:t>
      </w:r>
      <w:r>
        <w:rPr>
          <w:rFonts w:hint="eastAsia" w:ascii="仿宋_GB2312" w:hAnsi="宋体" w:eastAsia="仿宋_GB2312" w:cs="宋体"/>
          <w:color w:val="auto"/>
          <w:kern w:val="0"/>
          <w:sz w:val="32"/>
          <w:szCs w:val="32"/>
        </w:rPr>
        <w:t>的</w:t>
      </w:r>
      <w:r>
        <w:rPr>
          <w:rFonts w:hint="eastAsia" w:ascii="仿宋_GB2312" w:eastAsia="仿宋_GB2312" w:cs="宋体"/>
          <w:color w:val="auto"/>
          <w:kern w:val="0"/>
          <w:sz w:val="32"/>
          <w:szCs w:val="32"/>
          <w:lang w:eastAsia="zh-CN"/>
        </w:rPr>
        <w:t>使用</w:t>
      </w:r>
      <w:r>
        <w:rPr>
          <w:rFonts w:hint="eastAsia" w:ascii="仿宋_GB2312" w:hAnsi="宋体" w:eastAsia="仿宋_GB2312" w:cs="宋体"/>
          <w:color w:val="auto"/>
          <w:kern w:val="0"/>
          <w:sz w:val="32"/>
          <w:szCs w:val="32"/>
        </w:rPr>
        <w:t>面积不小于10平方米，</w:t>
      </w:r>
      <w:r>
        <w:rPr>
          <w:rFonts w:hint="eastAsia" w:ascii="仿宋_GB2312" w:eastAsia="仿宋_GB2312" w:cs="宋体"/>
          <w:color w:val="auto"/>
          <w:kern w:val="0"/>
          <w:sz w:val="32"/>
          <w:szCs w:val="32"/>
          <w:lang w:eastAsia="zh-CN"/>
        </w:rPr>
        <w:t>且不应大于</w:t>
      </w:r>
      <w:r>
        <w:rPr>
          <w:rFonts w:hint="eastAsia" w:ascii="仿宋_GB2312" w:eastAsia="仿宋_GB2312" w:cs="宋体"/>
          <w:color w:val="auto"/>
          <w:kern w:val="0"/>
          <w:sz w:val="32"/>
          <w:szCs w:val="32"/>
          <w:lang w:val="en-US" w:eastAsia="zh-CN"/>
        </w:rPr>
        <w:t>200平方米，总建筑面积不应大于300平方米，且其</w:t>
      </w:r>
      <w:r>
        <w:rPr>
          <w:rFonts w:hint="eastAsia" w:ascii="仿宋_GB2312" w:hAnsi="宋体" w:eastAsia="仿宋_GB2312" w:cs="宋体"/>
          <w:color w:val="auto"/>
          <w:kern w:val="0"/>
          <w:sz w:val="32"/>
          <w:szCs w:val="32"/>
        </w:rPr>
        <w:t>周边50米以上范围内没有其他烟花爆竹</w:t>
      </w:r>
      <w:r>
        <w:rPr>
          <w:rFonts w:hint="eastAsia" w:ascii="仿宋_GB2312" w:eastAsia="仿宋_GB2312" w:cs="宋体"/>
          <w:color w:val="auto"/>
          <w:kern w:val="0"/>
          <w:sz w:val="32"/>
          <w:szCs w:val="32"/>
          <w:lang w:eastAsia="zh-CN"/>
        </w:rPr>
        <w:t>零售店（点）</w:t>
      </w:r>
      <w:r>
        <w:rPr>
          <w:rFonts w:hint="eastAsia" w:ascii="仿宋_GB2312" w:eastAsia="仿宋_GB2312"/>
          <w:bCs/>
          <w:color w:val="auto"/>
          <w:kern w:val="0"/>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bCs/>
          <w:color w:val="auto"/>
          <w:kern w:val="0"/>
          <w:sz w:val="32"/>
          <w:szCs w:val="32"/>
        </w:rPr>
      </w:pP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烟花爆竹</w:t>
      </w:r>
      <w:r>
        <w:rPr>
          <w:rFonts w:hint="eastAsia" w:ascii="仿宋_GB2312" w:eastAsia="仿宋_GB2312"/>
          <w:bCs/>
          <w:color w:val="auto"/>
          <w:kern w:val="0"/>
          <w:sz w:val="32"/>
          <w:szCs w:val="32"/>
          <w:lang w:eastAsia="zh-CN"/>
        </w:rPr>
        <w:t>零售店（点）</w:t>
      </w:r>
      <w:r>
        <w:rPr>
          <w:rFonts w:hint="eastAsia" w:ascii="仿宋_GB2312" w:eastAsia="仿宋_GB2312"/>
          <w:bCs/>
          <w:color w:val="auto"/>
          <w:kern w:val="0"/>
          <w:sz w:val="32"/>
          <w:szCs w:val="32"/>
        </w:rPr>
        <w:t>不得与</w:t>
      </w:r>
      <w:r>
        <w:rPr>
          <w:rFonts w:hint="eastAsia" w:ascii="仿宋_GB2312" w:eastAsia="仿宋_GB2312"/>
          <w:b w:val="0"/>
          <w:bCs w:val="0"/>
          <w:color w:val="auto"/>
          <w:kern w:val="0"/>
          <w:sz w:val="32"/>
          <w:szCs w:val="32"/>
        </w:rPr>
        <w:t>居民居住场所</w:t>
      </w:r>
      <w:r>
        <w:rPr>
          <w:rFonts w:hint="eastAsia" w:ascii="仿宋_GB2312" w:eastAsia="仿宋_GB2312"/>
          <w:bCs/>
          <w:color w:val="auto"/>
          <w:kern w:val="0"/>
          <w:sz w:val="32"/>
          <w:szCs w:val="32"/>
        </w:rPr>
        <w:t>设置在同一建筑物内</w:t>
      </w:r>
      <w:r>
        <w:rPr>
          <w:rFonts w:hint="eastAsia" w:ascii="仿宋_GB2312" w:eastAsia="仿宋_GB2312"/>
          <w:bCs/>
          <w:color w:val="auto"/>
          <w:kern w:val="0"/>
          <w:sz w:val="32"/>
          <w:szCs w:val="32"/>
          <w:lang w:eastAsia="zh-CN"/>
        </w:rPr>
        <w:t>，不应设置在地下及半地下室内</w:t>
      </w:r>
      <w:r>
        <w:rPr>
          <w:rFonts w:hint="eastAsia" w:ascii="仿宋_GB2312" w:eastAsia="仿宋_GB2312"/>
          <w:bCs/>
          <w:color w:val="auto"/>
          <w:kern w:val="0"/>
          <w:sz w:val="32"/>
          <w:szCs w:val="32"/>
        </w:rPr>
        <w:t>。</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bCs/>
          <w:color w:val="auto"/>
          <w:kern w:val="0"/>
          <w:sz w:val="32"/>
          <w:szCs w:val="32"/>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3</w:t>
      </w:r>
      <w:r>
        <w:rPr>
          <w:rFonts w:hint="eastAsia" w:ascii="仿宋_GB2312" w:hAnsi="仿宋_GB2312" w:eastAsia="仿宋_GB2312" w:cs="仿宋_GB2312"/>
          <w:b w:val="0"/>
          <w:i w:val="0"/>
          <w:caps w:val="0"/>
          <w:color w:val="auto"/>
          <w:spacing w:val="0"/>
          <w:sz w:val="32"/>
          <w:szCs w:val="32"/>
          <w:shd w:val="clear" w:color="auto" w:fill="FFFFFF"/>
        </w:rPr>
        <w:t>.</w:t>
      </w:r>
      <w:r>
        <w:rPr>
          <w:rFonts w:hint="eastAsia" w:ascii="仿宋_GB2312" w:eastAsia="仿宋_GB2312"/>
          <w:bCs/>
          <w:color w:val="auto"/>
          <w:kern w:val="0"/>
          <w:sz w:val="32"/>
          <w:szCs w:val="32"/>
        </w:rPr>
        <w:t>距离党政机关办公楼、重要的通信和指挥调度建筑物、大型金融机构办公楼</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rPr>
        <w:t>重要的大型图书馆、文物古迹、博物馆、展览馆、档案馆等建筑物</w:t>
      </w:r>
      <w:r>
        <w:rPr>
          <w:rFonts w:hint="eastAsia" w:ascii="仿宋_GB2312" w:eastAsia="仿宋_GB2312"/>
          <w:bCs/>
          <w:color w:val="auto"/>
          <w:kern w:val="0"/>
          <w:sz w:val="32"/>
          <w:szCs w:val="32"/>
          <w:lang w:val="en-US" w:eastAsia="zh-CN"/>
        </w:rPr>
        <w:t>100</w:t>
      </w:r>
      <w:r>
        <w:rPr>
          <w:rFonts w:hint="eastAsia" w:ascii="仿宋_GB2312" w:eastAsia="仿宋_GB2312"/>
          <w:bCs/>
          <w:color w:val="auto"/>
          <w:kern w:val="0"/>
          <w:sz w:val="32"/>
          <w:szCs w:val="32"/>
        </w:rPr>
        <w:t>米以上</w:t>
      </w:r>
      <w:r>
        <w:rPr>
          <w:rFonts w:hint="eastAsia" w:ascii="仿宋_GB2312" w:eastAsia="仿宋_GB2312"/>
          <w:bCs/>
          <w:color w:val="auto"/>
          <w:kern w:val="0"/>
          <w:sz w:val="32"/>
          <w:szCs w:val="32"/>
          <w:lang w:eastAsia="zh-CN"/>
        </w:rPr>
        <w:t>，距离</w:t>
      </w:r>
      <w:r>
        <w:rPr>
          <w:rFonts w:hint="eastAsia" w:ascii="仿宋_GB2312" w:eastAsia="仿宋_GB2312"/>
          <w:bCs/>
          <w:color w:val="auto"/>
          <w:kern w:val="0"/>
          <w:sz w:val="32"/>
          <w:szCs w:val="32"/>
        </w:rPr>
        <w:t>城市干道交叉路口</w:t>
      </w:r>
      <w:r>
        <w:rPr>
          <w:rFonts w:hint="eastAsia" w:ascii="仿宋_GB2312" w:eastAsia="仿宋_GB2312"/>
          <w:bCs/>
          <w:color w:val="auto"/>
          <w:kern w:val="0"/>
          <w:sz w:val="32"/>
          <w:szCs w:val="32"/>
          <w:lang w:val="en-US" w:eastAsia="zh-CN"/>
        </w:rPr>
        <w:t>50</w:t>
      </w:r>
      <w:r>
        <w:rPr>
          <w:rFonts w:hint="eastAsia" w:ascii="仿宋_GB2312" w:eastAsia="仿宋_GB2312"/>
          <w:bCs/>
          <w:color w:val="auto"/>
          <w:kern w:val="0"/>
          <w:sz w:val="32"/>
          <w:szCs w:val="32"/>
        </w:rPr>
        <w:t>米以上。</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bCs/>
          <w:color w:val="auto"/>
          <w:kern w:val="0"/>
          <w:sz w:val="32"/>
          <w:szCs w:val="32"/>
        </w:rPr>
      </w:pPr>
      <w:r>
        <w:rPr>
          <w:rFonts w:hint="eastAsia" w:ascii="仿宋_GB2312" w:eastAsia="仿宋_GB2312"/>
          <w:bCs/>
          <w:color w:val="auto"/>
          <w:kern w:val="0"/>
          <w:sz w:val="32"/>
          <w:szCs w:val="32"/>
          <w:lang w:val="en-US" w:eastAsia="zh-CN"/>
        </w:rPr>
        <w:t>4.</w:t>
      </w:r>
      <w:r>
        <w:rPr>
          <w:rFonts w:hint="eastAsia" w:ascii="仿宋_GB2312" w:eastAsia="仿宋_GB2312"/>
          <w:bCs/>
          <w:color w:val="auto"/>
          <w:kern w:val="0"/>
          <w:sz w:val="32"/>
          <w:szCs w:val="32"/>
        </w:rPr>
        <w:t>距离学校、幼儿园、托儿所、残障人员康复院所、养老院、医院</w:t>
      </w:r>
      <w:r>
        <w:rPr>
          <w:rFonts w:hint="eastAsia" w:ascii="仿宋_GB2312" w:eastAsia="仿宋_GB2312"/>
          <w:bCs/>
          <w:color w:val="auto"/>
          <w:kern w:val="0"/>
          <w:sz w:val="32"/>
          <w:szCs w:val="32"/>
          <w:lang w:eastAsia="zh-CN"/>
        </w:rPr>
        <w:t>、集贸市场等人员密集场所和加油站</w:t>
      </w:r>
      <w:r>
        <w:rPr>
          <w:rFonts w:hint="eastAsia" w:ascii="仿宋_GB2312" w:eastAsia="仿宋_GB2312"/>
          <w:bCs/>
          <w:color w:val="auto"/>
          <w:kern w:val="0"/>
          <w:sz w:val="32"/>
          <w:szCs w:val="32"/>
        </w:rPr>
        <w:t>等易燃易爆物品</w:t>
      </w:r>
      <w:r>
        <w:rPr>
          <w:rFonts w:hint="eastAsia" w:ascii="仿宋_GB2312" w:eastAsia="仿宋_GB2312"/>
          <w:bCs/>
          <w:color w:val="auto"/>
          <w:kern w:val="0"/>
          <w:sz w:val="32"/>
          <w:szCs w:val="32"/>
          <w:lang w:eastAsia="zh-CN"/>
        </w:rPr>
        <w:t>生产、</w:t>
      </w:r>
      <w:r>
        <w:rPr>
          <w:rFonts w:hint="eastAsia" w:ascii="仿宋_GB2312" w:eastAsia="仿宋_GB2312"/>
          <w:bCs/>
          <w:color w:val="auto"/>
          <w:kern w:val="0"/>
          <w:sz w:val="32"/>
          <w:szCs w:val="32"/>
        </w:rPr>
        <w:t>储存</w:t>
      </w:r>
      <w:r>
        <w:rPr>
          <w:rFonts w:hint="eastAsia" w:ascii="仿宋_GB2312" w:eastAsia="仿宋_GB2312"/>
          <w:bCs/>
          <w:color w:val="auto"/>
          <w:kern w:val="0"/>
          <w:sz w:val="32"/>
          <w:szCs w:val="32"/>
          <w:lang w:eastAsia="zh-CN"/>
        </w:rPr>
        <w:t>设施、</w:t>
      </w:r>
      <w:r>
        <w:rPr>
          <w:rFonts w:hint="eastAsia" w:ascii="仿宋_GB2312" w:eastAsia="仿宋_GB2312"/>
          <w:bCs/>
          <w:color w:val="auto"/>
          <w:kern w:val="0"/>
          <w:sz w:val="32"/>
          <w:szCs w:val="32"/>
        </w:rPr>
        <w:t>重要军事设施围墙</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rPr>
        <w:t>长途客运总站围墙</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rPr>
        <w:t>公交电气车总站围墙等</w:t>
      </w:r>
      <w:r>
        <w:rPr>
          <w:rFonts w:hint="eastAsia" w:ascii="仿宋_GB2312" w:eastAsia="仿宋_GB2312"/>
          <w:bCs/>
          <w:color w:val="auto"/>
          <w:kern w:val="0"/>
          <w:sz w:val="32"/>
          <w:szCs w:val="32"/>
          <w:lang w:eastAsia="zh-CN"/>
        </w:rPr>
        <w:t>重点</w:t>
      </w:r>
      <w:r>
        <w:rPr>
          <w:rFonts w:hint="eastAsia" w:ascii="仿宋_GB2312" w:eastAsia="仿宋_GB2312"/>
          <w:bCs/>
          <w:color w:val="auto"/>
          <w:kern w:val="0"/>
          <w:sz w:val="32"/>
          <w:szCs w:val="32"/>
        </w:rPr>
        <w:t>建筑物</w:t>
      </w:r>
      <w:r>
        <w:rPr>
          <w:rFonts w:hint="eastAsia" w:ascii="仿宋_GB2312" w:eastAsia="仿宋_GB2312"/>
          <w:bCs/>
          <w:color w:val="auto"/>
          <w:kern w:val="0"/>
          <w:sz w:val="32"/>
          <w:szCs w:val="32"/>
          <w:lang w:eastAsia="zh-CN"/>
        </w:rPr>
        <w:t>、</w:t>
      </w:r>
      <w:r>
        <w:rPr>
          <w:rFonts w:hint="eastAsia" w:ascii="仿宋_GB2312" w:eastAsia="仿宋_GB2312"/>
          <w:color w:val="auto"/>
          <w:sz w:val="32"/>
          <w:szCs w:val="32"/>
        </w:rPr>
        <w:t>市和区人民政府确定和公布的其他禁止燃放烟花爆竹的区域</w:t>
      </w:r>
      <w:r>
        <w:rPr>
          <w:rFonts w:hint="eastAsia" w:ascii="仿宋_GB2312" w:eastAsia="仿宋_GB2312"/>
          <w:bCs/>
          <w:color w:val="auto"/>
          <w:kern w:val="0"/>
          <w:sz w:val="32"/>
          <w:szCs w:val="32"/>
        </w:rPr>
        <w:t>100米以上。</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5.当烟花爆竹总药量≤80kg时，</w:t>
      </w:r>
      <w:r>
        <w:rPr>
          <w:rFonts w:hint="eastAsia" w:ascii="仿宋_GB2312" w:eastAsia="仿宋_GB2312"/>
          <w:color w:val="auto"/>
          <w:sz w:val="32"/>
          <w:szCs w:val="32"/>
          <w:highlight w:val="none"/>
        </w:rPr>
        <w:t>距离220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及以上的区域变电站围墙、220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以上的架空输电线路</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米以上；</w:t>
      </w:r>
      <w:r>
        <w:rPr>
          <w:rFonts w:hint="eastAsia" w:ascii="仿宋_GB2312" w:eastAsia="仿宋_GB2312"/>
          <w:color w:val="auto"/>
          <w:sz w:val="32"/>
          <w:szCs w:val="32"/>
          <w:highlight w:val="none"/>
          <w:lang w:val="en-US" w:eastAsia="zh-CN"/>
        </w:rPr>
        <w:t>当烟花爆竹总药量＞80kg且≤100kg时，</w:t>
      </w:r>
      <w:r>
        <w:rPr>
          <w:rFonts w:hint="eastAsia" w:ascii="仿宋_GB2312" w:eastAsia="仿宋_GB2312"/>
          <w:color w:val="auto"/>
          <w:sz w:val="32"/>
          <w:szCs w:val="32"/>
          <w:highlight w:val="none"/>
        </w:rPr>
        <w:t>距离220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及以上的区域变电站围墙、220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以上的架空输电线路</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米以上；</w:t>
      </w:r>
      <w:r>
        <w:rPr>
          <w:rFonts w:hint="eastAsia" w:ascii="仿宋_GB2312" w:eastAsia="仿宋_GB2312"/>
          <w:color w:val="auto"/>
          <w:sz w:val="32"/>
          <w:szCs w:val="32"/>
          <w:highlight w:val="none"/>
          <w:lang w:val="en-US" w:eastAsia="zh-CN"/>
        </w:rPr>
        <w:t>当烟花爆竹总药量＞100kg且≤200kg时，</w:t>
      </w:r>
      <w:r>
        <w:rPr>
          <w:rFonts w:hint="eastAsia" w:ascii="仿宋_GB2312" w:eastAsia="仿宋_GB2312"/>
          <w:color w:val="auto"/>
          <w:sz w:val="32"/>
          <w:szCs w:val="32"/>
          <w:highlight w:val="none"/>
        </w:rPr>
        <w:t>距离220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及以上的区域变电站围墙、220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以上的架空输电线路</w:t>
      </w:r>
      <w:r>
        <w:rPr>
          <w:rFonts w:hint="eastAsia" w:ascii="仿宋_GB2312" w:eastAsia="仿宋_GB2312"/>
          <w:color w:val="auto"/>
          <w:sz w:val="32"/>
          <w:szCs w:val="32"/>
          <w:highlight w:val="none"/>
          <w:lang w:val="en-US" w:eastAsia="zh-CN"/>
        </w:rPr>
        <w:t>65</w:t>
      </w:r>
      <w:r>
        <w:rPr>
          <w:rFonts w:hint="eastAsia" w:ascii="仿宋_GB2312" w:eastAsia="仿宋_GB2312"/>
          <w:color w:val="auto"/>
          <w:sz w:val="32"/>
          <w:szCs w:val="32"/>
          <w:highlight w:val="none"/>
        </w:rPr>
        <w:t>米以上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当烟花爆竹总药量＞200kg且≤300kg时，</w:t>
      </w:r>
      <w:r>
        <w:rPr>
          <w:rFonts w:hint="eastAsia" w:ascii="仿宋_GB2312" w:eastAsia="仿宋_GB2312"/>
          <w:color w:val="auto"/>
          <w:sz w:val="32"/>
          <w:szCs w:val="32"/>
          <w:highlight w:val="none"/>
        </w:rPr>
        <w:t>距离220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及以上的区域变电站围墙、220</w:t>
      </w:r>
      <w:r>
        <w:rPr>
          <w:rFonts w:hint="eastAsia" w:ascii="仿宋_GB2312" w:eastAsia="仿宋_GB2312"/>
          <w:color w:val="auto"/>
          <w:sz w:val="32"/>
          <w:szCs w:val="32"/>
          <w:highlight w:val="none"/>
          <w:lang w:eastAsia="zh-CN"/>
        </w:rPr>
        <w:t>kV</w:t>
      </w:r>
      <w:r>
        <w:rPr>
          <w:rFonts w:hint="eastAsia" w:ascii="仿宋_GB2312" w:eastAsia="仿宋_GB2312"/>
          <w:color w:val="auto"/>
          <w:sz w:val="32"/>
          <w:szCs w:val="32"/>
          <w:highlight w:val="none"/>
        </w:rPr>
        <w:t>以上的架空输电线路</w:t>
      </w:r>
      <w:r>
        <w:rPr>
          <w:rFonts w:hint="eastAsia" w:ascii="仿宋_GB2312" w:eastAsia="仿宋_GB2312"/>
          <w:color w:val="auto"/>
          <w:sz w:val="32"/>
          <w:szCs w:val="32"/>
          <w:highlight w:val="none"/>
          <w:lang w:val="en-US" w:eastAsia="zh-CN"/>
        </w:rPr>
        <w:t>70</w:t>
      </w:r>
      <w:r>
        <w:rPr>
          <w:rFonts w:hint="eastAsia" w:ascii="仿宋_GB2312" w:eastAsia="仿宋_GB2312"/>
          <w:color w:val="auto"/>
          <w:sz w:val="32"/>
          <w:szCs w:val="32"/>
          <w:highlight w:val="none"/>
        </w:rPr>
        <w:t>米以上</w:t>
      </w:r>
      <w:r>
        <w:rPr>
          <w:rFonts w:hint="eastAsia" w:ascii="仿宋_GB2312" w:eastAsia="仿宋_GB2312"/>
          <w:color w:val="auto"/>
          <w:sz w:val="32"/>
          <w:szCs w:val="32"/>
          <w:highlight w:val="none"/>
          <w:lang w:eastAsia="zh-CN"/>
        </w:rPr>
        <w:t>；且不应设置在电压高于</w:t>
      </w:r>
      <w:r>
        <w:rPr>
          <w:rFonts w:hint="eastAsia" w:ascii="仿宋_GB2312" w:eastAsia="仿宋_GB2312"/>
          <w:color w:val="auto"/>
          <w:sz w:val="32"/>
          <w:szCs w:val="32"/>
          <w:highlight w:val="none"/>
          <w:lang w:val="en-US" w:eastAsia="zh-CN"/>
        </w:rPr>
        <w:t>1kV的电力线路下方</w:t>
      </w:r>
      <w:r>
        <w:rPr>
          <w:rFonts w:hint="eastAsia" w:ascii="仿宋_GB2312" w:eastAsia="仿宋_GB2312"/>
          <w:color w:val="auto"/>
          <w:sz w:val="32"/>
          <w:szCs w:val="32"/>
          <w:highlight w:val="none"/>
        </w:rPr>
        <w:t>。</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经营场所距离山林、苗圃等重点防火区是否150米以上。</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bCs/>
          <w:color w:val="auto"/>
          <w:kern w:val="0"/>
          <w:sz w:val="32"/>
          <w:szCs w:val="32"/>
        </w:rPr>
      </w:pPr>
      <w:r>
        <w:rPr>
          <w:rFonts w:hint="eastAsia" w:ascii="仿宋_GB2312" w:eastAsia="仿宋_GB2312"/>
          <w:bCs/>
          <w:color w:val="auto"/>
          <w:kern w:val="0"/>
          <w:sz w:val="32"/>
          <w:szCs w:val="32"/>
          <w:lang w:val="en-US" w:eastAsia="zh-CN"/>
        </w:rPr>
        <w:t>7.</w:t>
      </w:r>
      <w:r>
        <w:rPr>
          <w:rFonts w:hint="eastAsia" w:ascii="仿宋_GB2312" w:eastAsia="仿宋_GB2312"/>
          <w:bCs/>
          <w:color w:val="auto"/>
          <w:kern w:val="0"/>
          <w:sz w:val="32"/>
          <w:szCs w:val="32"/>
        </w:rPr>
        <w:t>明火或散发火花地点周边30米以上。</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val="en-US" w:eastAsia="zh-CN"/>
        </w:rPr>
        <w:t>8.</w:t>
      </w:r>
      <w:r>
        <w:rPr>
          <w:rFonts w:hint="eastAsia" w:ascii="仿宋_GB2312" w:eastAsia="仿宋_GB2312"/>
          <w:bCs/>
          <w:color w:val="auto"/>
          <w:kern w:val="0"/>
          <w:sz w:val="32"/>
          <w:szCs w:val="32"/>
          <w:lang w:eastAsia="zh-CN"/>
        </w:rPr>
        <w:t>配备必要的消防器材（至少</w:t>
      </w:r>
      <w:r>
        <w:rPr>
          <w:rFonts w:hint="eastAsia" w:ascii="仿宋_GB2312" w:eastAsia="仿宋_GB2312"/>
          <w:bCs/>
          <w:color w:val="auto"/>
          <w:kern w:val="0"/>
          <w:sz w:val="32"/>
          <w:szCs w:val="32"/>
          <w:lang w:val="en-US" w:eastAsia="zh-CN"/>
        </w:rPr>
        <w:t>2具5kg以上磷酸铵盐干粉灭火器、</w:t>
      </w:r>
      <w:r>
        <w:rPr>
          <w:rFonts w:hint="eastAsia" w:ascii="仿宋_GB2312" w:eastAsia="仿宋_GB2312"/>
          <w:bCs/>
          <w:color w:val="auto"/>
          <w:kern w:val="0"/>
          <w:sz w:val="32"/>
          <w:szCs w:val="32"/>
          <w:lang w:eastAsia="zh-CN"/>
        </w:rPr>
        <w:t>消防水桶等），并张贴明显的安全警示标志。</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仿宋_GB2312" w:eastAsia="仿宋_GB2312"/>
          <w:bCs/>
          <w:color w:val="auto"/>
          <w:kern w:val="0"/>
          <w:sz w:val="32"/>
          <w:szCs w:val="32"/>
          <w:lang w:val="en-US" w:eastAsia="zh-CN"/>
        </w:rPr>
      </w:pPr>
      <w:r>
        <w:rPr>
          <w:rFonts w:hint="eastAsia" w:ascii="仿宋_GB2312" w:eastAsia="仿宋_GB2312"/>
          <w:bCs/>
          <w:color w:val="auto"/>
          <w:kern w:val="0"/>
          <w:sz w:val="32"/>
          <w:szCs w:val="32"/>
          <w:lang w:val="en-US" w:eastAsia="zh-CN"/>
        </w:rPr>
        <w:t>9.零售场所电气线路不应有明显接头；当采用普通电气设备时，应与烟花爆竹保持不小于1.2米的水平投影距离，且不应使用白炽灯、射灯等容易产生高温的灯具。</w:t>
      </w:r>
    </w:p>
    <w:p>
      <w:pPr>
        <w:pStyle w:val="6"/>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eastAsia="仿宋_GB2312"/>
          <w:bCs/>
          <w:color w:val="auto"/>
          <w:kern w:val="0"/>
          <w:sz w:val="32"/>
          <w:szCs w:val="32"/>
          <w:lang w:val="en-US" w:eastAsia="zh-CN"/>
        </w:rPr>
        <w:t>10.</w:t>
      </w:r>
      <w:r>
        <w:rPr>
          <w:rFonts w:hint="eastAsia" w:ascii="仿宋_GB2312" w:eastAsia="仿宋_GB2312"/>
          <w:bCs/>
          <w:color w:val="auto"/>
          <w:kern w:val="0"/>
          <w:sz w:val="32"/>
          <w:szCs w:val="32"/>
        </w:rPr>
        <w:t>临建房屋</w:t>
      </w:r>
      <w:r>
        <w:rPr>
          <w:rFonts w:hint="eastAsia" w:ascii="仿宋_GB2312" w:eastAsia="仿宋_GB2312"/>
          <w:color w:val="auto"/>
          <w:sz w:val="32"/>
          <w:szCs w:val="32"/>
        </w:rPr>
        <w:t>搭建不得占压绿地、机动车及非机动车道、盲道，不得占压燃气、通信、污水井等地下管道、管线设施的操作井口</w:t>
      </w:r>
      <w:r>
        <w:rPr>
          <w:rFonts w:hint="eastAsia" w:ascii="仿宋_GB2312" w:eastAsia="仿宋_GB2312"/>
          <w:color w:val="auto"/>
          <w:sz w:val="32"/>
          <w:szCs w:val="32"/>
          <w:lang w:eastAsia="zh-CN"/>
        </w:rPr>
        <w:t>；</w:t>
      </w:r>
      <w:r>
        <w:rPr>
          <w:rFonts w:hint="eastAsia" w:ascii="仿宋_GB2312" w:eastAsia="仿宋_GB2312"/>
          <w:color w:val="auto"/>
          <w:sz w:val="32"/>
          <w:szCs w:val="32"/>
        </w:rPr>
        <w:t>居民小区门口的</w:t>
      </w:r>
      <w:r>
        <w:rPr>
          <w:rFonts w:hint="eastAsia" w:ascii="仿宋_GB2312" w:eastAsia="仿宋_GB2312"/>
          <w:color w:val="auto"/>
          <w:sz w:val="32"/>
          <w:szCs w:val="32"/>
          <w:lang w:eastAsia="zh-CN"/>
        </w:rPr>
        <w:t>零售店（点）</w:t>
      </w:r>
      <w:r>
        <w:rPr>
          <w:rFonts w:hint="eastAsia" w:ascii="仿宋_GB2312" w:eastAsia="仿宋_GB2312"/>
          <w:color w:val="auto"/>
          <w:sz w:val="32"/>
          <w:szCs w:val="32"/>
        </w:rPr>
        <w:t>不得影响居民进出小区</w:t>
      </w:r>
      <w:r>
        <w:rPr>
          <w:rFonts w:hint="eastAsia" w:ascii="仿宋_GB2312" w:eastAsia="仿宋_GB2312"/>
          <w:color w:val="auto"/>
          <w:sz w:val="32"/>
          <w:szCs w:val="32"/>
          <w:lang w:eastAsia="zh-CN"/>
        </w:rPr>
        <w:t>；不得在</w:t>
      </w:r>
      <w:r>
        <w:rPr>
          <w:rFonts w:hint="eastAsia" w:ascii="仿宋_GB2312" w:hAnsi="仿宋" w:eastAsia="仿宋_GB2312"/>
          <w:b w:val="0"/>
          <w:bCs w:val="0"/>
          <w:sz w:val="32"/>
          <w:szCs w:val="32"/>
          <w:lang w:eastAsia="zh-CN"/>
        </w:rPr>
        <w:t>宗教场所及其周边、</w:t>
      </w:r>
      <w:r>
        <w:rPr>
          <w:rFonts w:hint="eastAsia" w:ascii="仿宋_GB2312" w:eastAsia="仿宋_GB2312"/>
          <w:color w:val="auto"/>
          <w:sz w:val="32"/>
          <w:szCs w:val="32"/>
          <w:lang w:eastAsia="zh-CN"/>
        </w:rPr>
        <w:t>烟花爆竹禁放区内布设烟花爆竹零售店（点）；严禁在城乡结合部或集贸市场设连片集中形式的烟花爆竹零售经营场所。</w:t>
      </w:r>
      <w:r>
        <w:rPr>
          <w:rFonts w:hint="eastAsia" w:ascii="仿宋_GB2312" w:hAnsi="仿宋_GB2312" w:eastAsia="仿宋_GB2312" w:cs="仿宋_GB2312"/>
          <w:b w:val="0"/>
          <w:i w:val="0"/>
          <w:caps w:val="0"/>
          <w:color w:val="auto"/>
          <w:spacing w:val="0"/>
          <w:sz w:val="32"/>
          <w:szCs w:val="32"/>
          <w:shd w:val="clear" w:color="auto" w:fill="FFFFFF"/>
        </w:rPr>
        <w:t>　</w:t>
      </w:r>
    </w:p>
    <w:p>
      <w:pPr>
        <w:keepNext w:val="0"/>
        <w:keepLines w:val="0"/>
        <w:pageBreakBefore w:val="0"/>
        <w:kinsoku/>
        <w:wordWrap/>
        <w:overflowPunct/>
        <w:topLinePunct w:val="0"/>
        <w:autoSpaceDE/>
        <w:autoSpaceDN/>
        <w:bidi w:val="0"/>
        <w:adjustRightInd/>
        <w:snapToGrid/>
        <w:spacing w:line="600" w:lineRule="exact"/>
        <w:textAlignment w:val="auto"/>
      </w:pPr>
      <w:r>
        <w:rPr>
          <w:rFonts w:hint="eastAsia" w:ascii="仿宋_GB2312" w:hAnsi="仿宋_GB2312" w:eastAsia="仿宋_GB2312" w:cs="仿宋_GB2312"/>
          <w:b w:val="0"/>
          <w:i w:val="0"/>
          <w:caps w:val="0"/>
          <w:color w:val="auto"/>
          <w:spacing w:val="0"/>
          <w:sz w:val="32"/>
          <w:szCs w:val="32"/>
          <w:shd w:val="clear" w:color="auto" w:fill="FFFFFF"/>
          <w:lang w:val="en-US" w:eastAsia="zh-CN"/>
        </w:rPr>
        <w:t>11</w:t>
      </w:r>
      <w:r>
        <w:rPr>
          <w:rFonts w:hint="eastAsia" w:ascii="仿宋_GB2312" w:hAnsi="仿宋_GB2312" w:eastAsia="仿宋_GB2312" w:cs="仿宋_GB2312"/>
          <w:b w:val="0"/>
          <w:i w:val="0"/>
          <w:caps w:val="0"/>
          <w:color w:val="auto"/>
          <w:spacing w:val="0"/>
          <w:sz w:val="32"/>
          <w:szCs w:val="32"/>
          <w:shd w:val="clear" w:color="auto" w:fill="FFFFFF"/>
        </w:rPr>
        <w:t>.法律、法规以及相关部门规定的其他条件。</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D0C85"/>
    <w:rsid w:val="2FCD0C85"/>
    <w:rsid w:val="3EDA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2024-01-05T08:02:00Z</dcterms:created>
  <dc:creator>Lenovo</dc:creator>
  <cp:lastModifiedBy>Lenovo</cp:lastModifiedBy>
  <dcterms:modified xsi:type="dcterms:W3CDTF">2024-01-05T08:23:52Z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70F0776671074C9B806CB618A50E856E</vt:lpwstr>
  </property>
</Properties>
</file>