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both"/>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val="0"/>
        <w:bidi w:val="0"/>
        <w:adjustRightInd/>
        <w:snapToGrid/>
        <w:spacing w:line="540" w:lineRule="exact"/>
        <w:ind w:firstLine="0"/>
        <w:jc w:val="center"/>
        <w:textAlignment w:val="auto"/>
        <w:rPr>
          <w:rFonts w:hint="eastAsia" w:ascii="方正小标宋简体" w:hAnsi="方正小标宋简体" w:eastAsia="方正小标宋简体" w:cs="方正小标宋简体"/>
          <w:b w:val="0"/>
          <w:i w:val="0"/>
          <w:snapToGrid/>
          <w:color w:val="333333"/>
          <w:sz w:val="44"/>
          <w:szCs w:val="44"/>
          <w:lang w:eastAsia="zh-CN"/>
        </w:rPr>
      </w:pPr>
      <w:r>
        <w:rPr>
          <w:rFonts w:hint="eastAsia" w:ascii="方正小标宋简体" w:hAnsi="方正小标宋简体" w:eastAsia="方正小标宋简体" w:cs="方正小标宋简体"/>
          <w:b w:val="0"/>
          <w:i w:val="0"/>
          <w:snapToGrid/>
          <w:color w:val="333333"/>
          <w:sz w:val="44"/>
          <w:szCs w:val="44"/>
          <w:lang w:eastAsia="zh-CN"/>
        </w:rPr>
        <w:t>评审具体方法和标准</w:t>
      </w:r>
    </w:p>
    <w:p>
      <w:pPr>
        <w:pStyle w:val="2"/>
        <w:rPr>
          <w:rFonts w:hint="eastAsia"/>
          <w:lang w:eastAsia="zh-CN"/>
        </w:rPr>
      </w:pPr>
    </w:p>
    <w:p>
      <w:pPr>
        <w:keepNext w:val="0"/>
        <w:keepLines w:val="0"/>
        <w:pageBreakBefore w:val="0"/>
        <w:widowControl w:val="0"/>
        <w:kinsoku/>
        <w:wordWrap/>
        <w:overflowPunct/>
        <w:topLinePunct w:val="0"/>
        <w:autoSpaceDE/>
        <w:autoSpaceDN w:val="0"/>
        <w:bidi w:val="0"/>
        <w:adjustRightInd/>
        <w:snapToGrid/>
        <w:spacing w:line="560" w:lineRule="exact"/>
        <w:ind w:firstLine="0"/>
        <w:jc w:val="both"/>
        <w:textAlignment w:val="auto"/>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一、对所有报价人的报价文件评审，都采用相同的程序和标准。</w:t>
      </w:r>
    </w:p>
    <w:p>
      <w:pPr>
        <w:keepNext w:val="0"/>
        <w:keepLines w:val="0"/>
        <w:pageBreakBefore w:val="0"/>
        <w:widowControl w:val="0"/>
        <w:kinsoku/>
        <w:wordWrap/>
        <w:overflowPunct/>
        <w:topLinePunct w:val="0"/>
        <w:autoSpaceDE/>
        <w:autoSpaceDN w:val="0"/>
        <w:bidi w:val="0"/>
        <w:adjustRightInd/>
        <w:snapToGrid/>
        <w:spacing w:line="560" w:lineRule="exact"/>
        <w:ind w:firstLine="0"/>
        <w:jc w:val="both"/>
        <w:textAlignment w:val="auto"/>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首先，由评审小组根据询价文件要求评审各报价文件，当对本询价文件作出实质性响应的报价人达三家时，本次采购评审小组按本次评审办法进行评审；当对本询价文件作出实质响应的供应商只有两家的，本次评审小组可以按本次评审办法进行评审；当对本询价文件作出实质响应的供应商只有一家的，且评审商务、技术部分之和达到</w:t>
      </w:r>
      <w:r>
        <w:rPr>
          <w:rFonts w:hint="eastAsia" w:ascii="仿宋_GB2312" w:hAnsi="仿宋_GB2312" w:eastAsia="仿宋_GB2312" w:cs="仿宋_GB2312"/>
          <w:b w:val="0"/>
          <w:i w:val="0"/>
          <w:snapToGrid/>
          <w:color w:val="333333"/>
          <w:sz w:val="32"/>
          <w:szCs w:val="32"/>
          <w:lang w:val="en-US" w:eastAsia="zh-CN"/>
        </w:rPr>
        <w:t>60分，</w:t>
      </w:r>
      <w:r>
        <w:rPr>
          <w:rFonts w:hint="eastAsia" w:ascii="仿宋_GB2312" w:hAnsi="仿宋_GB2312" w:eastAsia="仿宋_GB2312" w:cs="仿宋_GB2312"/>
          <w:b w:val="0"/>
          <w:i w:val="0"/>
          <w:snapToGrid/>
          <w:color w:val="333333"/>
          <w:sz w:val="32"/>
          <w:szCs w:val="32"/>
          <w:lang w:eastAsia="zh-CN"/>
        </w:rPr>
        <w:t>推荐该供应商为成交供应商。</w:t>
      </w:r>
    </w:p>
    <w:p>
      <w:pPr>
        <w:keepNext w:val="0"/>
        <w:keepLines w:val="0"/>
        <w:pageBreakBefore w:val="0"/>
        <w:widowControl w:val="0"/>
        <w:kinsoku/>
        <w:wordWrap/>
        <w:overflowPunct/>
        <w:topLinePunct w:val="0"/>
        <w:autoSpaceDE/>
        <w:autoSpaceDN w:val="0"/>
        <w:bidi w:val="0"/>
        <w:adjustRightInd/>
        <w:snapToGrid/>
        <w:spacing w:line="560" w:lineRule="exact"/>
        <w:ind w:firstLine="0"/>
        <w:jc w:val="both"/>
        <w:textAlignment w:val="auto"/>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二、评审小组对通过以上审核的有效报价人进行评审和推荐。</w:t>
      </w:r>
    </w:p>
    <w:p>
      <w:pPr>
        <w:keepNext w:val="0"/>
        <w:keepLines w:val="0"/>
        <w:pageBreakBefore w:val="0"/>
        <w:widowControl w:val="0"/>
        <w:kinsoku/>
        <w:wordWrap/>
        <w:overflowPunct/>
        <w:topLinePunct w:val="0"/>
        <w:autoSpaceDE/>
        <w:autoSpaceDN w:val="0"/>
        <w:bidi w:val="0"/>
        <w:adjustRightInd/>
        <w:snapToGrid/>
        <w:spacing w:line="560" w:lineRule="exact"/>
        <w:ind w:firstLine="0"/>
        <w:jc w:val="both"/>
        <w:textAlignment w:val="auto"/>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　　1</w:t>
      </w:r>
      <w:r>
        <w:rPr>
          <w:rFonts w:hint="eastAsia" w:ascii="仿宋_GB2312" w:hAnsi="仿宋_GB2312" w:eastAsia="仿宋_GB2312" w:cs="仿宋_GB2312"/>
          <w:b w:val="0"/>
          <w:i w:val="0"/>
          <w:snapToGrid/>
          <w:color w:val="333333"/>
          <w:sz w:val="32"/>
          <w:szCs w:val="32"/>
          <w:lang w:val="en-US" w:eastAsia="zh-CN"/>
        </w:rPr>
        <w:t>.</w:t>
      </w:r>
      <w:r>
        <w:rPr>
          <w:rFonts w:hint="eastAsia" w:ascii="仿宋_GB2312" w:hAnsi="仿宋_GB2312" w:eastAsia="仿宋_GB2312" w:cs="仿宋_GB2312"/>
          <w:b w:val="0"/>
          <w:i w:val="0"/>
          <w:snapToGrid/>
          <w:color w:val="333333"/>
          <w:sz w:val="32"/>
          <w:szCs w:val="32"/>
          <w:lang w:eastAsia="zh-CN"/>
        </w:rPr>
        <w:t>首先根据下列能力因素评分。若评审小组人数为3人，在评分结果统计时，以算术平均计算各有效报价人的最终得分;若评审小组人数大于3人，在评分结果统计时，将去掉一个最高分与一个最低分后再行算术平均计算各有效报价人的最终得分。</w:t>
      </w:r>
    </w:p>
    <w:p>
      <w:pPr>
        <w:keepNext w:val="0"/>
        <w:keepLines w:val="0"/>
        <w:pageBreakBefore w:val="0"/>
        <w:widowControl w:val="0"/>
        <w:kinsoku/>
        <w:wordWrap/>
        <w:overflowPunct/>
        <w:topLinePunct w:val="0"/>
        <w:autoSpaceDE/>
        <w:autoSpaceDN w:val="0"/>
        <w:bidi w:val="0"/>
        <w:adjustRightInd/>
        <w:snapToGrid/>
        <w:spacing w:line="560" w:lineRule="exact"/>
        <w:ind w:firstLine="640"/>
        <w:jc w:val="both"/>
        <w:textAlignment w:val="auto"/>
        <w:rPr>
          <w:rFonts w:hint="eastAsia"/>
          <w:lang w:eastAsia="zh-CN"/>
        </w:rPr>
      </w:pPr>
      <w:r>
        <w:rPr>
          <w:rFonts w:hint="eastAsia" w:ascii="仿宋_GB2312" w:hAnsi="仿宋_GB2312" w:eastAsia="仿宋_GB2312" w:cs="仿宋_GB2312"/>
          <w:b w:val="0"/>
          <w:i w:val="0"/>
          <w:snapToGrid/>
          <w:color w:val="333333"/>
          <w:sz w:val="32"/>
          <w:szCs w:val="32"/>
          <w:lang w:eastAsia="zh-CN"/>
        </w:rPr>
        <w:t>2</w:t>
      </w:r>
      <w:r>
        <w:rPr>
          <w:rFonts w:hint="eastAsia" w:ascii="仿宋_GB2312" w:hAnsi="仿宋_GB2312" w:eastAsia="仿宋_GB2312" w:cs="仿宋_GB2312"/>
          <w:b w:val="0"/>
          <w:i w:val="0"/>
          <w:snapToGrid/>
          <w:color w:val="333333"/>
          <w:sz w:val="32"/>
          <w:szCs w:val="32"/>
          <w:lang w:val="en-US" w:eastAsia="zh-CN"/>
        </w:rPr>
        <w:t>.</w:t>
      </w:r>
      <w:r>
        <w:rPr>
          <w:rFonts w:hint="eastAsia" w:ascii="仿宋_GB2312" w:hAnsi="仿宋_GB2312" w:eastAsia="仿宋_GB2312" w:cs="仿宋_GB2312"/>
          <w:b w:val="0"/>
          <w:i w:val="0"/>
          <w:snapToGrid/>
          <w:color w:val="333333"/>
          <w:sz w:val="32"/>
          <w:szCs w:val="32"/>
          <w:lang w:eastAsia="zh-CN"/>
        </w:rPr>
        <w:t>商务、技术和价格部分之和达到</w:t>
      </w:r>
      <w:r>
        <w:rPr>
          <w:rFonts w:hint="eastAsia" w:ascii="仿宋_GB2312" w:hAnsi="仿宋_GB2312" w:eastAsia="仿宋_GB2312" w:cs="仿宋_GB2312"/>
          <w:b w:val="0"/>
          <w:i w:val="0"/>
          <w:snapToGrid/>
          <w:color w:val="333333"/>
          <w:sz w:val="32"/>
          <w:szCs w:val="32"/>
          <w:lang w:val="en-US" w:eastAsia="zh-CN"/>
        </w:rPr>
        <w:t>70分方</w:t>
      </w:r>
      <w:r>
        <w:rPr>
          <w:rFonts w:hint="eastAsia" w:ascii="仿宋_GB2312" w:hAnsi="仿宋_GB2312" w:eastAsia="仿宋_GB2312" w:cs="仿宋_GB2312"/>
          <w:b w:val="0"/>
          <w:i w:val="0"/>
          <w:snapToGrid/>
          <w:color w:val="333333"/>
          <w:sz w:val="32"/>
          <w:szCs w:val="32"/>
          <w:lang w:eastAsia="zh-CN"/>
        </w:rPr>
        <w:t>可为成交候选人，总分排名第一的被推荐为第一成交候选人，总分排名第二的被推荐为第二成交候选人，以此类推(未达到以上分数，视为未实质性响应询价文件)。若商务、技术和价格得分相同的，按技术部分得分由高到低顺序，排列成交候选人的成交候选顺序。</w:t>
      </w:r>
    </w:p>
    <w:p>
      <w:pPr>
        <w:keepNext w:val="0"/>
        <w:keepLines w:val="0"/>
        <w:pageBreakBefore w:val="0"/>
        <w:widowControl w:val="0"/>
        <w:kinsoku/>
        <w:wordWrap/>
        <w:overflowPunct/>
        <w:topLinePunct w:val="0"/>
        <w:autoSpaceDE/>
        <w:autoSpaceDN w:val="0"/>
        <w:bidi w:val="0"/>
        <w:adjustRightInd/>
        <w:snapToGrid/>
        <w:spacing w:line="640" w:lineRule="exact"/>
        <w:ind w:firstLine="640"/>
        <w:jc w:val="both"/>
        <w:textAlignment w:val="auto"/>
        <w:rPr>
          <w:rFonts w:hint="eastAsia" w:ascii="仿宋_GB2312" w:hAnsi="仿宋_GB2312" w:eastAsia="仿宋_GB2312" w:cs="仿宋_GB2312"/>
          <w:b w:val="0"/>
          <w:i w:val="0"/>
          <w:snapToGrid/>
          <w:color w:val="333333"/>
          <w:sz w:val="32"/>
          <w:szCs w:val="32"/>
          <w:lang w:eastAsia="zh-CN"/>
        </w:rPr>
      </w:pPr>
      <w:r>
        <w:rPr>
          <w:rFonts w:hint="eastAsia" w:ascii="仿宋_GB2312" w:hAnsi="仿宋_GB2312" w:eastAsia="仿宋_GB2312" w:cs="仿宋_GB2312"/>
          <w:b w:val="0"/>
          <w:i w:val="0"/>
          <w:snapToGrid/>
          <w:color w:val="333333"/>
          <w:sz w:val="32"/>
          <w:szCs w:val="32"/>
          <w:lang w:eastAsia="zh-CN"/>
        </w:rPr>
        <w:t>三、能力因素评分(满分100分)</w:t>
      </w:r>
    </w:p>
    <w:tbl>
      <w:tblPr>
        <w:tblStyle w:val="8"/>
        <w:tblW w:w="8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1250"/>
        <w:gridCol w:w="6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exact"/>
          <w:jc w:val="center"/>
        </w:trPr>
        <w:tc>
          <w:tcPr>
            <w:tcW w:w="1309" w:type="dxa"/>
            <w:tcBorders>
              <w:tl2br w:val="nil"/>
              <w:tr2bl w:val="nil"/>
            </w:tcBorders>
            <w:noWrap w:val="0"/>
            <w:vAlign w:val="center"/>
          </w:tcPr>
          <w:p>
            <w:pPr>
              <w:jc w:val="center"/>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评审因素</w:t>
            </w:r>
          </w:p>
        </w:tc>
        <w:tc>
          <w:tcPr>
            <w:tcW w:w="7596" w:type="dxa"/>
            <w:gridSpan w:val="2"/>
            <w:tcBorders>
              <w:tl2br w:val="nil"/>
              <w:tr2bl w:val="nil"/>
            </w:tcBorders>
            <w:noWrap w:val="0"/>
            <w:vAlign w:val="center"/>
          </w:tcPr>
          <w:p>
            <w:pPr>
              <w:jc w:val="center"/>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exact"/>
          <w:jc w:val="center"/>
        </w:trPr>
        <w:tc>
          <w:tcPr>
            <w:tcW w:w="1309" w:type="dxa"/>
            <w:tcBorders>
              <w:tl2br w:val="nil"/>
              <w:tr2bl w:val="nil"/>
            </w:tcBorders>
            <w:noWrap w:val="0"/>
            <w:vAlign w:val="center"/>
          </w:tcPr>
          <w:p>
            <w:pPr>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分值构成</w:t>
            </w:r>
          </w:p>
        </w:tc>
        <w:tc>
          <w:tcPr>
            <w:tcW w:w="759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b w:val="0"/>
                <w:bCs w:val="0"/>
                <w:sz w:val="28"/>
                <w:szCs w:val="28"/>
                <w:rtl w:val="0"/>
                <w:lang w:val="en-US" w:eastAsia="zh-CN"/>
              </w:rPr>
            </w:pPr>
            <w:r>
              <w:rPr>
                <w:rFonts w:hint="eastAsia" w:ascii="仿宋_GB2312" w:hAnsi="仿宋_GB2312" w:eastAsia="仿宋_GB2312" w:cs="仿宋_GB2312"/>
                <w:b w:val="0"/>
                <w:bCs w:val="0"/>
                <w:sz w:val="28"/>
                <w:szCs w:val="28"/>
                <w:rtl w:val="0"/>
                <w:lang w:val="en-US" w:eastAsia="zh-CN"/>
              </w:rPr>
              <w:t>技术部分35分；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b w:val="0"/>
                <w:bCs w:val="0"/>
                <w:sz w:val="28"/>
                <w:szCs w:val="28"/>
                <w:rtl w:val="0"/>
                <w:lang w:val="en-US" w:eastAsia="zh-CN"/>
              </w:rPr>
            </w:pPr>
            <w:r>
              <w:rPr>
                <w:rFonts w:hint="eastAsia" w:ascii="仿宋_GB2312" w:hAnsi="仿宋_GB2312" w:eastAsia="仿宋_GB2312" w:cs="仿宋_GB2312"/>
                <w:b w:val="0"/>
                <w:bCs w:val="0"/>
                <w:sz w:val="28"/>
                <w:szCs w:val="28"/>
                <w:rtl w:val="0"/>
                <w:lang w:val="en-US" w:eastAsia="zh-CN"/>
              </w:rPr>
              <w:t>商务部分35分；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rtl w:val="0"/>
                <w:lang w:val="en-US" w:eastAsia="zh-CN"/>
              </w:rPr>
              <w:t>价格部分30分。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7" w:hRule="exact"/>
          <w:jc w:val="center"/>
        </w:trPr>
        <w:tc>
          <w:tcPr>
            <w:tcW w:w="1309" w:type="dxa"/>
            <w:vMerge w:val="restart"/>
            <w:tcBorders>
              <w:tl2br w:val="nil"/>
              <w:tr2bl w:val="nil"/>
            </w:tcBorders>
            <w:noWrap w:val="0"/>
            <w:vAlign w:val="center"/>
          </w:tcPr>
          <w:p>
            <w:pPr>
              <w:jc w:val="center"/>
              <w:rPr>
                <w:rFonts w:hint="eastAsia"/>
                <w:lang w:eastAsia="en-US"/>
              </w:rPr>
            </w:pPr>
            <w:r>
              <w:rPr>
                <w:rFonts w:hint="eastAsia" w:ascii="仿宋_GB2312" w:hAnsi="仿宋_GB2312" w:eastAsia="仿宋_GB2312" w:cs="仿宋_GB2312"/>
                <w:color w:val="auto"/>
                <w:sz w:val="28"/>
                <w:szCs w:val="28"/>
                <w:lang w:eastAsia="en-US"/>
              </w:rPr>
              <w:t>技术部分</w:t>
            </w:r>
          </w:p>
          <w:p>
            <w:pPr>
              <w:pStyle w:val="2"/>
              <w:rPr>
                <w:rFonts w:hint="eastAsia" w:eastAsia="仿宋_GB2312"/>
                <w:kern w:val="0"/>
                <w:lang w:eastAsia="zh-CN"/>
              </w:rPr>
            </w:pPr>
            <w:r>
              <w:rPr>
                <w:rFonts w:hint="eastAsia" w:ascii="仿宋_GB2312" w:hAnsi="仿宋_GB2312" w:eastAsia="仿宋_GB2312" w:cs="仿宋_GB2312"/>
                <w:color w:val="auto"/>
                <w:kern w:val="2"/>
                <w:sz w:val="28"/>
                <w:szCs w:val="28"/>
                <w:lang w:val="en-US" w:eastAsia="zh-CN" w:bidi="ar-SA"/>
              </w:rPr>
              <w:t>（35分）</w:t>
            </w:r>
          </w:p>
        </w:tc>
        <w:tc>
          <w:tcPr>
            <w:tcW w:w="1250" w:type="dxa"/>
            <w:tcBorders>
              <w:tl2br w:val="nil"/>
              <w:tr2bl w:val="nil"/>
            </w:tcBorders>
            <w:noWrap w:val="0"/>
            <w:vAlign w:val="center"/>
          </w:tcPr>
          <w:p>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服务方案</w:t>
            </w:r>
          </w:p>
          <w:p>
            <w:pPr>
              <w:jc w:val="center"/>
              <w:rPr>
                <w:rFonts w:hint="eastAsia" w:ascii="仿宋_GB2312" w:hAnsi="仿宋_GB2312" w:eastAsia="仿宋_GB2312" w:cs="仿宋_GB2312"/>
                <w:sz w:val="28"/>
                <w:szCs w:val="28"/>
                <w:lang w:val="en-US" w:eastAsia="en-US"/>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30分）</w:t>
            </w:r>
          </w:p>
        </w:tc>
        <w:tc>
          <w:tcPr>
            <w:tcW w:w="63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b w:val="0"/>
                <w:bCs w:val="0"/>
                <w:sz w:val="28"/>
                <w:szCs w:val="28"/>
                <w:rtl w:val="0"/>
                <w:lang w:val="en-US" w:eastAsia="zh-CN"/>
              </w:rPr>
            </w:pPr>
            <w:r>
              <w:rPr>
                <w:rFonts w:hint="eastAsia" w:ascii="仿宋_GB2312" w:hAnsi="仿宋_GB2312" w:eastAsia="仿宋_GB2312" w:cs="仿宋_GB2312"/>
                <w:b w:val="0"/>
                <w:bCs w:val="0"/>
                <w:sz w:val="28"/>
                <w:szCs w:val="28"/>
                <w:rtl w:val="0"/>
                <w:lang w:val="en-US" w:eastAsia="zh-CN"/>
              </w:rPr>
              <w:t>评委就供应商项目服务方案内容进行综合评审。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b w:val="0"/>
                <w:bCs w:val="0"/>
                <w:sz w:val="28"/>
                <w:szCs w:val="28"/>
                <w:rtl w:val="0"/>
                <w:lang w:val="en-US" w:eastAsia="zh-CN"/>
              </w:rPr>
            </w:pPr>
            <w:r>
              <w:rPr>
                <w:rFonts w:hint="eastAsia" w:ascii="仿宋_GB2312" w:hAnsi="仿宋_GB2312" w:eastAsia="仿宋_GB2312" w:cs="仿宋_GB2312"/>
                <w:b w:val="0"/>
                <w:bCs w:val="0"/>
                <w:sz w:val="28"/>
                <w:szCs w:val="28"/>
                <w:lang w:val="en-US" w:eastAsia="zh-CN"/>
              </w:rPr>
              <w:t>优：</w:t>
            </w:r>
            <w:r>
              <w:rPr>
                <w:rFonts w:hint="eastAsia" w:ascii="仿宋_GB2312" w:hAnsi="仿宋_GB2312" w:eastAsia="仿宋_GB2312" w:cs="仿宋_GB2312"/>
                <w:b w:val="0"/>
                <w:bCs w:val="0"/>
                <w:sz w:val="28"/>
                <w:szCs w:val="28"/>
                <w:rtl w:val="0"/>
                <w:lang w:val="en-US" w:eastAsia="zh-CN"/>
              </w:rPr>
              <w:t>所制定的服务方案对采购人的服务内容理解准确全面，对南沙区市场监管质量发展领域特点和难点理解深刻，有详细、合理的分析和对策、完全满足或优于采购需求要求，得21-30分；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lang w:val="en-US" w:eastAsia="zh-CN"/>
              </w:rPr>
              <w:t>良：</w:t>
            </w:r>
            <w:r>
              <w:rPr>
                <w:rFonts w:hint="eastAsia" w:ascii="仿宋_GB2312" w:hAnsi="仿宋_GB2312" w:eastAsia="仿宋_GB2312" w:cs="仿宋_GB2312"/>
                <w:sz w:val="28"/>
                <w:szCs w:val="28"/>
                <w:rtl w:val="0"/>
                <w:lang w:val="en-US" w:eastAsia="zh-CN"/>
              </w:rPr>
              <w:t>所制定的服务方案对采购人的服务内容理解较准确全面，对南沙区市场监管质量发展领域特点和难点理解较深刻，较满足采购需求要求，对策较详细合理的，得11-20分；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rtl w:val="0"/>
                <w:lang w:val="en-US" w:eastAsia="zh-CN"/>
              </w:rPr>
            </w:pPr>
            <w:r>
              <w:rPr>
                <w:rFonts w:hint="eastAsia" w:ascii="仿宋_GB2312" w:hAnsi="仿宋_GB2312" w:eastAsia="仿宋_GB2312" w:cs="仿宋_GB2312"/>
                <w:sz w:val="28"/>
                <w:szCs w:val="28"/>
                <w:lang w:val="en-US" w:eastAsia="zh-CN"/>
              </w:rPr>
              <w:t>中：</w:t>
            </w:r>
            <w:r>
              <w:rPr>
                <w:rFonts w:hint="eastAsia" w:ascii="仿宋_GB2312" w:hAnsi="仿宋_GB2312" w:eastAsia="仿宋_GB2312" w:cs="仿宋_GB2312"/>
                <w:sz w:val="28"/>
                <w:szCs w:val="28"/>
                <w:rtl w:val="0"/>
                <w:lang w:val="en-US" w:eastAsia="zh-CN"/>
              </w:rPr>
              <w:t>所制定的服务方案对采购人的服务内容基本理解，对南沙区市场监管质量发展领域基本理解，基本满足采购需求要求的，得1-10分；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差：</w:t>
            </w:r>
            <w:r>
              <w:rPr>
                <w:rFonts w:hint="eastAsia" w:ascii="仿宋_GB2312" w:hAnsi="仿宋_GB2312" w:eastAsia="仿宋_GB2312" w:cs="仿宋_GB2312"/>
                <w:sz w:val="28"/>
                <w:szCs w:val="28"/>
                <w:rtl w:val="0"/>
                <w:lang w:val="en-US" w:eastAsia="zh-CN"/>
              </w:rPr>
              <w:t>所制定的服务方案对采购人的服务内容理解不到位，对南沙区市场监管质量发展领域特点和难点理解不到位，不满足需求或其他情况，不得分。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8" w:hRule="exact"/>
          <w:jc w:val="center"/>
        </w:trPr>
        <w:tc>
          <w:tcPr>
            <w:tcW w:w="1309" w:type="dxa"/>
            <w:vMerge w:val="continue"/>
            <w:tcBorders>
              <w:tl2br w:val="nil"/>
              <w:tr2bl w:val="nil"/>
            </w:tcBorders>
            <w:noWrap w:val="0"/>
            <w:vAlign w:val="center"/>
          </w:tcPr>
          <w:p>
            <w:pPr>
              <w:jc w:val="center"/>
              <w:rPr>
                <w:rFonts w:hint="eastAsia" w:ascii="仿宋_GB2312" w:hAnsi="仿宋_GB2312" w:eastAsia="仿宋_GB2312" w:cs="仿宋_GB2312"/>
                <w:sz w:val="28"/>
                <w:szCs w:val="28"/>
                <w:lang w:eastAsia="zh-CN"/>
              </w:rPr>
            </w:pPr>
          </w:p>
        </w:tc>
        <w:tc>
          <w:tcPr>
            <w:tcW w:w="1250" w:type="dxa"/>
            <w:tcBorders>
              <w:tl2br w:val="nil"/>
              <w:tr2bl w:val="nil"/>
            </w:tcBorders>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对采购需求响应程度</w:t>
            </w:r>
          </w:p>
          <w:p>
            <w:pPr>
              <w:pStyle w:val="2"/>
              <w:jc w:val="center"/>
              <w:rPr>
                <w:rFonts w:hint="default"/>
                <w:kern w:val="0"/>
                <w:sz w:val="28"/>
                <w:szCs w:val="28"/>
                <w:lang w:val="en-US" w:eastAsia="zh-CN"/>
              </w:rPr>
            </w:pPr>
            <w:r>
              <w:rPr>
                <w:rFonts w:hint="eastAsia" w:ascii="仿宋_GB2312" w:hAnsi="仿宋_GB2312" w:eastAsia="仿宋_GB2312" w:cs="仿宋_GB2312"/>
                <w:kern w:val="0"/>
                <w:sz w:val="28"/>
                <w:szCs w:val="28"/>
                <w:lang w:val="en-US" w:eastAsia="zh-CN"/>
              </w:rPr>
              <w:t>(5分)</w:t>
            </w:r>
          </w:p>
          <w:p>
            <w:pPr>
              <w:pStyle w:val="2"/>
              <w:ind w:firstLine="280" w:firstLineChars="100"/>
              <w:rPr>
                <w:rFonts w:hint="eastAsia" w:ascii="仿宋_GB2312" w:hAnsi="仿宋_GB2312" w:eastAsia="仿宋_GB2312" w:cs="仿宋_GB2312"/>
                <w:kern w:val="0"/>
                <w:sz w:val="28"/>
                <w:szCs w:val="28"/>
                <w:lang w:val="en-US" w:eastAsia="en-US"/>
              </w:rPr>
            </w:pPr>
          </w:p>
        </w:tc>
        <w:tc>
          <w:tcPr>
            <w:tcW w:w="63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评委就供应商提供服务承诺和服务质量进行综合评审。 </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优：承诺响应时间快，得5分；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良：承诺响应时间较快，得3分；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中：承诺响应时间一般，得1分；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差：承诺响应时间慢，不得分。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exact"/>
          <w:jc w:val="center"/>
        </w:trPr>
        <w:tc>
          <w:tcPr>
            <w:tcW w:w="1309" w:type="dxa"/>
            <w:vMerge w:val="restart"/>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商务部分</w:t>
            </w:r>
          </w:p>
          <w:p>
            <w:pPr>
              <w:jc w:val="center"/>
              <w:rPr>
                <w:rFonts w:hint="eastAsia"/>
                <w:lang w:eastAsia="zh-CN"/>
              </w:rPr>
            </w:pPr>
            <w:r>
              <w:rPr>
                <w:rFonts w:hint="eastAsia" w:ascii="仿宋_GB2312" w:hAnsi="仿宋_GB2312" w:eastAsia="仿宋_GB2312" w:cs="仿宋_GB2312"/>
                <w:sz w:val="28"/>
                <w:szCs w:val="28"/>
                <w:lang w:val="en-US" w:eastAsia="zh-CN"/>
              </w:rPr>
              <w:t>（35分）</w:t>
            </w:r>
          </w:p>
        </w:tc>
        <w:tc>
          <w:tcPr>
            <w:tcW w:w="1250" w:type="dxa"/>
            <w:tcBorders>
              <w:tl2br w:val="nil"/>
              <w:tr2bl w:val="nil"/>
            </w:tcBorders>
            <w:noWrap w:val="0"/>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业绩</w:t>
            </w:r>
          </w:p>
          <w:p>
            <w:pPr>
              <w:pStyle w:val="2"/>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（20分）</w:t>
            </w:r>
          </w:p>
        </w:tc>
        <w:tc>
          <w:tcPr>
            <w:tcW w:w="63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近三年以来（2020.10-2023.10），供应商有为行政部门提供过质量相关服务的，每个项目得5分。满分为20分。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说明：提供相应合同证明资料。（1、服务年度必须是在2020年10月-2023年10月期间。2、质量相关服务按合同份数计算，每份合同算一个项目，得5分）。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6" w:hRule="exact"/>
          <w:jc w:val="center"/>
        </w:trPr>
        <w:tc>
          <w:tcPr>
            <w:tcW w:w="1309" w:type="dxa"/>
            <w:vMerge w:val="continue"/>
            <w:tcBorders>
              <w:tl2br w:val="nil"/>
              <w:tr2bl w:val="nil"/>
            </w:tcBorders>
            <w:noWrap w:val="0"/>
            <w:vAlign w:val="center"/>
          </w:tcPr>
          <w:p>
            <w:pPr>
              <w:jc w:val="center"/>
              <w:rPr>
                <w:rFonts w:hint="eastAsia" w:ascii="仿宋_GB2312" w:hAnsi="仿宋_GB2312" w:eastAsia="仿宋_GB2312" w:cs="仿宋_GB2312"/>
                <w:sz w:val="28"/>
                <w:szCs w:val="28"/>
                <w:lang w:eastAsia="zh-CN"/>
              </w:rPr>
            </w:pPr>
          </w:p>
        </w:tc>
        <w:tc>
          <w:tcPr>
            <w:tcW w:w="1250" w:type="dxa"/>
            <w:tcBorders>
              <w:tl2br w:val="nil"/>
              <w:tr2bl w:val="nil"/>
            </w:tcBorders>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供应商配置</w:t>
            </w:r>
          </w:p>
          <w:p>
            <w:pPr>
              <w:pStyle w:val="2"/>
              <w:rPr>
                <w:rFonts w:hint="eastAsia" w:ascii="仿宋_GB2312" w:hAnsi="仿宋_GB2312" w:eastAsia="仿宋_GB2312" w:cs="仿宋_GB2312"/>
                <w:kern w:val="0"/>
                <w:sz w:val="28"/>
                <w:szCs w:val="28"/>
                <w:lang w:val="en-US" w:eastAsia="en-US"/>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15分）</w:t>
            </w:r>
          </w:p>
        </w:tc>
        <w:tc>
          <w:tcPr>
            <w:tcW w:w="63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tl w:val="0"/>
                <w:lang w:val="en-US" w:eastAsia="zh-CN"/>
              </w:rPr>
              <w:t>评委就供应商服</w:t>
            </w:r>
            <w:r>
              <w:rPr>
                <w:rFonts w:hint="eastAsia" w:ascii="仿宋_GB2312" w:hAnsi="仿宋_GB2312" w:eastAsia="仿宋_GB2312" w:cs="仿宋_GB2312"/>
                <w:sz w:val="28"/>
                <w:szCs w:val="28"/>
                <w:lang w:eastAsia="zh-CN"/>
              </w:rPr>
              <w:t>配置</w:t>
            </w:r>
            <w:r>
              <w:rPr>
                <w:rFonts w:hint="eastAsia" w:ascii="仿宋_GB2312" w:hAnsi="仿宋_GB2312" w:eastAsia="仿宋_GB2312" w:cs="仿宋_GB2312"/>
                <w:sz w:val="28"/>
                <w:szCs w:val="28"/>
                <w:rtl w:val="0"/>
                <w:lang w:val="en-US" w:eastAsia="zh-CN"/>
              </w:rPr>
              <w:t>进行评审。</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优：</w:t>
            </w:r>
            <w:r>
              <w:rPr>
                <w:rFonts w:hint="eastAsia" w:ascii="仿宋_GB2312" w:hAnsi="仿宋_GB2312" w:eastAsia="仿宋_GB2312" w:cs="仿宋_GB2312"/>
                <w:sz w:val="28"/>
                <w:szCs w:val="28"/>
                <w:lang w:val="en-US" w:eastAsia="zh-CN"/>
              </w:rPr>
              <w:t>供应商负责人从事质量政策法规、质量理论、质量管理、质量标准、质量品牌领域工作经验，且工作时长累计在10年及以上；其他项目成员有为政府部门从事质量政策法规、质量理论、质量管理、质量标准、质量品牌领域工作经验且工作时长累计在5年以上，得15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良</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负责人从事质量政策法规、质量理论、质量管理、质量标准、质量品牌领域工作经验，且工作时长累计在8年及以上；其他项目成员有为政府部门从事质量政策法规、质量理论、质量管理、质量标准、质量品牌领域工作经验且工作时长累计在4年以上，得10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中</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负责人从事质量政策法规、质量理论、质量管理、质量标准、质量品牌领域工作经验，且工作时长累计在6年及以上；其他项目成员有为政府部门从事质量政策法规、质量理论、质量管理、质量标准、质量品牌领域工作经验且工作时长累计在3年以上，得6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负责人从事质量政策法规、质量理论、质量管理、质量标准、质量品牌领域工作经验，且工作时长累计在4年及以上；其他项目成员有为政府部门从事质量政策法规、质量理论、质量管理、质量标准、质量品牌领域工作经验且工作时长累计在1年以上，得3分。</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（须提供项目团队相关职称证明文件及提供以上人员在本机构任职的证明材料。）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6" w:hRule="atLeast"/>
          <w:jc w:val="center"/>
        </w:trPr>
        <w:tc>
          <w:tcPr>
            <w:tcW w:w="1309" w:type="dxa"/>
            <w:tcBorders>
              <w:tl2br w:val="nil"/>
              <w:tr2bl w:val="nil"/>
            </w:tcBorders>
            <w:noWrap w:val="0"/>
            <w:vAlign w:val="center"/>
          </w:tcPr>
          <w:p>
            <w:pPr>
              <w:jc w:val="center"/>
              <w:rPr>
                <w:rFonts w:hint="eastAsia"/>
                <w:lang w:eastAsia="en-US"/>
              </w:rPr>
            </w:pPr>
            <w:r>
              <w:rPr>
                <w:rFonts w:hint="eastAsia" w:ascii="仿宋_GB2312" w:hAnsi="仿宋_GB2312" w:eastAsia="仿宋_GB2312" w:cs="仿宋_GB2312"/>
                <w:sz w:val="28"/>
                <w:szCs w:val="28"/>
                <w:lang w:eastAsia="en-US"/>
              </w:rPr>
              <w:t>价格部分</w:t>
            </w:r>
          </w:p>
          <w:p>
            <w:pPr>
              <w:pStyle w:val="2"/>
              <w:jc w:val="center"/>
              <w:rPr>
                <w:rFonts w:hint="eastAsia"/>
                <w:kern w:val="0"/>
                <w:lang w:eastAsia="zh-CN"/>
              </w:rPr>
            </w:pPr>
            <w:r>
              <w:rPr>
                <w:rFonts w:hint="eastAsia" w:ascii="仿宋_GB2312" w:hAnsi="仿宋_GB2312" w:eastAsia="仿宋_GB2312" w:cs="仿宋_GB2312"/>
                <w:kern w:val="0"/>
                <w:sz w:val="28"/>
                <w:szCs w:val="28"/>
                <w:lang w:eastAsia="en-US"/>
              </w:rPr>
              <w:t>（</w:t>
            </w:r>
            <w:r>
              <w:rPr>
                <w:rFonts w:hint="eastAsia" w:ascii="仿宋_GB2312" w:hAnsi="仿宋_GB2312" w:eastAsia="仿宋_GB2312" w:cs="仿宋_GB2312"/>
                <w:kern w:val="0"/>
                <w:sz w:val="28"/>
                <w:szCs w:val="28"/>
                <w:lang w:val="en-US" w:eastAsia="zh-CN"/>
              </w:rPr>
              <w:t>30</w:t>
            </w:r>
            <w:r>
              <w:rPr>
                <w:rFonts w:hint="eastAsia" w:ascii="仿宋_GB2312" w:hAnsi="仿宋_GB2312" w:eastAsia="仿宋_GB2312" w:cs="仿宋_GB2312"/>
                <w:kern w:val="0"/>
                <w:sz w:val="28"/>
                <w:szCs w:val="28"/>
                <w:lang w:eastAsia="en-US"/>
              </w:rPr>
              <w:t>分）</w:t>
            </w:r>
          </w:p>
        </w:tc>
        <w:tc>
          <w:tcPr>
            <w:tcW w:w="1250" w:type="dxa"/>
            <w:tcBorders>
              <w:tl2br w:val="nil"/>
              <w:tr2bl w:val="nil"/>
            </w:tcBorders>
            <w:noWrap w:val="0"/>
            <w:vAlign w:val="center"/>
          </w:tcPr>
          <w:p>
            <w:pPr>
              <w:jc w:val="center"/>
              <w:rPr>
                <w:rFonts w:hint="eastAsia" w:ascii="仿宋_GB2312" w:hAnsi="仿宋_GB2312" w:eastAsia="仿宋_GB2312" w:cs="仿宋_GB2312"/>
                <w:sz w:val="28"/>
                <w:szCs w:val="28"/>
                <w:lang w:eastAsia="en-US"/>
              </w:rPr>
            </w:pPr>
            <w:r>
              <w:rPr>
                <w:rFonts w:hint="eastAsia" w:ascii="仿宋_GB2312" w:hAnsi="仿宋_GB2312" w:eastAsia="仿宋_GB2312" w:cs="仿宋_GB2312"/>
                <w:sz w:val="28"/>
                <w:szCs w:val="28"/>
                <w:lang w:eastAsia="en-US"/>
              </w:rPr>
              <w:t>价格高低（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lang w:eastAsia="en-US"/>
              </w:rPr>
              <w:t>分）</w:t>
            </w:r>
          </w:p>
        </w:tc>
        <w:tc>
          <w:tcPr>
            <w:tcW w:w="63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计算价格评分：价格分统一采用低价优先法计算，各有效供应商的评标价中，取最低价为评标基准价，其价格分为满分。其他供应商的价格分统一按照下列公式计算：价格评分=（评标基准价／评标价）×30分</w:t>
            </w:r>
          </w:p>
        </w:tc>
      </w:tr>
    </w:tbl>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553A2"/>
    <w:rsid w:val="0B765915"/>
    <w:rsid w:val="11A34503"/>
    <w:rsid w:val="1DC944BD"/>
    <w:rsid w:val="35A63C5A"/>
    <w:rsid w:val="6C45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2023-11-27T10:12:00Z</dcterms:created>
  <dc:creator>我超级酷</dc:creator>
  <cp:lastModifiedBy>我超级酷</cp:lastModifiedBy>
  <cp:lastPrinted>2023-11-28T01:23:00Z</cp:lastPrinted>
  <dcterms:modified xsi:type="dcterms:W3CDTF">2023-11-30T09:55:45Z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F3585E417D1E4EBBA2B17EB2E7C01733</vt:lpwstr>
  </property>
</Properties>
</file>