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公众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意见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汇总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表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230"/>
        <w:gridCol w:w="1463"/>
        <w:gridCol w:w="3320"/>
        <w:gridCol w:w="7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  <w:lang w:val="en-US" w:eastAsia="zh-CN"/>
              </w:rPr>
              <w:t>序号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  <w:lang w:val="en-US" w:eastAsia="zh-CN"/>
              </w:rPr>
              <w:t>姓名</w:t>
            </w:r>
          </w:p>
        </w:tc>
        <w:tc>
          <w:tcPr>
            <w:tcW w:w="1463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</w:rPr>
              <w:t>条款</w:t>
            </w:r>
          </w:p>
        </w:tc>
        <w:tc>
          <w:tcPr>
            <w:tcW w:w="3320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  <w:lang w:eastAsia="zh-CN"/>
              </w:rPr>
              <w:t>意见</w:t>
            </w:r>
            <w:bookmarkStart w:id="1" w:name="_GoBack"/>
            <w:bookmarkEnd w:id="1"/>
          </w:p>
        </w:tc>
        <w:tc>
          <w:tcPr>
            <w:tcW w:w="7546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  <w:lang w:val="en-US" w:eastAsia="zh-CN"/>
              </w:rPr>
              <w:t>采纳情况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bookmarkStart w:id="0" w:name="_Hlk41552642"/>
          </w:p>
        </w:tc>
        <w:tc>
          <w:tcPr>
            <w:tcW w:w="1230" w:type="dxa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福宝</w:t>
            </w:r>
          </w:p>
        </w:tc>
        <w:tc>
          <w:tcPr>
            <w:tcW w:w="1463" w:type="dxa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33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《南沙区第二批户外广告设置实施方案》正式印发后需不需要办理行政许可手续？</w:t>
            </w:r>
          </w:p>
        </w:tc>
        <w:tc>
          <w:tcPr>
            <w:tcW w:w="75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《南沙区第二批户外广告设置实施方案》正式印发之后，实施方案涉及的广告点位必需按照《广州市户外广告和招牌设置管理办法》的相关规定办理《户外广告设置证》。</w:t>
            </w:r>
          </w:p>
          <w:p>
            <w:pPr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D32CD7"/>
    <w:multiLevelType w:val="multilevel"/>
    <w:tmpl w:val="73D32CD7"/>
    <w:lvl w:ilvl="0" w:tentative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05714D"/>
    <w:rsid w:val="31DF51BC"/>
    <w:rsid w:val="599D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2022-08-03T08:47:00Z</dcterms:created>
  <dc:creator>Administrator</dc:creator>
  <cp:lastModifiedBy>PC003</cp:lastModifiedBy>
  <dcterms:modified xsi:type="dcterms:W3CDTF">2023-11-20T09:06:43Z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C112F4D12C18433291434B299C98D56B</vt:lpwstr>
  </property>
</Properties>
</file>