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600" w:lineRule="exact"/>
        <w:jc w:val="center"/>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val="en-US" w:eastAsia="zh-CN"/>
        </w:rPr>
        <w:t>《南沙邀您为“十四五”规划提建议》公众意见采纳情况汇总表</w:t>
      </w:r>
    </w:p>
    <w:tbl>
      <w:tblPr>
        <w:tblStyle w:val="5"/>
        <w:tblW w:w="87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885"/>
        <w:gridCol w:w="4487"/>
        <w:gridCol w:w="2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ID</w:t>
            </w:r>
          </w:p>
        </w:tc>
        <w:tc>
          <w:tcPr>
            <w:tcW w:w="4487"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意见</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4"/>
                <w:szCs w:val="24"/>
                <w:vertAlign w:val="baseline"/>
                <w:lang w:val="en-US" w:eastAsia="zh-CN"/>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1</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冷痕</w:t>
            </w:r>
          </w:p>
        </w:tc>
        <w:tc>
          <w:tcPr>
            <w:tcW w:w="4487"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优先建设连接进港大道与十八号线的十五号线</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5"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2</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冰/何昊兵</w:t>
            </w:r>
          </w:p>
        </w:tc>
        <w:tc>
          <w:tcPr>
            <w:tcW w:w="4487" w:type="dxa"/>
            <w:vAlign w:val="center"/>
          </w:tcPr>
          <w:p>
            <w:pPr>
              <w:pStyle w:val="7"/>
              <w:keepNext w:val="0"/>
              <w:keepLines w:val="0"/>
              <w:pageBreakBefore w:val="0"/>
              <w:widowControl w:val="0"/>
              <w:numPr>
                <w:ilvl w:val="0"/>
                <w:numId w:val="1"/>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在滨海珺城附近设置高速路口</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降低南沙港快线、广澳高速等高速路的收费标准</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南沙港快线限速提高到120km/小时</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地铁四号线目前只有60km/小时，需要提速至90km/小时</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提升南沙大道两侧的风景</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应提早开展“禁摩”、“开四停四”等工作，修建更多的停车场，以提升南沙的城市品位。</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3</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唐雅红</w:t>
            </w:r>
          </w:p>
        </w:tc>
        <w:tc>
          <w:tcPr>
            <w:tcW w:w="4487" w:type="dxa"/>
            <w:vAlign w:val="center"/>
          </w:tcPr>
          <w:p>
            <w:pPr>
              <w:pStyle w:val="7"/>
              <w:keepNext w:val="0"/>
              <w:keepLines w:val="0"/>
              <w:pageBreakBefore w:val="0"/>
              <w:widowControl w:val="0"/>
              <w:numPr>
                <w:ilvl w:val="0"/>
                <w:numId w:val="2"/>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通过地铁或轻轨，对居民通勤和重型运输车辆分离，降低交通事故风险，解决未来住宅高密度区域的通勤压力，如15号线，NS3线，未来轻轨等</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在金洲北片区设置几个出口，如在越秀滨海新城小区附近片区设站</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3"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4</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刘小姐</w:t>
            </w:r>
          </w:p>
        </w:tc>
        <w:tc>
          <w:tcPr>
            <w:tcW w:w="4487" w:type="dxa"/>
            <w:vAlign w:val="center"/>
          </w:tcPr>
          <w:p>
            <w:pPr>
              <w:pStyle w:val="7"/>
              <w:keepNext w:val="0"/>
              <w:keepLines w:val="0"/>
              <w:pageBreakBefore w:val="0"/>
              <w:widowControl w:val="0"/>
              <w:numPr>
                <w:ilvl w:val="0"/>
                <w:numId w:val="3"/>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南沙湾建设三甲医院</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慧谷片区的滨海大道，双向总共才四车道，建议扩建</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完善珠江湾小区周边的市政道路灯光</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慧谷片区的滨海绿道占地经营严重，晚上灯光没有开，附近缺乏停车资源</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5</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祝小姐</w:t>
            </w:r>
          </w:p>
        </w:tc>
        <w:tc>
          <w:tcPr>
            <w:tcW w:w="4487" w:type="dxa"/>
            <w:vAlign w:val="center"/>
          </w:tcPr>
          <w:p>
            <w:pPr>
              <w:pStyle w:val="7"/>
              <w:keepNext w:val="0"/>
              <w:keepLines w:val="0"/>
              <w:pageBreakBefore w:val="0"/>
              <w:widowControl w:val="0"/>
              <w:numPr>
                <w:ilvl w:val="0"/>
                <w:numId w:val="4"/>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加快地标规划和动工建设，建议尽快落户南沙世界之心，丝路国际中心，中国创新中心等地标，并引进城市设计师建筑师保证建筑风格的高质量，打造成为大湾区最高最靓地标</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加快开工15号线ns2号线和18，22号线南延线，以四号东延西延率先开工，否则可以先谋划有轨电车云轨，亿航飞的等交通设施，便利市民出入</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打造精细化城市工程，加快拆迁和签约进度，特别是文旅项目恒大文旅城。城市绿化美化工程师可借鉴前海临港通州和珠海的做法，开通更多的隧道并美化隧道，美化街道，加大雕塑牌坊等标识性建设</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全力发展水上公交系统，打造威尼斯新城，开工现代化码头路线，氛围快线快艇和观光慢线游艇等等形式</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滨海碧道再升级，南沙湾等沿海栈道要铺设人工沙滩，留有亲水平台，加大人行天桥和沿海、沿江滨江公园的建设</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4"/>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建议南沙湾尽快与霍氏集团达成共识，全面动工，打造海上门户，海洋中心。应当在南沙湾建设科技塔创新塔，超越中新知识城的知识塔</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意见已转交至相关部门研究参考并将在我区“十四五”规划纲要和相关专项规划中予以统筹考虑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6</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胡佳涛</w:t>
            </w:r>
          </w:p>
        </w:tc>
        <w:tc>
          <w:tcPr>
            <w:tcW w:w="4487" w:type="dxa"/>
            <w:vAlign w:val="center"/>
          </w:tcPr>
          <w:p>
            <w:pPr>
              <w:pStyle w:val="7"/>
              <w:keepNext w:val="0"/>
              <w:keepLines w:val="0"/>
              <w:pageBreakBefore w:val="0"/>
              <w:widowControl w:val="0"/>
              <w:numPr>
                <w:ilvl w:val="0"/>
                <w:numId w:val="5"/>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解决珠江电厂附近的粉尘和大气污染问题，建议在南沙街与黄阁镇多设监测点</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5"/>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伴随珠江火力发电厂的老化而来的高故障率和安全性问题，该火力电厂已30年之久，临近退役年限，且处于南沙中心区，为安全着想，建议安排新的地址</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5"/>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要做燃煤落后产能的减法，也要在燃煤的基础上做污染的加法，推动污泥焚烧项目</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8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7</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何虎林</w:t>
            </w:r>
          </w:p>
        </w:tc>
        <w:tc>
          <w:tcPr>
            <w:tcW w:w="4487" w:type="dxa"/>
            <w:vAlign w:val="center"/>
          </w:tcPr>
          <w:p>
            <w:pPr>
              <w:pStyle w:val="7"/>
              <w:keepNext w:val="0"/>
              <w:keepLines w:val="0"/>
              <w:pageBreakBefore w:val="0"/>
              <w:widowControl w:val="0"/>
              <w:numPr>
                <w:ilvl w:val="0"/>
                <w:numId w:val="6"/>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建议珠江电厂搬走</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蝴蝶洲周边林场与小区严禁使用农药，把梦幻般的蝴蝶洲恢复起来</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形成邻水、临涌、临岩鸟岛群。可以在凤凰湖周边岩壁打上千个洞形成翠鸟鸟岛，湖心岛喂养，供人观光拍照；焦门河两岸形成海鸥鸟岛，河心岛隔离人群，类似昆明翠湖；在南沙街一带的棕榈树、椰子树上形成蝙蝠鸟岛，用红外及光学双镜头观察拍摄，大屏幕直接播放，供人参观，禁止砍伐棕榈；在南北台村形成燕子岛，目前已成型，急需保护；在灵山岛尖形成鱼鹰鸟岛群；在横沥岛尖形成大雁与野鸭岛群；在各条河涌树上建立永久密集、大小不一的人工鸟窝，或者树立桩杆鸟窝；在焦门河广场放养广场鸽；在黄山鲁形成蜜蜂放养群；在其他矿坑岩壁上打洞上万个，形成八哥、麻雀、等非观赏性鸟类的窝</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建议东发码头和南伟码头停业，另行开发</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设立标准产业园，一流企业定标准，二流企业做产品，标准的制定和检测是引领型产业，是创新的标杆，涉及各行各业的标准，建议南沙划出地块，建立50栋100层以上的高楼，形成标准产业区</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建议22号地铁线过江，联通南沙、东莞、深圳；在地铁修建以前，建议在南沙客运港设立到东莞、深圳的直达汽车大巴，车票控制在10元以内</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凫洲大桥北侧目前堵车日益严重，要研究疏导的方法</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加快高中建设，目前南沙的高中建设成问题，数量少</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6"/>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在黄阁地铁口规划汽车小镇，建设2-4座类似万达广场的汽车类产品交易广场；建设八座汽车仓储大楼，每座10层，用于储存汽车码头的周转汽车</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意见已转交至相关部门研究参考并将在我区“十四五”规划纲要和相关专项规划中予以统筹考虑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8</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廖先生</w:t>
            </w:r>
          </w:p>
        </w:tc>
        <w:tc>
          <w:tcPr>
            <w:tcW w:w="4487" w:type="dxa"/>
            <w:vAlign w:val="center"/>
          </w:tcPr>
          <w:p>
            <w:pPr>
              <w:pStyle w:val="7"/>
              <w:keepNext w:val="0"/>
              <w:keepLines w:val="0"/>
              <w:pageBreakBefore w:val="0"/>
              <w:widowControl w:val="0"/>
              <w:numPr>
                <w:ilvl w:val="0"/>
                <w:numId w:val="7"/>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南沙居住证自动续签。建立智能化管理系统，居住证到期后，系统自动比对居民居住地址等信息是否发生变化，如果无变化，则自动为其续签一年有效期</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7"/>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南沙实施特殊入户政策。建议放开落户限制，只要在南沙有商品房即可落户</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5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9</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蔡晓峰</w:t>
            </w:r>
          </w:p>
        </w:tc>
        <w:tc>
          <w:tcPr>
            <w:tcW w:w="4487"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建议南沙区引入由北京迷笛音乐学校与迷笛演出有限公司共同推出的迷笛现代音乐产业集群项目。重点可落地项目可包括广州迷笛音乐学校、广州迷笛音乐节以及迷笛现代音乐全国考级华南（广州）地区总部，以及创建国家音乐产业基地广州迷笛园区</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10</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王洪涛</w:t>
            </w:r>
          </w:p>
        </w:tc>
        <w:tc>
          <w:tcPr>
            <w:tcW w:w="4487" w:type="dxa"/>
            <w:vAlign w:val="center"/>
          </w:tcPr>
          <w:p>
            <w:pPr>
              <w:pStyle w:val="7"/>
              <w:keepNext w:val="0"/>
              <w:keepLines w:val="0"/>
              <w:pageBreakBefore w:val="0"/>
              <w:widowControl w:val="0"/>
              <w:numPr>
                <w:ilvl w:val="0"/>
                <w:numId w:val="8"/>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南沙打造交通，不仅限于南沙目前人口经济的需求，而是要看到整个大湾区人口经济发展的需求，只有基础交通完善了，才能吸引人才和资本。建设海陆空三位一体的立体交通网</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8"/>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完善更加便捷的吸引人才落户就业的相关文件</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8"/>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吸引资金流入南沙投资，一定要制定最优惠的税收制度</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8"/>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把“广州期货交易所”设立在南沙，并在南沙设立粤港澳大湾区国际商业银行总部，方便跨境交易</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8"/>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建立更加便捷的跨境物流，国内和区域物流体系，对物流企业总部在南沙的建立制定相关扶持政策</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8"/>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在南沙再多引进几所高水平大学和科研机构</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8"/>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建设好：南沙湾区大剧院，音乐厅，美术馆，博物馆，奥体中心并把他们打造成大湾区城市文化活动的中心</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8"/>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加强美好南沙旅游相关产业的发展。进一步拆除南沙区内的重污染企业，不在审批有污染环境风险的企业项目</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意见已转交至相关部门研究参考并将在我区“十四五”规划纲要和相关专项规划中予以统筹考虑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11</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和风细雨</w:t>
            </w:r>
          </w:p>
        </w:tc>
        <w:tc>
          <w:tcPr>
            <w:tcW w:w="4487"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加快建造地铁15号线</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12</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秦华明</w:t>
            </w:r>
          </w:p>
        </w:tc>
        <w:tc>
          <w:tcPr>
            <w:tcW w:w="4487"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交通规划中开通一个滨海新城地铁口；建议可多设置几条公交路线，在滨海新城、阳光城、逸涛半岛片区设站</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13</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危文龙</w:t>
            </w:r>
          </w:p>
        </w:tc>
        <w:tc>
          <w:tcPr>
            <w:tcW w:w="4487"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2021年地铁18号线需要连通蕉门和金洲</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14</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黄文汉</w:t>
            </w:r>
          </w:p>
        </w:tc>
        <w:tc>
          <w:tcPr>
            <w:tcW w:w="4487"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加快广州22号线地铁南延段的建设。建议线路走向：广州南站、庆盛、蕉门、金洲市场、南沙客运港、东莞滨海新区、深圳西丽、深圳福田口岸（或福田站）</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15</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1916901490@qq.com</w:t>
            </w:r>
          </w:p>
        </w:tc>
        <w:tc>
          <w:tcPr>
            <w:tcW w:w="4487" w:type="dxa"/>
            <w:vAlign w:val="center"/>
          </w:tcPr>
          <w:p>
            <w:pPr>
              <w:pStyle w:val="7"/>
              <w:keepNext w:val="0"/>
              <w:keepLines w:val="0"/>
              <w:pageBreakBefore w:val="0"/>
              <w:widowControl w:val="0"/>
              <w:numPr>
                <w:ilvl w:val="0"/>
                <w:numId w:val="9"/>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建议以市场薪酬为主要量化评分内容进行人才补贴</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9"/>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建议全面实施政府市场透明购买基本公共服务制度</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16</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李振烁</w:t>
            </w:r>
          </w:p>
        </w:tc>
        <w:tc>
          <w:tcPr>
            <w:tcW w:w="4487"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金沙路海韵兰亭站增加公交线路</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17</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陈女士</w:t>
            </w:r>
          </w:p>
        </w:tc>
        <w:tc>
          <w:tcPr>
            <w:tcW w:w="4487"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开通首筑花园门口的正式公交站点，公交线路包括：至灵山岛湾区实验学校、进港大道/万达广场</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18</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261456721</w:t>
            </w:r>
          </w:p>
        </w:tc>
        <w:tc>
          <w:tcPr>
            <w:tcW w:w="4487"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3路车终点站移到保利城南怡湾小区</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19</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m18300108675</w:t>
            </w:r>
          </w:p>
        </w:tc>
        <w:tc>
          <w:tcPr>
            <w:tcW w:w="4487"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用新制度吸引港澳台具备条件的居民来南沙定居</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20</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ted11@163.com</w:t>
            </w:r>
          </w:p>
        </w:tc>
        <w:tc>
          <w:tcPr>
            <w:tcW w:w="4487"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海韵兰亭公交站增加公交线路至万达广场</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ab/>
            </w:r>
            <w:r>
              <w:rPr>
                <w:rFonts w:hint="eastAsia" w:ascii="仿宋_GB2312" w:hAnsi="仿宋_GB2312" w:eastAsia="仿宋_GB2312" w:cs="仿宋_GB2312"/>
                <w:i w:val="0"/>
                <w:caps w:val="0"/>
                <w:color w:val="000000"/>
                <w:spacing w:val="0"/>
                <w:sz w:val="20"/>
                <w:szCs w:val="20"/>
                <w:lang w:val="en-US" w:eastAsia="zh-CN"/>
              </w:rPr>
              <w:t>21</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Mr谷</w:t>
            </w:r>
          </w:p>
        </w:tc>
        <w:tc>
          <w:tcPr>
            <w:tcW w:w="4487"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即将开通的18线，增加大岗到番禺广场的快车</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22</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肖先生</w:t>
            </w:r>
          </w:p>
        </w:tc>
        <w:tc>
          <w:tcPr>
            <w:tcW w:w="4487" w:type="dxa"/>
            <w:vAlign w:val="center"/>
          </w:tcPr>
          <w:p>
            <w:pPr>
              <w:pStyle w:val="7"/>
              <w:keepNext w:val="0"/>
              <w:keepLines w:val="0"/>
              <w:pageBreakBefore w:val="0"/>
              <w:widowControl w:val="0"/>
              <w:numPr>
                <w:ilvl w:val="0"/>
                <w:numId w:val="1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尽快建设广州地铁15号线，初期可以以4号线与18号线联络线名义申报，争取加入《广州市城市轨道交通第三期建设规划修编》。最低限度建设连接蕉门和横沥站点，有条件可以先建设15号线北环（南沙客运港至横沥）甚至是全线</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尽快建设广州地铁22号线南延段，从番禺广场到南沙客运港，并过江连接东莞滨海湾站，进一步考虑延伸至深圳机场站。如果南沙客运港占用航道，不具备过江条件，可以考虑沿进港大道走向，在虎门渡口处过江，同时将15号线北段改走环市大道北，联通环市大道中多个居民片区</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增设公交联络线，连接蕉门和横沥，并在高峰期设置快线</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沿着进港大道、环市大道中、环市大道西、英东大道、港前大道，设置公交大环线，并设置快慢线，连接沿线重要节点</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设置公交环线北环至横沥快线，公交环线南环至横沥快线</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意见已转交至相关部门研究参考并将在我区“十四五”相关专项规划中予以统筹考虑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23</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zhangxueran</w:t>
            </w:r>
          </w:p>
        </w:tc>
        <w:tc>
          <w:tcPr>
            <w:tcW w:w="4487"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增加大岗到番禺广场的夜间班车</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24</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安静</w:t>
            </w:r>
          </w:p>
        </w:tc>
        <w:tc>
          <w:tcPr>
            <w:tcW w:w="4487"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建议在南沙金州加开公交线路直接到大涌实验小学，另外加一条环线经过滨海水景湾，珺城，或者增加站点：实验小学站</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25</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~~%縌￥……</w:t>
            </w:r>
          </w:p>
        </w:tc>
        <w:tc>
          <w:tcPr>
            <w:tcW w:w="4487" w:type="dxa"/>
            <w:vAlign w:val="center"/>
          </w:tcPr>
          <w:p>
            <w:pPr>
              <w:pStyle w:val="7"/>
              <w:keepNext w:val="0"/>
              <w:keepLines w:val="0"/>
              <w:pageBreakBefore w:val="0"/>
              <w:widowControl w:val="0"/>
              <w:numPr>
                <w:ilvl w:val="0"/>
                <w:numId w:val="11"/>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建议南31A（B）路线在原路线基础上增设滨海新城站，并在环市大道中与环市大道北之间增设阳光城丽景湾北门站</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1"/>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建议新增一条公交线路从万达方向往金沙路走，途经金洲村站、海韵兰亭站和滨海新城站</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26</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♂飘渺♀</w:t>
            </w:r>
          </w:p>
        </w:tc>
        <w:tc>
          <w:tcPr>
            <w:tcW w:w="4487" w:type="dxa"/>
            <w:vAlign w:val="center"/>
          </w:tcPr>
          <w:p>
            <w:pPr>
              <w:pStyle w:val="7"/>
              <w:keepNext w:val="0"/>
              <w:keepLines w:val="0"/>
              <w:pageBreakBefore w:val="0"/>
              <w:widowControl w:val="0"/>
              <w:numPr>
                <w:ilvl w:val="0"/>
                <w:numId w:val="12"/>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适当增加公交路线以及班次，增加快车经停黄阁汽车客运站</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2"/>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引入更多的高新技术企业扩展就业圈和就业岗位数量</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2"/>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南沙保利城的河涌沿岸可以规划绿道、整治违章建筑</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2"/>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18号开通后，南沙保利城能接驳到横沥地铁口</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27</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张家榕</w:t>
            </w:r>
          </w:p>
        </w:tc>
        <w:tc>
          <w:tcPr>
            <w:tcW w:w="4487"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升级改造黄山鲁森林公园，包括园内景观改造升级，登山路拓宽，规范停车位</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28</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曾帅波</w:t>
            </w:r>
          </w:p>
        </w:tc>
        <w:tc>
          <w:tcPr>
            <w:tcW w:w="4487"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建议小虎岛上的化工厂提高安全性或迁移到其他地方</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0"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29</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利生</w:t>
            </w:r>
          </w:p>
        </w:tc>
        <w:tc>
          <w:tcPr>
            <w:tcW w:w="4487" w:type="dxa"/>
            <w:vAlign w:val="center"/>
          </w:tcPr>
          <w:p>
            <w:pPr>
              <w:pStyle w:val="7"/>
              <w:keepNext w:val="0"/>
              <w:keepLines w:val="0"/>
              <w:pageBreakBefore w:val="0"/>
              <w:widowControl w:val="0"/>
              <w:numPr>
                <w:ilvl w:val="0"/>
                <w:numId w:val="13"/>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南沙应该通过研发过程帮助企业降低运营成本，研发成功后给予科技大奖等手段帮助企业降本增利，提升科技重新的吸引力</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3"/>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加大投入推动新兴产业落地</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94"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30</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李辉</w:t>
            </w:r>
          </w:p>
        </w:tc>
        <w:tc>
          <w:tcPr>
            <w:tcW w:w="4487" w:type="dxa"/>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建议通过“价值城市”建设，推动社会治理价值化运营</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（1）与民共建：社会治理中，构建“价值社会”，要把人民共建作为基本原则</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①“新角色”：对人民群众在公共服务中的角色进行重新定位，由被管理者转变为参与者、合作者、受益者</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②“新驱动”：通过制度驱动、技术驱动、价值驱动，引导人民群众主动、有序地参与到社会治理中</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（2）与民共治：从四个方面，引导人民群众参与到社会治理中去</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①民意调查：政策的制定与调整，引入民意调查的前置程序</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②民主集中制：对于重大利益关切问题，充分尊重大多数人民群众意见，少数服从多数</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③责任区认领制：充分发挥个人、群团等组织作用，谁认领、谁负责，责任大、受益多</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④问题直报制度：对于身边发生的治理问题，倡导”我纠错，我贡献“，充分发挥人民群众的“监督权”</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（3）与民共享：对于社会治理与发展成果，建立“与民共享”的配套机制，增强人民群众的获得感。</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①工作量证明：系统准确记录人民群众的个人工作量、贡献度以及荣誉表彰等，并形成个人价值标签</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②社会激励体系：建立公益积分体系、荣誉体系以及具体激励制度，并根据工作量和贡献值，人民群众可以共享社会发展和社会治理成果</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eastAsia="zh-CN"/>
              </w:rPr>
            </w:pPr>
            <w:r>
              <w:rPr>
                <w:rFonts w:hint="eastAsia" w:ascii="仿宋_GB2312" w:hAnsi="仿宋_GB2312" w:eastAsia="仿宋_GB2312" w:cs="仿宋_GB2312"/>
                <w:i w:val="0"/>
                <w:caps w:val="0"/>
                <w:color w:val="000000"/>
                <w:spacing w:val="0"/>
                <w:sz w:val="20"/>
                <w:szCs w:val="20"/>
              </w:rPr>
              <w:t>③数据共享生态：实践数据产权制度，探索数字经济新生态，人民群众能够享有数据共享收益</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意见已转交至相关部门研究参考并将在我区“十四五”相关专项规划中予以统筹考虑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7" w:hRule="atLeast"/>
          <w:tblHeader/>
        </w:trPr>
        <w:tc>
          <w:tcPr>
            <w:tcW w:w="706"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31</w:t>
            </w:r>
          </w:p>
        </w:tc>
        <w:tc>
          <w:tcPr>
            <w:tcW w:w="885"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lang w:val="en-US" w:eastAsia="zh-CN"/>
              </w:rPr>
              <w:t xml:space="preserve"> </w:t>
            </w:r>
            <w:r>
              <w:rPr>
                <w:rFonts w:hint="eastAsia" w:ascii="仿宋_GB2312" w:hAnsi="仿宋_GB2312" w:eastAsia="仿宋_GB2312" w:cs="仿宋_GB2312"/>
                <w:i w:val="0"/>
                <w:caps w:val="0"/>
                <w:color w:val="000000"/>
                <w:spacing w:val="0"/>
                <w:sz w:val="20"/>
                <w:szCs w:val="20"/>
              </w:rPr>
              <w:t>曾鑫 </w:t>
            </w:r>
          </w:p>
        </w:tc>
        <w:tc>
          <w:tcPr>
            <w:tcW w:w="4487" w:type="dxa"/>
            <w:vAlign w:val="center"/>
          </w:tcPr>
          <w:p>
            <w:pPr>
              <w:pStyle w:val="7"/>
              <w:keepNext w:val="0"/>
              <w:keepLines w:val="0"/>
              <w:pageBreakBefore w:val="0"/>
              <w:widowControl w:val="0"/>
              <w:numPr>
                <w:ilvl w:val="0"/>
                <w:numId w:val="14"/>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国家制定标准。一是制定社区生活服务中心、社区生活服务产业园、社区服务物流系统和社区生活服务体系建设标准；二是制定社区生活服务体系分级标准。便于地方政府有的放矢，因地制宜，循序渐进，量力而行</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省市级地方政府，统筹本地社会服务项目建设资源，依据社情，按照标准，规划建设省市级社区生活服务体系</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地理位置相连的省市级社区生活服务体系，互联互通，合并整合，形成区域级社区生活服务体系</w:t>
            </w:r>
            <w:r>
              <w:rPr>
                <w:rFonts w:hint="eastAsia" w:ascii="仿宋_GB2312" w:hAnsi="仿宋_GB2312" w:eastAsia="仿宋_GB2312" w:cs="仿宋_GB2312"/>
                <w:i w:val="0"/>
                <w:caps w:val="0"/>
                <w:color w:val="000000"/>
                <w:spacing w:val="0"/>
                <w:sz w:val="20"/>
                <w:szCs w:val="20"/>
                <w:lang w:eastAsia="zh-CN"/>
              </w:rPr>
              <w:t>；</w:t>
            </w:r>
          </w:p>
          <w:p>
            <w:pPr>
              <w:pStyle w:val="7"/>
              <w:keepNext w:val="0"/>
              <w:keepLines w:val="0"/>
              <w:pageBreakBefore w:val="0"/>
              <w:widowControl w:val="0"/>
              <w:numPr>
                <w:ilvl w:val="0"/>
                <w:numId w:val="14"/>
              </w:numPr>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rPr>
            </w:pPr>
            <w:r>
              <w:rPr>
                <w:rFonts w:hint="eastAsia" w:ascii="仿宋_GB2312" w:hAnsi="仿宋_GB2312" w:eastAsia="仿宋_GB2312" w:cs="仿宋_GB2312"/>
                <w:i w:val="0"/>
                <w:caps w:val="0"/>
                <w:color w:val="000000"/>
                <w:spacing w:val="0"/>
                <w:sz w:val="20"/>
                <w:szCs w:val="20"/>
              </w:rPr>
              <w:t>全国各地分级建设的社区生活服务体系，逐步融合，最后形成全国性的社区生活服务体系</w:t>
            </w:r>
            <w:r>
              <w:rPr>
                <w:rFonts w:hint="eastAsia" w:ascii="仿宋_GB2312" w:hAnsi="仿宋_GB2312" w:eastAsia="仿宋_GB2312" w:cs="仿宋_GB2312"/>
                <w:i w:val="0"/>
                <w:caps w:val="0"/>
                <w:color w:val="000000"/>
                <w:spacing w:val="0"/>
                <w:sz w:val="20"/>
                <w:szCs w:val="20"/>
                <w:lang w:eastAsia="zh-CN"/>
              </w:rPr>
              <w:t>。</w:t>
            </w:r>
          </w:p>
        </w:tc>
        <w:tc>
          <w:tcPr>
            <w:tcW w:w="2634" w:type="dxa"/>
            <w:vAlign w:val="center"/>
          </w:tcPr>
          <w:p>
            <w:pPr>
              <w:pStyle w:val="7"/>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i w:val="0"/>
                <w:caps w:val="0"/>
                <w:color w:val="000000"/>
                <w:spacing w:val="0"/>
                <w:sz w:val="20"/>
                <w:szCs w:val="20"/>
                <w:lang w:val="en-US" w:eastAsia="zh-CN"/>
              </w:rPr>
            </w:pPr>
            <w:r>
              <w:rPr>
                <w:rFonts w:hint="eastAsia" w:ascii="仿宋_GB2312" w:hAnsi="仿宋_GB2312" w:eastAsia="仿宋_GB2312" w:cs="仿宋_GB2312"/>
                <w:i w:val="0"/>
                <w:caps w:val="0"/>
                <w:color w:val="000000"/>
                <w:spacing w:val="0"/>
                <w:sz w:val="20"/>
                <w:szCs w:val="20"/>
                <w:lang w:val="en-US" w:eastAsia="zh-CN"/>
              </w:rPr>
              <w:t>意见已转交至相关部门研究参考</w:t>
            </w:r>
          </w:p>
        </w:tc>
      </w:tr>
    </w:tbl>
    <w:p>
      <w:pPr>
        <w:pStyle w:val="7"/>
        <w:spacing w:line="600" w:lineRule="exact"/>
        <w:jc w:val="both"/>
        <w:rPr>
          <w:rFonts w:hint="default" w:ascii="方正小标宋简体" w:hAnsi="方正小标宋简体" w:eastAsia="方正小标宋简体" w:cs="方正小标宋简体"/>
          <w:sz w:val="28"/>
          <w:szCs w:val="28"/>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978C78"/>
    <w:multiLevelType w:val="singleLevel"/>
    <w:tmpl w:val="95978C78"/>
    <w:lvl w:ilvl="0" w:tentative="0">
      <w:start w:val="1"/>
      <w:numFmt w:val="decimal"/>
      <w:suff w:val="nothing"/>
      <w:lvlText w:val="%1、"/>
      <w:lvlJc w:val="left"/>
    </w:lvl>
  </w:abstractNum>
  <w:abstractNum w:abstractNumId="1">
    <w:nsid w:val="9AEDB48C"/>
    <w:multiLevelType w:val="singleLevel"/>
    <w:tmpl w:val="9AEDB48C"/>
    <w:lvl w:ilvl="0" w:tentative="0">
      <w:start w:val="1"/>
      <w:numFmt w:val="decimal"/>
      <w:suff w:val="nothing"/>
      <w:lvlText w:val="%1、"/>
      <w:lvlJc w:val="left"/>
    </w:lvl>
  </w:abstractNum>
  <w:abstractNum w:abstractNumId="2">
    <w:nsid w:val="A299E433"/>
    <w:multiLevelType w:val="singleLevel"/>
    <w:tmpl w:val="A299E433"/>
    <w:lvl w:ilvl="0" w:tentative="0">
      <w:start w:val="1"/>
      <w:numFmt w:val="decimal"/>
      <w:suff w:val="nothing"/>
      <w:lvlText w:val="%1、"/>
      <w:lvlJc w:val="left"/>
    </w:lvl>
  </w:abstractNum>
  <w:abstractNum w:abstractNumId="3">
    <w:nsid w:val="BD80AF1B"/>
    <w:multiLevelType w:val="singleLevel"/>
    <w:tmpl w:val="BD80AF1B"/>
    <w:lvl w:ilvl="0" w:tentative="0">
      <w:start w:val="1"/>
      <w:numFmt w:val="decimal"/>
      <w:suff w:val="nothing"/>
      <w:lvlText w:val="%1、"/>
      <w:lvlJc w:val="left"/>
    </w:lvl>
  </w:abstractNum>
  <w:abstractNum w:abstractNumId="4">
    <w:nsid w:val="D580AEF2"/>
    <w:multiLevelType w:val="singleLevel"/>
    <w:tmpl w:val="D580AEF2"/>
    <w:lvl w:ilvl="0" w:tentative="0">
      <w:start w:val="1"/>
      <w:numFmt w:val="decimal"/>
      <w:suff w:val="nothing"/>
      <w:lvlText w:val="%1、"/>
      <w:lvlJc w:val="left"/>
    </w:lvl>
  </w:abstractNum>
  <w:abstractNum w:abstractNumId="5">
    <w:nsid w:val="D9CB6B3D"/>
    <w:multiLevelType w:val="singleLevel"/>
    <w:tmpl w:val="D9CB6B3D"/>
    <w:lvl w:ilvl="0" w:tentative="0">
      <w:start w:val="1"/>
      <w:numFmt w:val="decimal"/>
      <w:suff w:val="nothing"/>
      <w:lvlText w:val="%1、"/>
      <w:lvlJc w:val="left"/>
    </w:lvl>
  </w:abstractNum>
  <w:abstractNum w:abstractNumId="6">
    <w:nsid w:val="E6B6C5B5"/>
    <w:multiLevelType w:val="singleLevel"/>
    <w:tmpl w:val="E6B6C5B5"/>
    <w:lvl w:ilvl="0" w:tentative="0">
      <w:start w:val="1"/>
      <w:numFmt w:val="decimal"/>
      <w:suff w:val="nothing"/>
      <w:lvlText w:val="%1、"/>
      <w:lvlJc w:val="left"/>
    </w:lvl>
  </w:abstractNum>
  <w:abstractNum w:abstractNumId="7">
    <w:nsid w:val="F13B8FCB"/>
    <w:multiLevelType w:val="singleLevel"/>
    <w:tmpl w:val="F13B8FCB"/>
    <w:lvl w:ilvl="0" w:tentative="0">
      <w:start w:val="1"/>
      <w:numFmt w:val="decimal"/>
      <w:suff w:val="nothing"/>
      <w:lvlText w:val="%1、"/>
      <w:lvlJc w:val="left"/>
    </w:lvl>
  </w:abstractNum>
  <w:abstractNum w:abstractNumId="8">
    <w:nsid w:val="232F5B27"/>
    <w:multiLevelType w:val="singleLevel"/>
    <w:tmpl w:val="232F5B27"/>
    <w:lvl w:ilvl="0" w:tentative="0">
      <w:start w:val="1"/>
      <w:numFmt w:val="decimal"/>
      <w:suff w:val="nothing"/>
      <w:lvlText w:val="%1、"/>
      <w:lvlJc w:val="left"/>
    </w:lvl>
  </w:abstractNum>
  <w:abstractNum w:abstractNumId="9">
    <w:nsid w:val="27549F8D"/>
    <w:multiLevelType w:val="singleLevel"/>
    <w:tmpl w:val="27549F8D"/>
    <w:lvl w:ilvl="0" w:tentative="0">
      <w:start w:val="1"/>
      <w:numFmt w:val="decimal"/>
      <w:suff w:val="nothing"/>
      <w:lvlText w:val="%1、"/>
      <w:lvlJc w:val="left"/>
    </w:lvl>
  </w:abstractNum>
  <w:abstractNum w:abstractNumId="10">
    <w:nsid w:val="55C9195C"/>
    <w:multiLevelType w:val="singleLevel"/>
    <w:tmpl w:val="55C9195C"/>
    <w:lvl w:ilvl="0" w:tentative="0">
      <w:start w:val="1"/>
      <w:numFmt w:val="decimal"/>
      <w:suff w:val="nothing"/>
      <w:lvlText w:val="%1、"/>
      <w:lvlJc w:val="left"/>
    </w:lvl>
  </w:abstractNum>
  <w:abstractNum w:abstractNumId="11">
    <w:nsid w:val="591544A8"/>
    <w:multiLevelType w:val="singleLevel"/>
    <w:tmpl w:val="591544A8"/>
    <w:lvl w:ilvl="0" w:tentative="0">
      <w:start w:val="1"/>
      <w:numFmt w:val="decimal"/>
      <w:suff w:val="nothing"/>
      <w:lvlText w:val="%1、"/>
      <w:lvlJc w:val="left"/>
    </w:lvl>
  </w:abstractNum>
  <w:abstractNum w:abstractNumId="12">
    <w:nsid w:val="648104B5"/>
    <w:multiLevelType w:val="singleLevel"/>
    <w:tmpl w:val="648104B5"/>
    <w:lvl w:ilvl="0" w:tentative="0">
      <w:start w:val="1"/>
      <w:numFmt w:val="decimal"/>
      <w:suff w:val="nothing"/>
      <w:lvlText w:val="%1、"/>
      <w:lvlJc w:val="left"/>
    </w:lvl>
  </w:abstractNum>
  <w:abstractNum w:abstractNumId="13">
    <w:nsid w:val="6D542B17"/>
    <w:multiLevelType w:val="singleLevel"/>
    <w:tmpl w:val="6D542B17"/>
    <w:lvl w:ilvl="0" w:tentative="0">
      <w:start w:val="1"/>
      <w:numFmt w:val="decimal"/>
      <w:suff w:val="nothing"/>
      <w:lvlText w:val="%1、"/>
      <w:lvlJc w:val="left"/>
    </w:lvl>
  </w:abstractNum>
  <w:num w:numId="1">
    <w:abstractNumId w:val="13"/>
  </w:num>
  <w:num w:numId="2">
    <w:abstractNumId w:val="0"/>
  </w:num>
  <w:num w:numId="3">
    <w:abstractNumId w:val="4"/>
  </w:num>
  <w:num w:numId="4">
    <w:abstractNumId w:val="10"/>
  </w:num>
  <w:num w:numId="5">
    <w:abstractNumId w:val="11"/>
  </w:num>
  <w:num w:numId="6">
    <w:abstractNumId w:val="2"/>
  </w:num>
  <w:num w:numId="7">
    <w:abstractNumId w:val="1"/>
  </w:num>
  <w:num w:numId="8">
    <w:abstractNumId w:val="6"/>
  </w:num>
  <w:num w:numId="9">
    <w:abstractNumId w:val="5"/>
  </w:num>
  <w:num w:numId="10">
    <w:abstractNumId w:val="8"/>
  </w:num>
  <w:num w:numId="11">
    <w:abstractNumId w:val="7"/>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F64D1"/>
    <w:rsid w:val="0F671279"/>
    <w:rsid w:val="133C7CF5"/>
    <w:rsid w:val="136A1A96"/>
    <w:rsid w:val="18D67548"/>
    <w:rsid w:val="1B641196"/>
    <w:rsid w:val="1B7A5581"/>
    <w:rsid w:val="1F41421F"/>
    <w:rsid w:val="21867798"/>
    <w:rsid w:val="21AF683A"/>
    <w:rsid w:val="22271A85"/>
    <w:rsid w:val="26077D47"/>
    <w:rsid w:val="274F64D1"/>
    <w:rsid w:val="276C32E8"/>
    <w:rsid w:val="27D56E6B"/>
    <w:rsid w:val="2B535E0C"/>
    <w:rsid w:val="3D7E2F3C"/>
    <w:rsid w:val="3F2A0A1C"/>
    <w:rsid w:val="3F9C33CA"/>
    <w:rsid w:val="489D5244"/>
    <w:rsid w:val="4A70776E"/>
    <w:rsid w:val="4BA71A7A"/>
    <w:rsid w:val="4C8A1243"/>
    <w:rsid w:val="4DFF2178"/>
    <w:rsid w:val="50E47217"/>
    <w:rsid w:val="57AC2614"/>
    <w:rsid w:val="5ACC6517"/>
    <w:rsid w:val="5C333D5E"/>
    <w:rsid w:val="5EF32AB6"/>
    <w:rsid w:val="63AB4EDA"/>
    <w:rsid w:val="68AD4927"/>
    <w:rsid w:val="68D33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2020-01-16T09:32:00Z</dcterms:created>
  <dc:creator>Wongyi</dc:creator>
  <cp:lastModifiedBy>huawei</cp:lastModifiedBy>
  <cp:lastPrinted>2021-01-07T10:02:00Z</cp:lastPrinted>
  <dcterms:modified xsi:type="dcterms:W3CDTF">2023-07-11T15:28:22Z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