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ascii="黑体" w:hAnsi="黑体" w:eastAsia="黑体"/>
          <w:b/>
          <w:sz w:val="44"/>
          <w:szCs w:val="44"/>
        </w:rPr>
      </w:pPr>
      <w:r>
        <w:rPr>
          <w:rFonts w:hint="eastAsia" w:ascii="黑体" w:hAnsi="黑体" w:eastAsia="黑体"/>
          <w:b/>
          <w:sz w:val="44"/>
          <w:szCs w:val="44"/>
        </w:rPr>
        <w:t>南沙区城建项目公交站场配建技术指引</w:t>
      </w:r>
    </w:p>
    <w:p>
      <w:pPr>
        <w:jc w:val="center"/>
        <w:rPr>
          <w:b/>
          <w:sz w:val="44"/>
          <w:szCs w:val="44"/>
        </w:rPr>
      </w:pPr>
    </w:p>
    <w:p>
      <w:pPr>
        <w:jc w:val="center"/>
        <w:rPr>
          <w:b/>
          <w:sz w:val="44"/>
          <w:szCs w:val="44"/>
        </w:rPr>
      </w:pPr>
    </w:p>
    <w:p>
      <w:pPr>
        <w:jc w:val="center"/>
        <w:rPr>
          <w:b/>
          <w:sz w:val="44"/>
          <w:szCs w:val="44"/>
        </w:rPr>
        <w:sectPr>
          <w:headerReference r:id="rId6" w:type="first"/>
          <w:headerReference r:id="rId5" w:type="default"/>
          <w:footerReference r:id="rId7" w:type="default"/>
          <w:pgSz w:w="11906" w:h="16838"/>
          <w:pgMar w:top="1440" w:right="1800" w:bottom="1440" w:left="1800" w:header="851" w:footer="992" w:gutter="0"/>
          <w:cols w:space="425" w:num="1"/>
          <w:docGrid w:type="lines" w:linePitch="312" w:charSpace="0"/>
        </w:sectPr>
      </w:pPr>
      <w:r>
        <w:rPr>
          <w:rFonts w:hint="eastAsia"/>
          <w:b/>
          <w:sz w:val="44"/>
          <w:szCs w:val="44"/>
        </w:rPr>
        <w:t>条</w:t>
      </w:r>
      <w:r>
        <w:rPr>
          <w:b/>
          <w:sz w:val="44"/>
          <w:szCs w:val="44"/>
        </w:rPr>
        <w:t xml:space="preserve">  </w:t>
      </w:r>
      <w:r>
        <w:rPr>
          <w:rFonts w:hint="eastAsia"/>
          <w:b/>
          <w:sz w:val="44"/>
          <w:szCs w:val="44"/>
        </w:rPr>
        <w:t>文</w:t>
      </w:r>
    </w:p>
    <w:p>
      <w:pPr>
        <w:spacing w:before="340" w:after="330"/>
        <w:jc w:val="center"/>
        <w:rPr>
          <w:b/>
          <w:sz w:val="36"/>
        </w:rPr>
      </w:pPr>
      <w:r>
        <w:rPr>
          <w:rFonts w:hint="eastAsia"/>
          <w:b/>
          <w:sz w:val="36"/>
        </w:rPr>
        <w:t>目</w:t>
      </w:r>
      <w:r>
        <w:rPr>
          <w:b/>
          <w:sz w:val="36"/>
        </w:rPr>
        <w:t xml:space="preserve"> </w:t>
      </w:r>
      <w:r>
        <w:rPr>
          <w:rFonts w:hint="eastAsia"/>
          <w:b/>
          <w:sz w:val="36"/>
        </w:rPr>
        <w:t>录</w:t>
      </w:r>
    </w:p>
    <w:p>
      <w:pPr>
        <w:pStyle w:val="14"/>
        <w:spacing w:line="312" w:lineRule="auto"/>
        <w:rPr>
          <w:rFonts w:ascii="宋体"/>
          <w:b w:val="0"/>
          <w:sz w:val="21"/>
        </w:rPr>
      </w:pPr>
      <w:bookmarkStart w:id="0" w:name="_Toc454207056"/>
      <w:r>
        <w:rPr>
          <w:rFonts w:ascii="宋体" w:hAnsi="宋体"/>
          <w:b w:val="0"/>
          <w:bCs/>
          <w:szCs w:val="24"/>
        </w:rPr>
        <w:fldChar w:fldCharType="begin"/>
      </w:r>
      <w:r>
        <w:rPr>
          <w:rFonts w:ascii="宋体" w:hAnsi="宋体"/>
          <w:b w:val="0"/>
          <w:bCs/>
          <w:szCs w:val="24"/>
        </w:rPr>
        <w:instrText xml:space="preserve"> TOC \o "1-2" \h \z \u </w:instrText>
      </w:r>
      <w:r>
        <w:rPr>
          <w:rFonts w:ascii="宋体" w:hAnsi="宋体"/>
          <w:b w:val="0"/>
          <w:bCs/>
          <w:szCs w:val="24"/>
        </w:rPr>
        <w:fldChar w:fldCharType="separate"/>
      </w:r>
      <w:r>
        <w:fldChar w:fldCharType="begin"/>
      </w:r>
      <w:r>
        <w:instrText xml:space="preserve"> HYPERLINK \l "_Toc470624684" </w:instrText>
      </w:r>
      <w:r>
        <w:fldChar w:fldCharType="separate"/>
      </w:r>
      <w:r>
        <w:rPr>
          <w:rStyle w:val="24"/>
          <w:rFonts w:ascii="宋体" w:hAnsi="宋体"/>
          <w:b w:val="0"/>
        </w:rPr>
        <w:t>1</w:t>
      </w:r>
      <w:r>
        <w:rPr>
          <w:rFonts w:ascii="宋体"/>
          <w:b w:val="0"/>
          <w:sz w:val="21"/>
        </w:rPr>
        <w:tab/>
      </w:r>
      <w:r>
        <w:rPr>
          <w:rStyle w:val="24"/>
          <w:rFonts w:hint="eastAsia" w:ascii="宋体" w:hAnsi="宋体"/>
          <w:b w:val="0"/>
        </w:rPr>
        <w:t>总则</w:t>
      </w:r>
      <w:r>
        <w:rPr>
          <w:rFonts w:ascii="宋体"/>
          <w:b w:val="0"/>
        </w:rPr>
        <w:tab/>
      </w:r>
      <w:r>
        <w:rPr>
          <w:rFonts w:ascii="宋体" w:hAnsi="宋体"/>
          <w:b w:val="0"/>
        </w:rPr>
        <w:fldChar w:fldCharType="begin"/>
      </w:r>
      <w:r>
        <w:rPr>
          <w:rFonts w:ascii="宋体" w:hAnsi="宋体"/>
          <w:b w:val="0"/>
        </w:rPr>
        <w:instrText xml:space="preserve"> PAGEREF _Toc470624684 \h </w:instrText>
      </w:r>
      <w:r>
        <w:rPr>
          <w:rFonts w:ascii="宋体" w:hAnsi="宋体"/>
          <w:b w:val="0"/>
        </w:rPr>
        <w:fldChar w:fldCharType="separate"/>
      </w:r>
      <w:r>
        <w:rPr>
          <w:rFonts w:ascii="宋体" w:hAnsi="宋体"/>
          <w:b w:val="0"/>
        </w:rPr>
        <w:t>1</w:t>
      </w:r>
      <w:r>
        <w:rPr>
          <w:rFonts w:ascii="宋体" w:hAnsi="宋体"/>
          <w:b w:val="0"/>
        </w:rPr>
        <w:fldChar w:fldCharType="end"/>
      </w:r>
      <w:r>
        <w:rPr>
          <w:rFonts w:ascii="宋体" w:hAnsi="宋体"/>
          <w:b w:val="0"/>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"_Toc470624685" </w:instrText>
      </w:r>
      <w:r>
        <w:fldChar w:fldCharType="separate"/>
      </w:r>
      <w:r>
        <w:rPr>
          <w:rStyle w:val="24"/>
          <w:rFonts w:ascii="宋体" w:hAnsi="宋体"/>
        </w:rPr>
        <w:t>1.1</w:t>
      </w:r>
      <w:r>
        <w:rPr>
          <w:rFonts w:ascii="宋体"/>
          <w:sz w:val="21"/>
        </w:rPr>
        <w:tab/>
      </w:r>
      <w:r>
        <w:rPr>
          <w:rStyle w:val="24"/>
          <w:rFonts w:hint="eastAsia" w:ascii="宋体" w:hAnsi="宋体"/>
        </w:rPr>
        <w:t>编制背景</w:t>
      </w:r>
      <w:r>
        <w:rPr>
          <w:rFonts w:ascii="宋体"/>
        </w:rPr>
        <w:tab/>
      </w:r>
      <w:r>
        <w:rPr>
          <w:rFonts w:ascii="宋体" w:hAnsi="宋体"/>
        </w:rPr>
        <w:fldChar w:fldCharType="begin"/>
      </w:r>
      <w:r>
        <w:rPr>
          <w:rFonts w:ascii="宋体" w:hAnsi="宋体"/>
        </w:rPr>
        <w:instrText xml:space="preserve"> PAGEREF _Toc470624685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"_Toc470624686" </w:instrText>
      </w:r>
      <w:r>
        <w:fldChar w:fldCharType="separate"/>
      </w:r>
      <w:r>
        <w:rPr>
          <w:rStyle w:val="24"/>
          <w:rFonts w:ascii="宋体" w:hAnsi="宋体"/>
        </w:rPr>
        <w:t>1.2</w:t>
      </w:r>
      <w:r>
        <w:rPr>
          <w:rFonts w:ascii="宋体"/>
          <w:sz w:val="21"/>
        </w:rPr>
        <w:tab/>
      </w:r>
      <w:r>
        <w:rPr>
          <w:rStyle w:val="24"/>
          <w:rFonts w:hint="eastAsia" w:ascii="宋体" w:hAnsi="宋体"/>
        </w:rPr>
        <w:t>编制目的</w:t>
      </w:r>
      <w:r>
        <w:rPr>
          <w:rFonts w:ascii="宋体"/>
        </w:rPr>
        <w:tab/>
      </w:r>
      <w:r>
        <w:rPr>
          <w:rFonts w:ascii="宋体" w:hAnsi="宋体"/>
        </w:rPr>
        <w:fldChar w:fldCharType="begin"/>
      </w:r>
      <w:r>
        <w:rPr>
          <w:rFonts w:ascii="宋体" w:hAnsi="宋体"/>
        </w:rPr>
        <w:instrText xml:space="preserve"> PAGEREF _Toc470624686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"_Toc470624687" </w:instrText>
      </w:r>
      <w:r>
        <w:fldChar w:fldCharType="separate"/>
      </w:r>
      <w:r>
        <w:rPr>
          <w:rStyle w:val="24"/>
          <w:rFonts w:ascii="宋体" w:hAnsi="宋体"/>
        </w:rPr>
        <w:t>1.3</w:t>
      </w:r>
      <w:r>
        <w:rPr>
          <w:rFonts w:ascii="宋体"/>
          <w:sz w:val="21"/>
        </w:rPr>
        <w:tab/>
      </w:r>
      <w:r>
        <w:rPr>
          <w:rStyle w:val="24"/>
          <w:rFonts w:hint="eastAsia" w:ascii="宋体" w:hAnsi="宋体"/>
        </w:rPr>
        <w:t>编制依据</w:t>
      </w:r>
      <w:r>
        <w:rPr>
          <w:rFonts w:ascii="宋体"/>
        </w:rPr>
        <w:tab/>
      </w:r>
      <w:r>
        <w:rPr>
          <w:rFonts w:ascii="宋体" w:hAnsi="宋体"/>
        </w:rPr>
        <w:fldChar w:fldCharType="begin"/>
      </w:r>
      <w:r>
        <w:rPr>
          <w:rFonts w:ascii="宋体" w:hAnsi="宋体"/>
        </w:rPr>
        <w:instrText xml:space="preserve"> PAGEREF _Toc470624687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"_Toc470624688" </w:instrText>
      </w:r>
      <w:r>
        <w:fldChar w:fldCharType="separate"/>
      </w:r>
      <w:r>
        <w:rPr>
          <w:rStyle w:val="24"/>
          <w:rFonts w:ascii="宋体" w:hAnsi="宋体"/>
        </w:rPr>
        <w:t>1.4</w:t>
      </w:r>
      <w:r>
        <w:rPr>
          <w:rFonts w:ascii="宋体"/>
          <w:sz w:val="21"/>
        </w:rPr>
        <w:tab/>
      </w:r>
      <w:r>
        <w:rPr>
          <w:rStyle w:val="24"/>
          <w:rFonts w:hint="eastAsia" w:ascii="宋体" w:hAnsi="宋体"/>
        </w:rPr>
        <w:t>适用范围</w:t>
      </w:r>
      <w:r>
        <w:rPr>
          <w:rFonts w:ascii="宋体"/>
        </w:rPr>
        <w:tab/>
      </w:r>
      <w:r>
        <w:rPr>
          <w:rFonts w:ascii="宋体" w:hAnsi="宋体"/>
        </w:rPr>
        <w:fldChar w:fldCharType="begin"/>
      </w:r>
      <w:r>
        <w:rPr>
          <w:rFonts w:ascii="宋体" w:hAnsi="宋体"/>
        </w:rPr>
        <w:instrText xml:space="preserve"> PAGEREF _Toc470624688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"_Toc470624689" </w:instrText>
      </w:r>
      <w:r>
        <w:fldChar w:fldCharType="separate"/>
      </w:r>
      <w:r>
        <w:rPr>
          <w:rStyle w:val="24"/>
          <w:rFonts w:ascii="宋体" w:hAnsi="宋体"/>
        </w:rPr>
        <w:t>1.5</w:t>
      </w:r>
      <w:r>
        <w:rPr>
          <w:rFonts w:ascii="宋体"/>
          <w:sz w:val="21"/>
        </w:rPr>
        <w:tab/>
      </w:r>
      <w:r>
        <w:rPr>
          <w:rStyle w:val="24"/>
          <w:rFonts w:hint="eastAsia" w:ascii="宋体" w:hAnsi="宋体"/>
        </w:rPr>
        <w:t>编制原则</w:t>
      </w:r>
      <w:r>
        <w:rPr>
          <w:rFonts w:ascii="宋体"/>
        </w:rPr>
        <w:tab/>
      </w:r>
      <w:r>
        <w:rPr>
          <w:rFonts w:ascii="宋体" w:hAnsi="宋体"/>
        </w:rPr>
        <w:fldChar w:fldCharType="begin"/>
      </w:r>
      <w:r>
        <w:rPr>
          <w:rFonts w:ascii="宋体" w:hAnsi="宋体"/>
        </w:rPr>
        <w:instrText xml:space="preserve"> PAGEREF _Toc470624689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"_Toc470624690" </w:instrText>
      </w:r>
      <w:r>
        <w:fldChar w:fldCharType="separate"/>
      </w:r>
      <w:r>
        <w:rPr>
          <w:rStyle w:val="24"/>
          <w:rFonts w:ascii="宋体" w:hAnsi="宋体"/>
        </w:rPr>
        <w:t>1.6</w:t>
      </w:r>
      <w:r>
        <w:rPr>
          <w:rFonts w:ascii="宋体"/>
          <w:sz w:val="21"/>
        </w:rPr>
        <w:tab/>
      </w:r>
      <w:r>
        <w:rPr>
          <w:rStyle w:val="24"/>
          <w:rFonts w:hint="eastAsia" w:ascii="宋体" w:hAnsi="宋体"/>
        </w:rPr>
        <w:t>其他</w:t>
      </w:r>
      <w:r>
        <w:rPr>
          <w:rFonts w:ascii="宋体"/>
        </w:rPr>
        <w:tab/>
      </w:r>
      <w:r>
        <w:rPr>
          <w:rFonts w:ascii="宋体" w:hAnsi="宋体"/>
        </w:rPr>
        <w:fldChar w:fldCharType="begin"/>
      </w:r>
      <w:r>
        <w:rPr>
          <w:rFonts w:ascii="宋体" w:hAnsi="宋体"/>
        </w:rPr>
        <w:instrText xml:space="preserve"> PAGEREF _Toc470624690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14"/>
        <w:spacing w:line="312" w:lineRule="auto"/>
        <w:rPr>
          <w:rFonts w:ascii="宋体"/>
          <w:b w:val="0"/>
          <w:sz w:val="21"/>
        </w:rPr>
      </w:pPr>
      <w:r>
        <w:fldChar w:fldCharType="begin"/>
      </w:r>
      <w:r>
        <w:instrText xml:space="preserve"> HYPERLINK \l "_Toc470624691" </w:instrText>
      </w:r>
      <w:r>
        <w:fldChar w:fldCharType="separate"/>
      </w:r>
      <w:r>
        <w:rPr>
          <w:rStyle w:val="24"/>
          <w:rFonts w:ascii="宋体" w:hAnsi="宋体"/>
          <w:b w:val="0"/>
        </w:rPr>
        <w:t>2</w:t>
      </w:r>
      <w:r>
        <w:rPr>
          <w:rFonts w:ascii="宋体"/>
          <w:b w:val="0"/>
          <w:sz w:val="21"/>
        </w:rPr>
        <w:tab/>
      </w:r>
      <w:r>
        <w:rPr>
          <w:rStyle w:val="24"/>
          <w:rFonts w:hint="eastAsia" w:ascii="宋体" w:hAnsi="宋体"/>
          <w:b w:val="0"/>
        </w:rPr>
        <w:t>站场功能定位</w:t>
      </w:r>
      <w:r>
        <w:rPr>
          <w:rFonts w:ascii="宋体"/>
          <w:b w:val="0"/>
        </w:rPr>
        <w:tab/>
      </w:r>
      <w:r>
        <w:rPr>
          <w:rFonts w:ascii="宋体" w:hAnsi="宋体"/>
          <w:b w:val="0"/>
        </w:rPr>
        <w:fldChar w:fldCharType="begin"/>
      </w:r>
      <w:r>
        <w:rPr>
          <w:rFonts w:ascii="宋体" w:hAnsi="宋体"/>
          <w:b w:val="0"/>
        </w:rPr>
        <w:instrText xml:space="preserve"> PAGEREF _Toc470624691 \h </w:instrText>
      </w:r>
      <w:r>
        <w:rPr>
          <w:rFonts w:ascii="宋体" w:hAnsi="宋体"/>
          <w:b w:val="0"/>
        </w:rPr>
        <w:fldChar w:fldCharType="separate"/>
      </w:r>
      <w:r>
        <w:rPr>
          <w:rFonts w:ascii="宋体" w:hAnsi="宋体"/>
          <w:b w:val="0"/>
        </w:rPr>
        <w:t>4</w:t>
      </w:r>
      <w:r>
        <w:rPr>
          <w:rFonts w:ascii="宋体" w:hAnsi="宋体"/>
          <w:b w:val="0"/>
        </w:rPr>
        <w:fldChar w:fldCharType="end"/>
      </w:r>
      <w:r>
        <w:rPr>
          <w:rFonts w:ascii="宋体" w:hAnsi="宋体"/>
          <w:b w:val="0"/>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"_Toc470624692" </w:instrText>
      </w:r>
      <w:r>
        <w:fldChar w:fldCharType="separate"/>
      </w:r>
      <w:r>
        <w:rPr>
          <w:rStyle w:val="24"/>
          <w:rFonts w:ascii="宋体" w:hAnsi="宋体"/>
        </w:rPr>
        <w:t>2.1</w:t>
      </w:r>
      <w:r>
        <w:rPr>
          <w:rFonts w:ascii="宋体"/>
          <w:sz w:val="21"/>
        </w:rPr>
        <w:tab/>
      </w:r>
      <w:r>
        <w:rPr>
          <w:rStyle w:val="24"/>
          <w:rFonts w:hint="eastAsia" w:ascii="宋体" w:hAnsi="宋体"/>
        </w:rPr>
        <w:t>公交站场体系</w:t>
      </w:r>
      <w:r>
        <w:rPr>
          <w:rFonts w:ascii="宋体"/>
        </w:rPr>
        <w:tab/>
      </w:r>
      <w:r>
        <w:rPr>
          <w:rFonts w:ascii="宋体" w:hAnsi="宋体"/>
        </w:rPr>
        <w:fldChar w:fldCharType="begin"/>
      </w:r>
      <w:r>
        <w:rPr>
          <w:rFonts w:ascii="宋体" w:hAnsi="宋体"/>
        </w:rPr>
        <w:instrText xml:space="preserve"> PAGEREF _Toc470624692 \h </w:instrText>
      </w:r>
      <w:r>
        <w:rPr>
          <w:rFonts w:ascii="宋体" w:hAnsi="宋体"/>
        </w:rPr>
        <w:fldChar w:fldCharType="separate"/>
      </w:r>
      <w:r>
        <w:rPr>
          <w:rFonts w:ascii="宋体" w:hAnsi="宋体"/>
        </w:rPr>
        <w:t>4</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"_Toc470624693" </w:instrText>
      </w:r>
      <w:r>
        <w:fldChar w:fldCharType="separate"/>
      </w:r>
      <w:r>
        <w:rPr>
          <w:rStyle w:val="24"/>
          <w:rFonts w:ascii="宋体" w:hAnsi="宋体"/>
        </w:rPr>
        <w:t>2.2</w:t>
      </w:r>
      <w:r>
        <w:rPr>
          <w:rFonts w:ascii="宋体"/>
          <w:sz w:val="21"/>
        </w:rPr>
        <w:tab/>
      </w:r>
      <w:r>
        <w:rPr>
          <w:rStyle w:val="24"/>
          <w:rFonts w:hint="eastAsia" w:ascii="宋体" w:hAnsi="宋体"/>
        </w:rPr>
        <w:t>公交站场建设模式</w:t>
      </w:r>
      <w:r>
        <w:rPr>
          <w:rFonts w:ascii="宋体"/>
        </w:rPr>
        <w:tab/>
      </w:r>
      <w:r>
        <w:rPr>
          <w:rFonts w:ascii="宋体" w:hAnsi="宋体"/>
        </w:rPr>
        <w:fldChar w:fldCharType="begin"/>
      </w:r>
      <w:r>
        <w:rPr>
          <w:rFonts w:ascii="宋体" w:hAnsi="宋体"/>
        </w:rPr>
        <w:instrText xml:space="preserve"> PAGEREF _Toc470624693 \h </w:instrText>
      </w:r>
      <w:r>
        <w:rPr>
          <w:rFonts w:ascii="宋体" w:hAnsi="宋体"/>
        </w:rPr>
        <w:fldChar w:fldCharType="separate"/>
      </w:r>
      <w:r>
        <w:rPr>
          <w:rFonts w:ascii="宋体" w:hAnsi="宋体"/>
        </w:rPr>
        <w:t>4</w:t>
      </w:r>
      <w:r>
        <w:rPr>
          <w:rFonts w:ascii="宋体" w:hAnsi="宋体"/>
        </w:rPr>
        <w:fldChar w:fldCharType="end"/>
      </w:r>
      <w:r>
        <w:rPr>
          <w:rFonts w:ascii="宋体" w:hAnsi="宋体"/>
        </w:rPr>
        <w:fldChar w:fldCharType="end"/>
      </w:r>
    </w:p>
    <w:p>
      <w:pPr>
        <w:pStyle w:val="14"/>
        <w:spacing w:line="312" w:lineRule="auto"/>
        <w:rPr>
          <w:rFonts w:ascii="宋体"/>
          <w:b w:val="0"/>
          <w:sz w:val="21"/>
        </w:rPr>
      </w:pPr>
      <w:r>
        <w:fldChar w:fldCharType="begin"/>
      </w:r>
      <w:r>
        <w:instrText xml:space="preserve"> HYPERLINK \l "_Toc470624694" </w:instrText>
      </w:r>
      <w:r>
        <w:fldChar w:fldCharType="separate"/>
      </w:r>
      <w:r>
        <w:rPr>
          <w:rStyle w:val="24"/>
          <w:rFonts w:ascii="宋体" w:hAnsi="宋体"/>
          <w:b w:val="0"/>
        </w:rPr>
        <w:t>3</w:t>
      </w:r>
      <w:r>
        <w:rPr>
          <w:rFonts w:ascii="宋体"/>
          <w:b w:val="0"/>
          <w:sz w:val="21"/>
        </w:rPr>
        <w:tab/>
      </w:r>
      <w:r>
        <w:rPr>
          <w:rStyle w:val="24"/>
          <w:rFonts w:hint="eastAsia" w:ascii="宋体" w:hAnsi="宋体"/>
          <w:b w:val="0"/>
        </w:rPr>
        <w:t>规划指引</w:t>
      </w:r>
      <w:r>
        <w:rPr>
          <w:rFonts w:ascii="宋体"/>
          <w:b w:val="0"/>
        </w:rPr>
        <w:tab/>
      </w:r>
      <w:r>
        <w:rPr>
          <w:rFonts w:ascii="宋体" w:hAnsi="宋体"/>
          <w:b w:val="0"/>
        </w:rPr>
        <w:fldChar w:fldCharType="begin"/>
      </w:r>
      <w:r>
        <w:rPr>
          <w:rFonts w:ascii="宋体" w:hAnsi="宋体"/>
          <w:b w:val="0"/>
        </w:rPr>
        <w:instrText xml:space="preserve"> PAGEREF _Toc470624694 \h </w:instrText>
      </w:r>
      <w:r>
        <w:rPr>
          <w:rFonts w:ascii="宋体" w:hAnsi="宋体"/>
          <w:b w:val="0"/>
        </w:rPr>
        <w:fldChar w:fldCharType="separate"/>
      </w:r>
      <w:r>
        <w:rPr>
          <w:rFonts w:ascii="宋体" w:hAnsi="宋体"/>
          <w:b w:val="0"/>
        </w:rPr>
        <w:t>5</w:t>
      </w:r>
      <w:r>
        <w:rPr>
          <w:rFonts w:ascii="宋体" w:hAnsi="宋体"/>
          <w:b w:val="0"/>
        </w:rPr>
        <w:fldChar w:fldCharType="end"/>
      </w:r>
      <w:r>
        <w:rPr>
          <w:rFonts w:ascii="宋体" w:hAnsi="宋体"/>
          <w:b w:val="0"/>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"_Toc470624695" </w:instrText>
      </w:r>
      <w:r>
        <w:fldChar w:fldCharType="separate"/>
      </w:r>
      <w:r>
        <w:rPr>
          <w:rStyle w:val="24"/>
          <w:rFonts w:ascii="宋体" w:hAnsi="宋体"/>
        </w:rPr>
        <w:t>3.1</w:t>
      </w:r>
      <w:r>
        <w:rPr>
          <w:rFonts w:ascii="宋体"/>
          <w:sz w:val="21"/>
        </w:rPr>
        <w:tab/>
      </w:r>
      <w:r>
        <w:rPr>
          <w:rStyle w:val="24"/>
          <w:rFonts w:hint="eastAsia" w:ascii="宋体" w:hAnsi="宋体"/>
        </w:rPr>
        <w:t>站场配建原则</w:t>
      </w:r>
      <w:r>
        <w:rPr>
          <w:rFonts w:ascii="宋体"/>
        </w:rPr>
        <w:tab/>
      </w:r>
      <w:r>
        <w:rPr>
          <w:rFonts w:ascii="宋体" w:hAnsi="宋体"/>
        </w:rPr>
        <w:fldChar w:fldCharType="begin"/>
      </w:r>
      <w:r>
        <w:rPr>
          <w:rFonts w:ascii="宋体" w:hAnsi="宋体"/>
        </w:rPr>
        <w:instrText xml:space="preserve"> PAGEREF _Toc470624695 \h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"_Toc470624696" </w:instrText>
      </w:r>
      <w:r>
        <w:fldChar w:fldCharType="separate"/>
      </w:r>
      <w:r>
        <w:rPr>
          <w:rStyle w:val="24"/>
          <w:rFonts w:ascii="宋体" w:hAnsi="宋体"/>
        </w:rPr>
        <w:t>3.2</w:t>
      </w:r>
      <w:r>
        <w:rPr>
          <w:rFonts w:ascii="宋体"/>
          <w:sz w:val="21"/>
        </w:rPr>
        <w:tab/>
      </w:r>
      <w:r>
        <w:rPr>
          <w:rStyle w:val="24"/>
          <w:rFonts w:hint="eastAsia" w:ascii="宋体" w:hAnsi="宋体"/>
        </w:rPr>
        <w:t>站场配建标准</w:t>
      </w:r>
      <w:r>
        <w:rPr>
          <w:rFonts w:ascii="宋体"/>
        </w:rPr>
        <w:tab/>
      </w:r>
      <w:r>
        <w:rPr>
          <w:rFonts w:ascii="宋体" w:hAnsi="宋体"/>
        </w:rPr>
        <w:fldChar w:fldCharType="begin"/>
      </w:r>
      <w:r>
        <w:rPr>
          <w:rFonts w:ascii="宋体" w:hAnsi="宋体"/>
        </w:rPr>
        <w:instrText xml:space="preserve"> PAGEREF _Toc470624696 \h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"_Toc470624697" </w:instrText>
      </w:r>
      <w:r>
        <w:fldChar w:fldCharType="separate"/>
      </w:r>
      <w:r>
        <w:rPr>
          <w:rStyle w:val="24"/>
          <w:rFonts w:ascii="宋体" w:hAnsi="宋体"/>
        </w:rPr>
        <w:t>3.3</w:t>
      </w:r>
      <w:r>
        <w:rPr>
          <w:rFonts w:ascii="宋体"/>
          <w:sz w:val="21"/>
        </w:rPr>
        <w:tab/>
      </w:r>
      <w:r>
        <w:rPr>
          <w:rStyle w:val="24"/>
          <w:rFonts w:hint="eastAsia" w:ascii="宋体" w:hAnsi="宋体"/>
        </w:rPr>
        <w:t>站场最小规模控制指标</w:t>
      </w:r>
      <w:r>
        <w:rPr>
          <w:rFonts w:ascii="宋体"/>
        </w:rPr>
        <w:tab/>
      </w:r>
      <w:r>
        <w:rPr>
          <w:rFonts w:ascii="宋体" w:hAnsi="宋体"/>
        </w:rPr>
        <w:fldChar w:fldCharType="begin"/>
      </w:r>
      <w:r>
        <w:rPr>
          <w:rFonts w:ascii="宋体" w:hAnsi="宋体"/>
        </w:rPr>
        <w:instrText xml:space="preserve"> PAGEREF _Toc470624697 \h </w:instrText>
      </w:r>
      <w:r>
        <w:rPr>
          <w:rFonts w:ascii="宋体" w:hAnsi="宋体"/>
        </w:rPr>
        <w:fldChar w:fldCharType="separate"/>
      </w:r>
      <w:r>
        <w:rPr>
          <w:rFonts w:ascii="宋体" w:hAnsi="宋体"/>
        </w:rPr>
        <w:t>7</w:t>
      </w:r>
      <w:r>
        <w:rPr>
          <w:rFonts w:ascii="宋体" w:hAnsi="宋体"/>
        </w:rPr>
        <w:fldChar w:fldCharType="end"/>
      </w:r>
      <w:r>
        <w:rPr>
          <w:rFonts w:ascii="宋体" w:hAnsi="宋体"/>
        </w:rPr>
        <w:fldChar w:fldCharType="end"/>
      </w:r>
    </w:p>
    <w:p>
      <w:pPr>
        <w:pStyle w:val="14"/>
        <w:spacing w:line="312" w:lineRule="auto"/>
        <w:rPr>
          <w:rFonts w:ascii="宋体"/>
          <w:b w:val="0"/>
          <w:sz w:val="21"/>
        </w:rPr>
      </w:pPr>
      <w:r>
        <w:fldChar w:fldCharType="begin"/>
      </w:r>
      <w:r>
        <w:instrText xml:space="preserve"> HYPERLINK \l "_Toc470624698" </w:instrText>
      </w:r>
      <w:r>
        <w:fldChar w:fldCharType="separate"/>
      </w:r>
      <w:r>
        <w:rPr>
          <w:rStyle w:val="24"/>
          <w:rFonts w:ascii="宋体" w:hAnsi="宋体"/>
          <w:b w:val="0"/>
        </w:rPr>
        <w:t>4</w:t>
      </w:r>
      <w:r>
        <w:rPr>
          <w:rFonts w:ascii="宋体"/>
          <w:b w:val="0"/>
          <w:sz w:val="21"/>
        </w:rPr>
        <w:tab/>
      </w:r>
      <w:r>
        <w:rPr>
          <w:rStyle w:val="24"/>
          <w:rFonts w:hint="eastAsia" w:ascii="宋体" w:hAnsi="宋体"/>
          <w:b w:val="0"/>
        </w:rPr>
        <w:t>设计指引</w:t>
      </w:r>
      <w:r>
        <w:rPr>
          <w:rFonts w:ascii="宋体"/>
          <w:b w:val="0"/>
        </w:rPr>
        <w:tab/>
      </w:r>
      <w:r>
        <w:rPr>
          <w:rFonts w:ascii="宋体" w:hAnsi="宋体"/>
          <w:b w:val="0"/>
        </w:rPr>
        <w:fldChar w:fldCharType="begin"/>
      </w:r>
      <w:r>
        <w:rPr>
          <w:rFonts w:ascii="宋体" w:hAnsi="宋体"/>
          <w:b w:val="0"/>
        </w:rPr>
        <w:instrText xml:space="preserve"> PAGEREF _Toc470624698 \h </w:instrText>
      </w:r>
      <w:r>
        <w:rPr>
          <w:rFonts w:ascii="宋体" w:hAnsi="宋体"/>
          <w:b w:val="0"/>
        </w:rPr>
        <w:fldChar w:fldCharType="separate"/>
      </w:r>
      <w:r>
        <w:rPr>
          <w:rFonts w:ascii="宋体" w:hAnsi="宋体"/>
          <w:b w:val="0"/>
        </w:rPr>
        <w:t>8</w:t>
      </w:r>
      <w:r>
        <w:rPr>
          <w:rFonts w:ascii="宋体" w:hAnsi="宋体"/>
          <w:b w:val="0"/>
        </w:rPr>
        <w:fldChar w:fldCharType="end"/>
      </w:r>
      <w:r>
        <w:rPr>
          <w:rFonts w:ascii="宋体" w:hAnsi="宋体"/>
          <w:b w:val="0"/>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"_Toc470624699" </w:instrText>
      </w:r>
      <w:r>
        <w:fldChar w:fldCharType="separate"/>
      </w:r>
      <w:r>
        <w:rPr>
          <w:rStyle w:val="24"/>
          <w:rFonts w:ascii="宋体" w:hAnsi="宋体"/>
        </w:rPr>
        <w:t>4.1</w:t>
      </w:r>
      <w:r>
        <w:rPr>
          <w:rFonts w:ascii="宋体"/>
          <w:sz w:val="21"/>
        </w:rPr>
        <w:tab/>
      </w:r>
      <w:r>
        <w:rPr>
          <w:rStyle w:val="24"/>
          <w:rFonts w:hint="eastAsia" w:ascii="宋体" w:hAnsi="宋体"/>
        </w:rPr>
        <w:t>通则</w:t>
      </w:r>
      <w:r>
        <w:rPr>
          <w:rFonts w:ascii="宋体"/>
        </w:rPr>
        <w:tab/>
      </w:r>
      <w:r>
        <w:rPr>
          <w:rFonts w:ascii="宋体" w:hAnsi="宋体"/>
        </w:rPr>
        <w:fldChar w:fldCharType="begin"/>
      </w:r>
      <w:r>
        <w:rPr>
          <w:rFonts w:ascii="宋体" w:hAnsi="宋体"/>
        </w:rPr>
        <w:instrText xml:space="preserve"> PAGEREF _Toc470624699 \h </w:instrText>
      </w:r>
      <w:r>
        <w:rPr>
          <w:rFonts w:ascii="宋体" w:hAnsi="宋体"/>
        </w:rPr>
        <w:fldChar w:fldCharType="separate"/>
      </w:r>
      <w:r>
        <w:rPr>
          <w:rFonts w:ascii="宋体" w:hAnsi="宋体"/>
        </w:rPr>
        <w:t>8</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"_Toc470624700" </w:instrText>
      </w:r>
      <w:r>
        <w:fldChar w:fldCharType="separate"/>
      </w:r>
      <w:r>
        <w:rPr>
          <w:rStyle w:val="24"/>
          <w:rFonts w:ascii="宋体" w:hAnsi="宋体"/>
        </w:rPr>
        <w:t>4.2</w:t>
      </w:r>
      <w:r>
        <w:rPr>
          <w:rFonts w:ascii="宋体"/>
          <w:sz w:val="21"/>
        </w:rPr>
        <w:tab/>
      </w:r>
      <w:r>
        <w:rPr>
          <w:rStyle w:val="24"/>
          <w:rFonts w:hint="eastAsia" w:ascii="宋体" w:hAnsi="宋体"/>
        </w:rPr>
        <w:t>平面布局</w:t>
      </w:r>
      <w:r>
        <w:rPr>
          <w:rFonts w:ascii="宋体"/>
        </w:rPr>
        <w:tab/>
      </w:r>
      <w:r>
        <w:rPr>
          <w:rFonts w:ascii="宋体" w:hAnsi="宋体"/>
        </w:rPr>
        <w:fldChar w:fldCharType="begin"/>
      </w:r>
      <w:r>
        <w:rPr>
          <w:rFonts w:ascii="宋体" w:hAnsi="宋体"/>
        </w:rPr>
        <w:instrText xml:space="preserve"> PAGEREF _Toc470624700 \h </w:instrText>
      </w:r>
      <w:r>
        <w:rPr>
          <w:rFonts w:ascii="宋体" w:hAnsi="宋体"/>
        </w:rPr>
        <w:fldChar w:fldCharType="separate"/>
      </w:r>
      <w:r>
        <w:rPr>
          <w:rFonts w:ascii="宋体" w:hAnsi="宋体"/>
        </w:rPr>
        <w:t>8</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"_Toc470624701" </w:instrText>
      </w:r>
      <w:r>
        <w:fldChar w:fldCharType="separate"/>
      </w:r>
      <w:r>
        <w:rPr>
          <w:rStyle w:val="24"/>
          <w:rFonts w:ascii="宋体" w:hAnsi="宋体"/>
        </w:rPr>
        <w:t>4.3</w:t>
      </w:r>
      <w:r>
        <w:rPr>
          <w:rFonts w:ascii="宋体"/>
          <w:sz w:val="21"/>
        </w:rPr>
        <w:tab/>
      </w:r>
      <w:r>
        <w:rPr>
          <w:rStyle w:val="24"/>
          <w:rFonts w:hint="eastAsia" w:ascii="宋体" w:hAnsi="宋体"/>
        </w:rPr>
        <w:t>设计内容</w:t>
      </w:r>
      <w:r>
        <w:rPr>
          <w:rFonts w:ascii="宋体"/>
        </w:rPr>
        <w:tab/>
      </w:r>
      <w:r>
        <w:rPr>
          <w:rFonts w:ascii="宋体" w:hAnsi="宋体"/>
        </w:rPr>
        <w:fldChar w:fldCharType="begin"/>
      </w:r>
      <w:r>
        <w:rPr>
          <w:rFonts w:ascii="宋体" w:hAnsi="宋体"/>
        </w:rPr>
        <w:instrText xml:space="preserve"> PAGEREF _Toc470624701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"_Toc470624702" </w:instrText>
      </w:r>
      <w:r>
        <w:fldChar w:fldCharType="separate"/>
      </w:r>
      <w:r>
        <w:rPr>
          <w:rStyle w:val="24"/>
          <w:rFonts w:ascii="宋体" w:hAnsi="宋体"/>
        </w:rPr>
        <w:t>4.4</w:t>
      </w:r>
      <w:r>
        <w:rPr>
          <w:rFonts w:ascii="宋体"/>
          <w:sz w:val="21"/>
        </w:rPr>
        <w:tab/>
      </w:r>
      <w:r>
        <w:rPr>
          <w:rStyle w:val="24"/>
          <w:rFonts w:hint="eastAsia" w:ascii="宋体" w:hAnsi="宋体"/>
        </w:rPr>
        <w:t>功能设施设计要求</w:t>
      </w:r>
      <w:r>
        <w:rPr>
          <w:rFonts w:ascii="宋体"/>
        </w:rPr>
        <w:tab/>
      </w:r>
      <w:r>
        <w:rPr>
          <w:rFonts w:ascii="宋体" w:hAnsi="宋体"/>
        </w:rPr>
        <w:fldChar w:fldCharType="begin"/>
      </w:r>
      <w:r>
        <w:rPr>
          <w:rFonts w:ascii="宋体" w:hAnsi="宋体"/>
        </w:rPr>
        <w:instrText xml:space="preserve"> PAGEREF _Toc470624702 \h </w:instrText>
      </w:r>
      <w:r>
        <w:rPr>
          <w:rFonts w:ascii="宋体" w:hAnsi="宋体"/>
        </w:rPr>
        <w:fldChar w:fldCharType="separate"/>
      </w:r>
      <w:r>
        <w:rPr>
          <w:rFonts w:ascii="宋体" w:hAnsi="宋体"/>
        </w:rPr>
        <w:t>11</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"_Toc470624703" </w:instrText>
      </w:r>
      <w:r>
        <w:fldChar w:fldCharType="separate"/>
      </w:r>
      <w:r>
        <w:rPr>
          <w:rStyle w:val="24"/>
          <w:rFonts w:ascii="宋体" w:hAnsi="宋体"/>
        </w:rPr>
        <w:t>4.5</w:t>
      </w:r>
      <w:r>
        <w:rPr>
          <w:rFonts w:ascii="宋体"/>
          <w:sz w:val="21"/>
        </w:rPr>
        <w:tab/>
      </w:r>
      <w:r>
        <w:rPr>
          <w:rStyle w:val="24"/>
          <w:rFonts w:hint="eastAsia" w:ascii="宋体" w:hAnsi="宋体"/>
        </w:rPr>
        <w:t>消防要求</w:t>
      </w:r>
      <w:r>
        <w:rPr>
          <w:rFonts w:ascii="宋体"/>
        </w:rPr>
        <w:tab/>
      </w:r>
      <w:r>
        <w:rPr>
          <w:rFonts w:ascii="宋体" w:hAnsi="宋体"/>
        </w:rPr>
        <w:fldChar w:fldCharType="begin"/>
      </w:r>
      <w:r>
        <w:rPr>
          <w:rFonts w:ascii="宋体" w:hAnsi="宋体"/>
        </w:rPr>
        <w:instrText xml:space="preserve"> PAGEREF _Toc470624703 \h </w:instrText>
      </w:r>
      <w:r>
        <w:rPr>
          <w:rFonts w:ascii="宋体" w:hAnsi="宋体"/>
        </w:rPr>
        <w:fldChar w:fldCharType="separate"/>
      </w:r>
      <w:r>
        <w:rPr>
          <w:rFonts w:ascii="宋体" w:hAnsi="宋体"/>
        </w:rPr>
        <w:t>15</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"_Toc470624704" </w:instrText>
      </w:r>
      <w:r>
        <w:fldChar w:fldCharType="separate"/>
      </w:r>
      <w:r>
        <w:rPr>
          <w:rStyle w:val="24"/>
          <w:rFonts w:ascii="宋体" w:hAnsi="宋体"/>
        </w:rPr>
        <w:t>4.6</w:t>
      </w:r>
      <w:r>
        <w:rPr>
          <w:rFonts w:ascii="宋体"/>
          <w:sz w:val="21"/>
        </w:rPr>
        <w:tab/>
      </w:r>
      <w:r>
        <w:rPr>
          <w:rStyle w:val="24"/>
          <w:rFonts w:hint="eastAsia" w:ascii="宋体" w:hAnsi="宋体"/>
        </w:rPr>
        <w:t>环保要求</w:t>
      </w:r>
      <w:r>
        <w:rPr>
          <w:rFonts w:ascii="宋体"/>
        </w:rPr>
        <w:tab/>
      </w:r>
      <w:r>
        <w:rPr>
          <w:rFonts w:ascii="宋体" w:hAnsi="宋体"/>
        </w:rPr>
        <w:fldChar w:fldCharType="begin"/>
      </w:r>
      <w:r>
        <w:rPr>
          <w:rFonts w:ascii="宋体" w:hAnsi="宋体"/>
        </w:rPr>
        <w:instrText xml:space="preserve"> PAGEREF _Toc470624704 \h </w:instrText>
      </w:r>
      <w:r>
        <w:rPr>
          <w:rFonts w:ascii="宋体" w:hAnsi="宋体"/>
        </w:rPr>
        <w:fldChar w:fldCharType="separate"/>
      </w:r>
      <w:r>
        <w:rPr>
          <w:rFonts w:ascii="宋体" w:hAnsi="宋体"/>
        </w:rPr>
        <w:t>16</w:t>
      </w:r>
      <w:r>
        <w:rPr>
          <w:rFonts w:ascii="宋体" w:hAnsi="宋体"/>
        </w:rPr>
        <w:fldChar w:fldCharType="end"/>
      </w:r>
      <w:r>
        <w:rPr>
          <w:rFonts w:ascii="宋体" w:hAnsi="宋体"/>
        </w:rPr>
        <w:fldChar w:fldCharType="end"/>
      </w:r>
    </w:p>
    <w:p>
      <w:pPr>
        <w:pStyle w:val="14"/>
        <w:spacing w:line="312" w:lineRule="auto"/>
        <w:rPr>
          <w:rFonts w:ascii="宋体"/>
          <w:b w:val="0"/>
          <w:sz w:val="21"/>
        </w:rPr>
      </w:pPr>
      <w:r>
        <w:fldChar w:fldCharType="begin"/>
      </w:r>
      <w:r>
        <w:instrText xml:space="preserve"> HYPERLINK \l "_Toc470624705" </w:instrText>
      </w:r>
      <w:r>
        <w:fldChar w:fldCharType="separate"/>
      </w:r>
      <w:r>
        <w:rPr>
          <w:rStyle w:val="24"/>
          <w:rFonts w:ascii="宋体" w:hAnsi="宋体"/>
          <w:b w:val="0"/>
        </w:rPr>
        <w:t>5</w:t>
      </w:r>
      <w:r>
        <w:rPr>
          <w:rFonts w:ascii="宋体"/>
          <w:b w:val="0"/>
          <w:sz w:val="21"/>
        </w:rPr>
        <w:tab/>
      </w:r>
      <w:r>
        <w:rPr>
          <w:rStyle w:val="24"/>
          <w:rFonts w:hint="eastAsia" w:ascii="宋体" w:hAnsi="宋体"/>
          <w:b w:val="0"/>
        </w:rPr>
        <w:t>实施机制</w:t>
      </w:r>
      <w:r>
        <w:rPr>
          <w:rFonts w:ascii="宋体"/>
          <w:b w:val="0"/>
        </w:rPr>
        <w:tab/>
      </w:r>
      <w:r>
        <w:rPr>
          <w:rFonts w:ascii="宋体" w:hAnsi="宋体"/>
          <w:b w:val="0"/>
        </w:rPr>
        <w:fldChar w:fldCharType="begin"/>
      </w:r>
      <w:r>
        <w:rPr>
          <w:rFonts w:ascii="宋体" w:hAnsi="宋体"/>
          <w:b w:val="0"/>
        </w:rPr>
        <w:instrText xml:space="preserve"> PAGEREF _Toc470624705 \h </w:instrText>
      </w:r>
      <w:r>
        <w:rPr>
          <w:rFonts w:ascii="宋体" w:hAnsi="宋体"/>
          <w:b w:val="0"/>
        </w:rPr>
        <w:fldChar w:fldCharType="separate"/>
      </w:r>
      <w:r>
        <w:rPr>
          <w:rFonts w:ascii="宋体" w:hAnsi="宋体"/>
          <w:b w:val="0"/>
        </w:rPr>
        <w:t>17</w:t>
      </w:r>
      <w:r>
        <w:rPr>
          <w:rFonts w:ascii="宋体" w:hAnsi="宋体"/>
          <w:b w:val="0"/>
        </w:rPr>
        <w:fldChar w:fldCharType="end"/>
      </w:r>
      <w:r>
        <w:rPr>
          <w:rFonts w:ascii="宋体" w:hAnsi="宋体"/>
          <w:b w:val="0"/>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"_Toc470624706" </w:instrText>
      </w:r>
      <w:r>
        <w:fldChar w:fldCharType="separate"/>
      </w:r>
      <w:r>
        <w:rPr>
          <w:rStyle w:val="24"/>
          <w:rFonts w:ascii="宋体" w:hAnsi="宋体"/>
        </w:rPr>
        <w:t>5.1</w:t>
      </w:r>
      <w:r>
        <w:rPr>
          <w:rFonts w:ascii="宋体"/>
          <w:sz w:val="21"/>
        </w:rPr>
        <w:tab/>
      </w:r>
      <w:r>
        <w:rPr>
          <w:rStyle w:val="24"/>
          <w:rFonts w:hint="eastAsia" w:ascii="宋体" w:hAnsi="宋体"/>
        </w:rPr>
        <w:t>配建公交站场规划实施流程</w:t>
      </w:r>
      <w:r>
        <w:rPr>
          <w:rFonts w:ascii="宋体"/>
        </w:rPr>
        <w:tab/>
      </w:r>
      <w:r>
        <w:rPr>
          <w:rFonts w:ascii="宋体" w:hAnsi="宋体"/>
        </w:rPr>
        <w:fldChar w:fldCharType="begin"/>
      </w:r>
      <w:r>
        <w:rPr>
          <w:rFonts w:ascii="宋体" w:hAnsi="宋体"/>
        </w:rPr>
        <w:instrText xml:space="preserve"> PAGEREF _Toc470624706 \h </w:instrText>
      </w:r>
      <w:r>
        <w:rPr>
          <w:rFonts w:ascii="宋体" w:hAnsi="宋体"/>
        </w:rPr>
        <w:fldChar w:fldCharType="separate"/>
      </w:r>
      <w:r>
        <w:rPr>
          <w:rFonts w:ascii="宋体" w:hAnsi="宋体"/>
        </w:rPr>
        <w:t>17</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"_Toc470624707" </w:instrText>
      </w:r>
      <w:r>
        <w:fldChar w:fldCharType="separate"/>
      </w:r>
      <w:r>
        <w:rPr>
          <w:rStyle w:val="24"/>
          <w:rFonts w:ascii="宋体" w:hAnsi="宋体"/>
        </w:rPr>
        <w:t>5.2</w:t>
      </w:r>
      <w:r>
        <w:rPr>
          <w:rFonts w:ascii="宋体"/>
          <w:sz w:val="21"/>
        </w:rPr>
        <w:tab/>
      </w:r>
      <w:r>
        <w:rPr>
          <w:rStyle w:val="24"/>
          <w:rFonts w:hint="eastAsia" w:ascii="宋体" w:hAnsi="宋体"/>
        </w:rPr>
        <w:t>规划设计要点相关条文</w:t>
      </w:r>
      <w:r>
        <w:rPr>
          <w:rFonts w:ascii="宋体"/>
        </w:rPr>
        <w:tab/>
      </w:r>
      <w:r>
        <w:rPr>
          <w:rFonts w:ascii="宋体" w:hAnsi="宋体"/>
        </w:rPr>
        <w:fldChar w:fldCharType="begin"/>
      </w:r>
      <w:r>
        <w:rPr>
          <w:rFonts w:ascii="宋体" w:hAnsi="宋体"/>
        </w:rPr>
        <w:instrText xml:space="preserve"> PAGEREF _Toc470624707 \h </w:instrText>
      </w:r>
      <w:r>
        <w:rPr>
          <w:rFonts w:ascii="宋体" w:hAnsi="宋体"/>
        </w:rPr>
        <w:fldChar w:fldCharType="separate"/>
      </w:r>
      <w:r>
        <w:rPr>
          <w:rFonts w:ascii="宋体" w:hAnsi="宋体"/>
        </w:rPr>
        <w:t>22</w:t>
      </w:r>
      <w:r>
        <w:rPr>
          <w:rFonts w:ascii="宋体" w:hAnsi="宋体"/>
        </w:rPr>
        <w:fldChar w:fldCharType="end"/>
      </w:r>
      <w:r>
        <w:rPr>
          <w:rFonts w:ascii="宋体" w:hAnsi="宋体"/>
        </w:rPr>
        <w:fldChar w:fldCharType="end"/>
      </w:r>
    </w:p>
    <w:p>
      <w:pPr>
        <w:pStyle w:val="17"/>
        <w:tabs>
          <w:tab w:val="left" w:pos="1050"/>
          <w:tab w:val="right" w:leader="dot" w:pos="8296"/>
        </w:tabs>
        <w:spacing w:line="312" w:lineRule="auto"/>
        <w:ind w:left="31680"/>
        <w:rPr>
          <w:rFonts w:ascii="宋体"/>
          <w:sz w:val="21"/>
        </w:rPr>
      </w:pPr>
      <w:r>
        <w:fldChar w:fldCharType="begin"/>
      </w:r>
      <w:r>
        <w:instrText xml:space="preserve"> HYPERLINK \l "_Toc470624708" </w:instrText>
      </w:r>
      <w:r>
        <w:fldChar w:fldCharType="separate"/>
      </w:r>
      <w:r>
        <w:rPr>
          <w:rStyle w:val="24"/>
          <w:rFonts w:ascii="宋体" w:hAnsi="宋体"/>
        </w:rPr>
        <w:t>5.3</w:t>
      </w:r>
      <w:r>
        <w:rPr>
          <w:rFonts w:ascii="宋体"/>
          <w:sz w:val="21"/>
        </w:rPr>
        <w:tab/>
      </w:r>
      <w:r>
        <w:rPr>
          <w:rStyle w:val="24"/>
          <w:rFonts w:hint="eastAsia" w:ascii="宋体" w:hAnsi="宋体"/>
        </w:rPr>
        <w:t>规划报建审查要点相关条文</w:t>
      </w:r>
      <w:r>
        <w:rPr>
          <w:rFonts w:ascii="宋体"/>
        </w:rPr>
        <w:tab/>
      </w:r>
      <w:r>
        <w:rPr>
          <w:rFonts w:ascii="宋体" w:hAnsi="宋体"/>
        </w:rPr>
        <w:fldChar w:fldCharType="begin"/>
      </w:r>
      <w:r>
        <w:rPr>
          <w:rFonts w:ascii="宋体" w:hAnsi="宋体"/>
        </w:rPr>
        <w:instrText xml:space="preserve"> PAGEREF _Toc470624708 \h </w:instrText>
      </w:r>
      <w:r>
        <w:rPr>
          <w:rFonts w:ascii="宋体" w:hAnsi="宋体"/>
        </w:rPr>
        <w:fldChar w:fldCharType="separate"/>
      </w:r>
      <w:r>
        <w:rPr>
          <w:rFonts w:ascii="宋体" w:hAnsi="宋体"/>
        </w:rPr>
        <w:t>23</w:t>
      </w:r>
      <w:r>
        <w:rPr>
          <w:rFonts w:ascii="宋体" w:hAnsi="宋体"/>
        </w:rPr>
        <w:fldChar w:fldCharType="end"/>
      </w:r>
      <w:r>
        <w:rPr>
          <w:rFonts w:ascii="宋体" w:hAnsi="宋体"/>
        </w:rPr>
        <w:fldChar w:fldCharType="end"/>
      </w:r>
    </w:p>
    <w:p>
      <w:pPr>
        <w:pStyle w:val="14"/>
        <w:spacing w:line="312" w:lineRule="auto"/>
        <w:rPr>
          <w:rFonts w:ascii="宋体"/>
          <w:b w:val="0"/>
          <w:sz w:val="21"/>
        </w:rPr>
      </w:pPr>
      <w:r>
        <w:fldChar w:fldCharType="begin"/>
      </w:r>
      <w:r>
        <w:instrText xml:space="preserve"> HYPERLINK \l "_Toc470624709" </w:instrText>
      </w:r>
      <w:r>
        <w:fldChar w:fldCharType="separate"/>
      </w:r>
      <w:r>
        <w:rPr>
          <w:rStyle w:val="24"/>
          <w:rFonts w:hint="eastAsia" w:ascii="宋体" w:hAnsi="宋体"/>
          <w:b w:val="0"/>
        </w:rPr>
        <w:t>附</w:t>
      </w:r>
      <w:r>
        <w:rPr>
          <w:rStyle w:val="24"/>
          <w:rFonts w:ascii="宋体" w:hAnsi="宋体"/>
          <w:b w:val="0"/>
        </w:rPr>
        <w:t xml:space="preserve"> </w:t>
      </w:r>
      <w:r>
        <w:rPr>
          <w:rStyle w:val="24"/>
          <w:rFonts w:hint="eastAsia" w:ascii="宋体" w:hAnsi="宋体"/>
          <w:b w:val="0"/>
        </w:rPr>
        <w:t>图</w:t>
      </w:r>
      <w:r>
        <w:rPr>
          <w:rFonts w:ascii="宋体"/>
          <w:b w:val="0"/>
        </w:rPr>
        <w:tab/>
      </w:r>
      <w:r>
        <w:rPr>
          <w:rFonts w:ascii="宋体" w:hAnsi="宋体"/>
          <w:b w:val="0"/>
        </w:rPr>
        <w:fldChar w:fldCharType="begin"/>
      </w:r>
      <w:r>
        <w:rPr>
          <w:rFonts w:ascii="宋体" w:hAnsi="宋体"/>
          <w:b w:val="0"/>
        </w:rPr>
        <w:instrText xml:space="preserve"> PAGEREF _Toc470624709 \h </w:instrText>
      </w:r>
      <w:r>
        <w:rPr>
          <w:rFonts w:ascii="宋体" w:hAnsi="宋体"/>
          <w:b w:val="0"/>
        </w:rPr>
        <w:fldChar w:fldCharType="separate"/>
      </w:r>
      <w:r>
        <w:rPr>
          <w:rFonts w:ascii="宋体" w:hAnsi="宋体"/>
          <w:b w:val="0"/>
        </w:rPr>
        <w:t>25</w:t>
      </w:r>
      <w:r>
        <w:rPr>
          <w:rFonts w:ascii="宋体" w:hAnsi="宋体"/>
          <w:b w:val="0"/>
        </w:rPr>
        <w:fldChar w:fldCharType="end"/>
      </w:r>
      <w:r>
        <w:rPr>
          <w:rFonts w:ascii="宋体" w:hAnsi="宋体"/>
          <w:b w:val="0"/>
        </w:rPr>
        <w:fldChar w:fldCharType="end"/>
      </w:r>
    </w:p>
    <w:p>
      <w:pPr>
        <w:pStyle w:val="14"/>
        <w:spacing w:line="312" w:lineRule="auto"/>
        <w:rPr>
          <w:rStyle w:val="24"/>
          <w:rFonts w:ascii="宋体"/>
          <w:b w:val="0"/>
        </w:rPr>
      </w:pPr>
      <w:r>
        <w:fldChar w:fldCharType="begin"/>
      </w:r>
      <w:r>
        <w:instrText xml:space="preserve"> HYPERLINK \l "_Toc470624710" </w:instrText>
      </w:r>
      <w:r>
        <w:fldChar w:fldCharType="separate"/>
      </w:r>
      <w:r>
        <w:rPr>
          <w:rStyle w:val="24"/>
          <w:rFonts w:hint="eastAsia" w:ascii="宋体" w:hAnsi="宋体"/>
          <w:b w:val="0"/>
        </w:rPr>
        <w:t>附</w:t>
      </w:r>
      <w:r>
        <w:rPr>
          <w:rStyle w:val="24"/>
          <w:rFonts w:ascii="宋体" w:hAnsi="宋体"/>
          <w:b w:val="0"/>
        </w:rPr>
        <w:t xml:space="preserve"> </w:t>
      </w:r>
      <w:r>
        <w:rPr>
          <w:rStyle w:val="24"/>
          <w:rFonts w:hint="eastAsia" w:ascii="宋体" w:hAnsi="宋体"/>
          <w:b w:val="0"/>
        </w:rPr>
        <w:t>录</w:t>
      </w:r>
      <w:r>
        <w:rPr>
          <w:rFonts w:ascii="宋体"/>
          <w:b w:val="0"/>
        </w:rPr>
        <w:tab/>
      </w:r>
      <w:r>
        <w:rPr>
          <w:rFonts w:ascii="宋体" w:hAnsi="宋体"/>
          <w:b w:val="0"/>
        </w:rPr>
        <w:fldChar w:fldCharType="begin"/>
      </w:r>
      <w:r>
        <w:rPr>
          <w:rFonts w:ascii="宋体" w:hAnsi="宋体"/>
          <w:b w:val="0"/>
        </w:rPr>
        <w:instrText xml:space="preserve"> PAGEREF _Toc470624710 \h </w:instrText>
      </w:r>
      <w:r>
        <w:rPr>
          <w:rFonts w:ascii="宋体" w:hAnsi="宋体"/>
          <w:b w:val="0"/>
        </w:rPr>
        <w:fldChar w:fldCharType="separate"/>
      </w:r>
      <w:r>
        <w:rPr>
          <w:rFonts w:ascii="宋体" w:hAnsi="宋体"/>
          <w:b w:val="0"/>
        </w:rPr>
        <w:t>28</w:t>
      </w:r>
      <w:r>
        <w:rPr>
          <w:rFonts w:ascii="宋体" w:hAnsi="宋体"/>
          <w:b w:val="0"/>
        </w:rPr>
        <w:fldChar w:fldCharType="end"/>
      </w:r>
      <w:r>
        <w:rPr>
          <w:rFonts w:ascii="宋体" w:hAnsi="宋体"/>
          <w:b w:val="0"/>
        </w:rPr>
        <w:fldChar w:fldCharType="end"/>
      </w:r>
    </w:p>
    <w:p>
      <w:pPr>
        <w:pStyle w:val="14"/>
        <w:spacing w:line="312" w:lineRule="auto"/>
        <w:rPr>
          <w:b w:val="0"/>
        </w:rPr>
      </w:pPr>
      <w:r>
        <w:fldChar w:fldCharType="begin"/>
      </w:r>
      <w:r>
        <w:instrText xml:space="preserve"> HYPERLINK \l "_Toc470624710" </w:instrText>
      </w:r>
      <w:r>
        <w:fldChar w:fldCharType="separate"/>
      </w:r>
      <w:r>
        <w:rPr>
          <w:rStyle w:val="24"/>
          <w:rFonts w:hint="eastAsia" w:ascii="宋体" w:hAnsi="宋体"/>
          <w:b w:val="0"/>
        </w:rPr>
        <w:t>条文说明</w:t>
      </w:r>
      <w:r>
        <w:rPr>
          <w:rFonts w:ascii="宋体"/>
          <w:b w:val="0"/>
        </w:rPr>
        <w:tab/>
      </w:r>
      <w:r>
        <w:rPr>
          <w:rFonts w:ascii="宋体" w:hAnsi="宋体"/>
          <w:b w:val="0"/>
        </w:rPr>
        <w:fldChar w:fldCharType="begin"/>
      </w:r>
      <w:r>
        <w:rPr>
          <w:rFonts w:ascii="宋体" w:hAnsi="宋体"/>
          <w:b w:val="0"/>
        </w:rPr>
        <w:instrText xml:space="preserve"> PAGEREF _Toc470624710 \h </w:instrText>
      </w:r>
      <w:r>
        <w:rPr>
          <w:rFonts w:ascii="宋体" w:hAnsi="宋体"/>
          <w:b w:val="0"/>
        </w:rPr>
        <w:fldChar w:fldCharType="separate"/>
      </w:r>
      <w:r>
        <w:rPr>
          <w:rFonts w:ascii="宋体" w:hAnsi="宋体"/>
          <w:b w:val="0"/>
        </w:rPr>
        <w:t>28</w:t>
      </w:r>
      <w:r>
        <w:rPr>
          <w:rFonts w:ascii="宋体" w:hAnsi="宋体"/>
          <w:b w:val="0"/>
        </w:rPr>
        <w:fldChar w:fldCharType="end"/>
      </w:r>
      <w:r>
        <w:rPr>
          <w:rFonts w:ascii="宋体" w:hAnsi="宋体"/>
          <w:b w:val="0"/>
        </w:rPr>
        <w:fldChar w:fldCharType="end"/>
      </w:r>
    </w:p>
    <w:p>
      <w:pPr>
        <w:sectPr>
          <w:headerReference r:id="rId10" w:type="first"/>
          <w:footerReference r:id="rId11" w:type="first"/>
          <w:headerReference r:id="rId8" w:type="default"/>
          <w:headerReference r:id="rId9" w:type="even"/>
          <w:pgSz w:w="11906" w:h="16838"/>
          <w:pgMar w:top="1440" w:right="1800" w:bottom="1440" w:left="1800" w:header="851" w:footer="992" w:gutter="0"/>
          <w:pgNumType w:fmt="upperRoman" w:start="1"/>
          <w:cols w:space="425" w:num="1"/>
          <w:titlePg/>
          <w:docGrid w:type="lines" w:linePitch="326" w:charSpace="0"/>
        </w:sectPr>
      </w:pPr>
    </w:p>
    <w:p>
      <w:pPr>
        <w:pStyle w:val="2"/>
        <w:spacing w:before="0" w:after="0" w:line="312" w:lineRule="auto"/>
      </w:pPr>
      <w:r>
        <w:rPr>
          <w:rFonts w:ascii="宋体" w:hAnsi="宋体"/>
          <w:b w:val="0"/>
          <w:bCs w:val="0"/>
          <w:szCs w:val="24"/>
        </w:rPr>
        <w:fldChar w:fldCharType="end"/>
      </w:r>
      <w:bookmarkStart w:id="1" w:name="_Toc470624684"/>
      <w:r>
        <w:rPr>
          <w:rFonts w:hint="eastAsia"/>
        </w:rPr>
        <w:t>总则</w:t>
      </w:r>
      <w:bookmarkEnd w:id="0"/>
      <w:bookmarkEnd w:id="1"/>
    </w:p>
    <w:p>
      <w:pPr>
        <w:pStyle w:val="3"/>
      </w:pPr>
      <w:bookmarkStart w:id="2" w:name="_Toc470624685"/>
      <w:bookmarkStart w:id="3" w:name="_Toc454207057"/>
      <w:r>
        <w:rPr>
          <w:rFonts w:hint="eastAsia"/>
        </w:rPr>
        <w:t>编制背景</w:t>
      </w:r>
      <w:bookmarkEnd w:id="2"/>
      <w:bookmarkEnd w:id="3"/>
    </w:p>
    <w:p>
      <w:pPr>
        <w:pStyle w:val="4"/>
      </w:pPr>
      <w:r>
        <w:rPr>
          <w:rFonts w:hint="eastAsia"/>
        </w:rPr>
        <w:t>广州市委十届九次全会提出：“要加快建设广州南沙新区城市副中心，打造高水平对外开放门户枢纽”。但南沙中心区受用地限制，城市交通有效供给存在瓶颈，“公交优先”是解决中心区交通问题的必然选择。</w:t>
      </w:r>
    </w:p>
    <w:p>
      <w:pPr>
        <w:pStyle w:val="4"/>
      </w:pPr>
      <w:r>
        <w:rPr>
          <w:rFonts w:hint="eastAsia"/>
        </w:rPr>
        <w:t>目前，自有用地的公交站场用地面积总和约</w:t>
      </w:r>
      <w:r>
        <w:t>3</w:t>
      </w:r>
      <w:r>
        <w:rPr>
          <w:rFonts w:hint="eastAsia"/>
        </w:rPr>
        <w:t>万</w:t>
      </w:r>
      <w:r>
        <w:t>m</w:t>
      </w:r>
      <w:r>
        <w:rPr>
          <w:vertAlign w:val="superscript"/>
        </w:rPr>
        <w:t>2</w:t>
      </w:r>
      <w:r>
        <w:rPr>
          <w:rFonts w:hint="eastAsia"/>
        </w:rPr>
        <w:t>，仅为公交站场用地需求的</w:t>
      </w:r>
      <w:r>
        <w:t>30%</w:t>
      </w:r>
      <w:r>
        <w:rPr>
          <w:rFonts w:hint="eastAsia"/>
        </w:rPr>
        <w:t>。规划公交站场仅</w:t>
      </w:r>
      <w:r>
        <w:t>10%</w:t>
      </w:r>
      <w:r>
        <w:rPr>
          <w:rFonts w:hint="eastAsia"/>
        </w:rPr>
        <w:t>得到落实，公交站场历史“欠账”较多，制约了南沙公共交通的发展。随着城市发展扩容提速，城市用地将更为紧张，独立占地的公交站场建设模式难以适应城市发展要求。</w:t>
      </w:r>
    </w:p>
    <w:p>
      <w:pPr>
        <w:pStyle w:val="4"/>
      </w:pPr>
      <w:r>
        <w:rPr>
          <w:rFonts w:hint="eastAsia"/>
        </w:rPr>
        <w:t>国务院</w:t>
      </w:r>
      <w:r>
        <w:t>2012</w:t>
      </w:r>
      <w:r>
        <w:rPr>
          <w:rFonts w:hint="eastAsia"/>
        </w:rPr>
        <w:t>年发布了《国务院关于城市优先发展公共交通的指导意见》，要求加强公共交通用地综合开发：对新建公共交通设施用地的地上、地下空间，按照市场化原则实施土地综合开发；对现有公共交通设施用地，支持原土地使用者在符合规划且不改变用途的前提下进行立体开发。而配建公交站场正是实现公共交通用地综合开发的绝佳途径。</w:t>
      </w:r>
    </w:p>
    <w:p>
      <w:pPr>
        <w:pStyle w:val="4"/>
      </w:pPr>
      <w:r>
        <w:rPr>
          <w:rFonts w:hint="eastAsia"/>
        </w:rPr>
        <w:t>广东省人民政府</w:t>
      </w:r>
      <w:r>
        <w:t>2013</w:t>
      </w:r>
      <w:r>
        <w:rPr>
          <w:rFonts w:hint="eastAsia"/>
        </w:rPr>
        <w:t>年发布了《广东省人民政府关于城市优先发展公共交通的实施意见》，要求“城市人民政府要加快制订城市城建项目公共交通站场设施配建管理政策，组织开展交通影响评价，作为新建、改建和扩建的居住小区、商务区、大型公共活动场所、大型交通枢纽等项目实施的前置性条件，并督促建设单位严格落实公共交通站场设施配建标准，实现同步设计、同步建设、同步验收投入使用”。对公交站场配建政策的出台提出了明确要求。</w:t>
      </w:r>
    </w:p>
    <w:p>
      <w:pPr>
        <w:pStyle w:val="4"/>
      </w:pPr>
      <w:r>
        <w:rPr>
          <w:rFonts w:hint="eastAsia"/>
        </w:rPr>
        <w:t>为落实和推进“公交优先”发展战略，规范南沙区公共交通站场建设管理，改善公共交通基础设施，提升市民公交出行服务水平，特编制本技术指引，指导城市公交站场规划建设，促进城市土地集约利用，为各部门在决策公交站场配建规模、标准等方面提供依据，实现南沙区公交站场设施的可持续发展，有效提升公共交通服务水平。</w:t>
      </w:r>
    </w:p>
    <w:p>
      <w:pPr>
        <w:pStyle w:val="3"/>
        <w:pageBreakBefore/>
      </w:pPr>
      <w:bookmarkStart w:id="4" w:name="_Toc470624686"/>
      <w:bookmarkStart w:id="5" w:name="_Toc454207058"/>
      <w:r>
        <w:rPr>
          <w:rFonts w:hint="eastAsia"/>
        </w:rPr>
        <w:t>编制目的</w:t>
      </w:r>
      <w:bookmarkEnd w:id="4"/>
      <w:bookmarkEnd w:id="5"/>
    </w:p>
    <w:p>
      <w:pPr>
        <w:pStyle w:val="4"/>
      </w:pPr>
      <w:r>
        <w:rPr>
          <w:rFonts w:hint="eastAsia"/>
        </w:rPr>
        <w:t>指导城建项目配建公交站场功能定位和布局设计。从技术上明确配建公交站场配建条件、站场类型及相关控制指标与要求，提出不同站场配套功能及要素布局，提高站场设计和建设质量，提升公共交通运作效率和服务水平。</w:t>
      </w:r>
    </w:p>
    <w:p>
      <w:pPr>
        <w:pStyle w:val="4"/>
      </w:pPr>
      <w:r>
        <w:rPr>
          <w:rFonts w:hint="eastAsia"/>
        </w:rPr>
        <w:t>规范配建公交站场审查管理与建设实施机制。从制度上梳理各相关部门职能，规范城建项目配建公交站场在规划、土地出让、报建以及移交、运维等环节的流程，明确部门职责，保障南沙区配建公交站场制度的落实。</w:t>
      </w:r>
    </w:p>
    <w:p>
      <w:pPr>
        <w:pStyle w:val="3"/>
      </w:pPr>
      <w:bookmarkStart w:id="6" w:name="_Toc454207059"/>
      <w:bookmarkStart w:id="7" w:name="_Toc470624687"/>
      <w:r>
        <w:rPr>
          <w:rFonts w:hint="eastAsia"/>
        </w:rPr>
        <w:t>编制依据</w:t>
      </w:r>
      <w:bookmarkEnd w:id="6"/>
      <w:bookmarkEnd w:id="7"/>
    </w:p>
    <w:p>
      <w:pPr>
        <w:pStyle w:val="4"/>
      </w:pPr>
      <w:r>
        <w:rPr>
          <w:rFonts w:hint="eastAsia"/>
        </w:rPr>
        <w:t>本指引是在参照国家、行业、南沙区及其他地方标准的基础上，结合南沙区经济社会发展实际情况而制定的，是科学、合理地确定南沙区配建公交站场功能定位、配建标准、建设内容、设施布置等相关指标的地方性推荐标准。</w:t>
      </w:r>
      <w:r>
        <w:t xml:space="preserve"> </w:t>
      </w:r>
    </w:p>
    <w:p>
      <w:pPr>
        <w:pStyle w:val="3"/>
      </w:pPr>
      <w:bookmarkStart w:id="8" w:name="_Toc454207060"/>
      <w:bookmarkStart w:id="9" w:name="_Toc470624688"/>
      <w:r>
        <w:rPr>
          <w:rFonts w:hint="eastAsia"/>
        </w:rPr>
        <w:t>适用范围</w:t>
      </w:r>
      <w:bookmarkEnd w:id="8"/>
      <w:bookmarkEnd w:id="9"/>
      <w:r>
        <w:t xml:space="preserve"> </w:t>
      </w:r>
    </w:p>
    <w:p>
      <w:pPr>
        <w:pStyle w:val="4"/>
      </w:pPr>
      <w:r>
        <w:rPr>
          <w:rFonts w:hint="eastAsia"/>
        </w:rPr>
        <w:t>本指引是编制配建公交站场相关规划的指导性文件，也是相应规划方案、初步设计、施工图审查、规划许可审批、站场竣工验收等的参考依据。</w:t>
      </w:r>
      <w:r>
        <w:t xml:space="preserve"> </w:t>
      </w:r>
    </w:p>
    <w:p>
      <w:pPr>
        <w:pStyle w:val="4"/>
      </w:pPr>
      <w:r>
        <w:rPr>
          <w:rFonts w:hint="eastAsia"/>
        </w:rPr>
        <w:t>本指引适用于南沙区行政区域内的新建、扩建和改建的配建公交站场，不适用于采用独立用地建设的站场。</w:t>
      </w:r>
      <w:r>
        <w:t xml:space="preserve"> </w:t>
      </w:r>
    </w:p>
    <w:p>
      <w:pPr>
        <w:pStyle w:val="3"/>
      </w:pPr>
      <w:bookmarkStart w:id="10" w:name="_Toc454207061"/>
      <w:bookmarkStart w:id="11" w:name="_Toc470624689"/>
      <w:r>
        <w:rPr>
          <w:rFonts w:hint="eastAsia"/>
        </w:rPr>
        <w:t>编制原则</w:t>
      </w:r>
      <w:bookmarkEnd w:id="10"/>
      <w:bookmarkEnd w:id="11"/>
      <w:r>
        <w:t xml:space="preserve"> </w:t>
      </w:r>
    </w:p>
    <w:p>
      <w:pPr>
        <w:pStyle w:val="4"/>
      </w:pPr>
      <w:r>
        <w:rPr>
          <w:rFonts w:hint="eastAsia"/>
        </w:rPr>
        <w:t>可实施原则：集约利用土地和建筑空间，站场规模与用地开发相适应，便于规划落实。</w:t>
      </w:r>
    </w:p>
    <w:p>
      <w:pPr>
        <w:pStyle w:val="4"/>
      </w:pPr>
      <w:r>
        <w:rPr>
          <w:rFonts w:hint="eastAsia"/>
        </w:rPr>
        <w:t>可操作原则：设定的配建公交站场指标和实施机制能保证公交站场既定功能的实现。</w:t>
      </w:r>
    </w:p>
    <w:p>
      <w:pPr>
        <w:pStyle w:val="4"/>
      </w:pPr>
      <w:r>
        <w:rPr>
          <w:rFonts w:hint="eastAsia"/>
        </w:rPr>
        <w:t>差别化原则：针对不同分区、不同用地的公交站场提出差别化的公交站场配建标准。</w:t>
      </w:r>
    </w:p>
    <w:p>
      <w:pPr>
        <w:pStyle w:val="4"/>
      </w:pPr>
      <w:r>
        <w:rPr>
          <w:rFonts w:hint="eastAsia"/>
        </w:rPr>
        <w:t>对接性原则：与国家、广东省和广州市等既有规范标准进行良好衔接。</w:t>
      </w:r>
    </w:p>
    <w:p>
      <w:pPr>
        <w:pStyle w:val="3"/>
      </w:pPr>
      <w:bookmarkStart w:id="12" w:name="_Toc470624690"/>
      <w:bookmarkStart w:id="13" w:name="_Toc454207062"/>
      <w:r>
        <w:rPr>
          <w:rFonts w:hint="eastAsia"/>
        </w:rPr>
        <w:t>其他</w:t>
      </w:r>
      <w:bookmarkEnd w:id="12"/>
      <w:bookmarkEnd w:id="13"/>
      <w:r>
        <w:t xml:space="preserve"> </w:t>
      </w:r>
    </w:p>
    <w:p>
      <w:pPr>
        <w:pStyle w:val="4"/>
      </w:pPr>
      <w:r>
        <w:rPr>
          <w:rFonts w:hint="eastAsia"/>
        </w:rPr>
        <w:t>本指引</w:t>
      </w:r>
      <w:r>
        <w:rPr>
          <w:rStyle w:val="28"/>
          <w:rFonts w:hint="eastAsia"/>
          <w:bCs w:val="0"/>
          <w:sz w:val="24"/>
        </w:rPr>
        <w:t>未</w:t>
      </w:r>
      <w:r>
        <w:rPr>
          <w:rFonts w:hint="eastAsia"/>
        </w:rPr>
        <w:t>规定的相关内容应按现行的相关规范执行。本指引所引用的规范若有修订，应采用修订后的规范。</w:t>
      </w:r>
      <w:r>
        <w:t xml:space="preserve"> </w:t>
      </w:r>
    </w:p>
    <w:p>
      <w:pPr>
        <w:sectPr>
          <w:headerReference r:id="rId14" w:type="first"/>
          <w:footerReference r:id="rId15" w:type="first"/>
          <w:headerReference r:id="rId12" w:type="default"/>
          <w:headerReference r:id="rId13" w:type="even"/>
          <w:pgSz w:w="11906" w:h="16838"/>
          <w:pgMar w:top="1440" w:right="1800" w:bottom="1440" w:left="1800" w:header="851" w:footer="992" w:gutter="0"/>
          <w:pgNumType w:start="1"/>
          <w:cols w:space="425" w:num="1"/>
          <w:titlePg/>
          <w:docGrid w:type="lines" w:linePitch="326" w:charSpace="0"/>
        </w:sectPr>
      </w:pPr>
    </w:p>
    <w:p>
      <w:pPr>
        <w:pStyle w:val="2"/>
      </w:pPr>
      <w:bookmarkStart w:id="14" w:name="_Toc470624691"/>
      <w:bookmarkStart w:id="15" w:name="_Toc454207063"/>
      <w:r>
        <w:rPr>
          <w:rFonts w:hint="eastAsia"/>
        </w:rPr>
        <w:t>站场功能定位</w:t>
      </w:r>
      <w:bookmarkEnd w:id="14"/>
      <w:bookmarkEnd w:id="15"/>
    </w:p>
    <w:p>
      <w:pPr>
        <w:pStyle w:val="3"/>
      </w:pPr>
      <w:bookmarkStart w:id="16" w:name="_Toc470624692"/>
      <w:r>
        <w:rPr>
          <w:rFonts w:hint="eastAsia"/>
        </w:rPr>
        <w:t>公交站场体系</w:t>
      </w:r>
      <w:bookmarkEnd w:id="16"/>
    </w:p>
    <w:p>
      <w:pPr>
        <w:pStyle w:val="4"/>
      </w:pPr>
      <w:r>
        <w:rPr>
          <w:rFonts w:hint="eastAsia"/>
        </w:rPr>
        <w:t>未来南沙区将形成以公交枢纽站、首末站为支点，以综合车场为保障的公交站场体系，其中，公交枢纽站为公交客流转换节点，公交首末站未公交线路的始末站，综合车场未公交车停车、维修和保养综合服务基地。</w:t>
      </w:r>
    </w:p>
    <w:p>
      <w:pPr>
        <w:pStyle w:val="3"/>
      </w:pPr>
      <w:bookmarkStart w:id="17" w:name="_Toc470624693"/>
      <w:r>
        <w:rPr>
          <w:rFonts w:hint="eastAsia"/>
        </w:rPr>
        <w:t>公交站场建设模式</w:t>
      </w:r>
      <w:bookmarkEnd w:id="17"/>
    </w:p>
    <w:p>
      <w:pPr>
        <w:pStyle w:val="4"/>
      </w:pPr>
      <w:r>
        <w:rPr>
          <w:rFonts w:hint="eastAsia"/>
        </w:rPr>
        <w:t>南沙区将形成以配建公交站场为主，独立用地站场为辅的建设模式。其中，无独立用地条件的区域，新建公交枢纽站、首末站原则上采用配建模式；有独立用地条件的区域，新建公交枢纽站、首末站可以独立用地建设；新建综合车场原则上要独立用地。</w:t>
      </w:r>
    </w:p>
    <w:p>
      <w:pPr>
        <w:pStyle w:val="4"/>
      </w:pPr>
      <w:r>
        <w:rPr>
          <w:rFonts w:hint="eastAsia"/>
        </w:rPr>
        <w:t>配建公交站场，是根据局部区域公交客流需求，依托大型城建项目配套建设的公交站场，具备公交线路掉头、发车、上下客、乘等候以及首班夜间停放等功能。根据运行线路的数目，配建公交站场又分为两种类型：配建首末站和配建枢纽站。其中，配建首末站是一条或两条公交线路的起终点，主要服务于车辆到发；配建枢纽站是三条及三条以上公交线路的起终点，能为乘客提供集中的换乘服务，具备一定的管理调度功能。</w:t>
      </w:r>
    </w:p>
    <w:p>
      <w:pPr>
        <w:pStyle w:val="4"/>
      </w:pPr>
      <w:r>
        <w:rPr>
          <w:rFonts w:hint="eastAsia"/>
        </w:rPr>
        <w:t>独立用地站场，是利用公交设施用地独立建设的公交站场，一般为综合车场，功能包括洗车、加油、充电、小修、夜间车辆停放等。未来的综合车场鼓励采用多层立体开发的建设形式，以集约利用土地。</w:t>
      </w:r>
    </w:p>
    <w:p>
      <w:pPr>
        <w:ind w:left="31680" w:hanging="840" w:hangingChars="350"/>
        <w:sectPr>
          <w:pgSz w:w="11906" w:h="16838"/>
          <w:pgMar w:top="1440" w:right="1800" w:bottom="1440" w:left="1800" w:header="851" w:footer="992" w:gutter="0"/>
          <w:cols w:space="425" w:num="1"/>
          <w:docGrid w:type="lines" w:linePitch="312" w:charSpace="0"/>
        </w:sectPr>
      </w:pPr>
    </w:p>
    <w:p>
      <w:pPr>
        <w:pStyle w:val="2"/>
      </w:pPr>
      <w:bookmarkStart w:id="18" w:name="_Toc454207064"/>
      <w:bookmarkStart w:id="19" w:name="_Toc470624694"/>
      <w:r>
        <w:rPr>
          <w:rFonts w:hint="eastAsia"/>
        </w:rPr>
        <w:t>规划指引</w:t>
      </w:r>
      <w:bookmarkEnd w:id="18"/>
      <w:bookmarkEnd w:id="19"/>
    </w:p>
    <w:p>
      <w:pPr>
        <w:pStyle w:val="3"/>
      </w:pPr>
      <w:bookmarkStart w:id="20" w:name="_Toc454207065"/>
      <w:bookmarkStart w:id="21" w:name="_Toc470624695"/>
      <w:r>
        <w:rPr>
          <w:rFonts w:hint="eastAsia"/>
        </w:rPr>
        <w:t>站场配建原则</w:t>
      </w:r>
      <w:bookmarkEnd w:id="20"/>
      <w:bookmarkEnd w:id="21"/>
    </w:p>
    <w:p>
      <w:pPr>
        <w:pStyle w:val="4"/>
      </w:pPr>
      <w:bookmarkStart w:id="22" w:name="_Ref454027623"/>
      <w:r>
        <w:rPr>
          <w:rFonts w:hint="eastAsia"/>
        </w:rPr>
        <w:t>需求导向原则。公交站场配建应与公交出行需求相匹配，在大型居住区（含安置区）、商务办公区、综合商业区以及人流量较大的公共建筑等项目地块应配建公交站场。</w:t>
      </w:r>
      <w:bookmarkEnd w:id="22"/>
    </w:p>
    <w:p>
      <w:pPr>
        <w:pStyle w:val="4"/>
      </w:pPr>
      <w:bookmarkStart w:id="23" w:name="_Ref454027624"/>
      <w:r>
        <w:rPr>
          <w:rFonts w:hint="eastAsia"/>
        </w:rPr>
        <w:t>便利性原则。配建公交站场应方便乘客和公交车辆方便到达和离开，宜邻近现状或在建及计划近期建设的市政道路。</w:t>
      </w:r>
      <w:bookmarkEnd w:id="23"/>
      <w:bookmarkStart w:id="24" w:name="_Ref453949449"/>
      <w:r>
        <w:rPr>
          <w:rFonts w:hint="eastAsia"/>
        </w:rPr>
        <w:t>为方便乘客，配建公交站场宜设置在建筑的地面一层，在用地较困难的地方，可设置在地下一层，但须满足相关设计规范。</w:t>
      </w:r>
      <w:bookmarkEnd w:id="24"/>
    </w:p>
    <w:p>
      <w:pPr>
        <w:pStyle w:val="4"/>
      </w:pPr>
      <w:bookmarkStart w:id="25" w:name="_Ref454109169"/>
      <w:r>
        <w:rPr>
          <w:rFonts w:hint="eastAsia"/>
        </w:rPr>
        <w:t>安全性原则。大型居住区的配建公交站场应避免对小区生活和安全环境的不利影响，其布局宜靠近小区外围道路，满足小区内外乘客与站场的快速联系。</w:t>
      </w:r>
      <w:bookmarkEnd w:id="25"/>
    </w:p>
    <w:p>
      <w:pPr>
        <w:pStyle w:val="4"/>
      </w:pPr>
      <w:r>
        <w:rPr>
          <w:rFonts w:hint="eastAsia"/>
        </w:rPr>
        <w:t>协调性原则。配建公交站场应与主体建筑整体设计相协调，降低对主体建筑的负面影响，促进站场与建筑的有效融合。</w:t>
      </w:r>
    </w:p>
    <w:p>
      <w:pPr>
        <w:pStyle w:val="3"/>
      </w:pPr>
      <w:bookmarkStart w:id="26" w:name="_Ref453949489"/>
      <w:bookmarkStart w:id="27" w:name="_Toc454207066"/>
      <w:bookmarkStart w:id="28" w:name="_Toc470624696"/>
      <w:r>
        <w:rPr>
          <w:rFonts w:hint="eastAsia"/>
        </w:rPr>
        <w:t>站场配建标准</w:t>
      </w:r>
      <w:bookmarkEnd w:id="26"/>
      <w:bookmarkEnd w:id="27"/>
      <w:bookmarkEnd w:id="28"/>
    </w:p>
    <w:p>
      <w:pPr>
        <w:pStyle w:val="4"/>
      </w:pPr>
      <w:bookmarkStart w:id="29" w:name="_Ref454109407"/>
      <w:r>
        <w:rPr>
          <w:rFonts w:hint="eastAsia"/>
        </w:rPr>
        <w:t>应综合考虑站场需求和用地条件，按照建筑规模、用地规模“双控”标准在城建项目中配建公交站场。根据城建项目的建筑规模确定需配建的站场需求，根据城建项目的用地规模确定可配建的站场规模上限，具体配置标准分别参照表</w:t>
      </w:r>
      <w:r>
        <w:t>3.2.3.1</w:t>
      </w:r>
      <w:r>
        <w:rPr>
          <w:rFonts w:hint="eastAsia"/>
        </w:rPr>
        <w:t>和表</w:t>
      </w:r>
      <w:r>
        <w:t>3.2.4.3</w:t>
      </w:r>
      <w:r>
        <w:rPr>
          <w:rFonts w:hint="eastAsia"/>
        </w:rPr>
        <w:t>。</w:t>
      </w:r>
      <w:bookmarkEnd w:id="29"/>
    </w:p>
    <w:p>
      <w:pPr>
        <w:pStyle w:val="4"/>
      </w:pPr>
      <w:bookmarkStart w:id="30" w:name="_Ref454112010"/>
      <w:r>
        <w:rPr>
          <w:rFonts w:hint="eastAsia"/>
        </w:rPr>
        <w:t>配建公交站场除服务主体建筑公交出行需求外，还应服务城建项目周边</w:t>
      </w:r>
      <w:r>
        <w:t>500m</w:t>
      </w:r>
      <w:r>
        <w:rPr>
          <w:rFonts w:hint="eastAsia"/>
        </w:rPr>
        <w:t>范围的公交出行需求，建议开展专题研究（或结合城建项目的交通影响评价分析）确定需加配的站场规模。</w:t>
      </w:r>
      <w:bookmarkEnd w:id="30"/>
    </w:p>
    <w:p>
      <w:pPr>
        <w:pStyle w:val="4"/>
      </w:pPr>
      <w:bookmarkStart w:id="31" w:name="_Ref454114082"/>
      <w:r>
        <w:rPr>
          <w:rFonts w:hint="eastAsia"/>
        </w:rPr>
        <w:t>各类型建筑需配建公交站场的规模启动阈值</w:t>
      </w:r>
      <w:bookmarkEnd w:id="31"/>
    </w:p>
    <w:p>
      <w:pPr>
        <w:pStyle w:val="5"/>
      </w:pPr>
      <w:bookmarkStart w:id="32" w:name="_Ref453875730"/>
      <w:r>
        <w:rPr>
          <w:rFonts w:hint="eastAsia"/>
        </w:rPr>
        <w:t>不同类型城建项目需配置公交站场的建筑规模阈值应满足表</w:t>
      </w:r>
      <w:r>
        <w:t>3.2.3.1</w:t>
      </w:r>
      <w:r>
        <w:rPr>
          <w:rFonts w:hint="eastAsia"/>
        </w:rPr>
        <w:t>的规定。</w:t>
      </w:r>
      <w:bookmarkEnd w:id="32"/>
    </w:p>
    <w:p>
      <w:pPr>
        <w:ind w:left="991" w:leftChars="413"/>
        <w:jc w:val="center"/>
        <w:rPr>
          <w:sz w:val="21"/>
          <w:szCs w:val="21"/>
        </w:rPr>
      </w:pPr>
      <w:r>
        <w:rPr>
          <w:rFonts w:hint="eastAsia"/>
          <w:sz w:val="21"/>
          <w:szCs w:val="21"/>
        </w:rPr>
        <w:t>表</w:t>
      </w:r>
      <w:r>
        <w:fldChar w:fldCharType="begin"/>
      </w:r>
      <w:r>
        <w:instrText xml:space="preserve"> REF _Ref453875730 \r \h  \* MERGEFORMAT </w:instrText>
      </w:r>
      <w:r>
        <w:fldChar w:fldCharType="separate"/>
      </w:r>
      <w:r>
        <w:rPr>
          <w:sz w:val="21"/>
          <w:szCs w:val="21"/>
        </w:rPr>
        <w:t>3.2.3.1</w:t>
      </w:r>
      <w:r>
        <w:rPr>
          <w:sz w:val="21"/>
          <w:szCs w:val="21"/>
        </w:rPr>
        <w:fldChar w:fldCharType="end"/>
      </w:r>
      <w:r>
        <w:rPr>
          <w:sz w:val="21"/>
          <w:szCs w:val="21"/>
        </w:rPr>
        <w:t xml:space="preserve"> </w:t>
      </w:r>
      <w:r>
        <w:rPr>
          <w:rFonts w:hint="eastAsia"/>
          <w:sz w:val="21"/>
          <w:szCs w:val="21"/>
        </w:rPr>
        <w:t>各类型城建项目需配建公交站场的建筑规模阈值（单位：万平方米）</w:t>
      </w:r>
    </w:p>
    <w:tbl>
      <w:tblPr>
        <w:tblStyle w:val="21"/>
        <w:tblW w:w="7513"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94"/>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vAlign w:val="center"/>
          </w:tcPr>
          <w:p>
            <w:pPr>
              <w:jc w:val="center"/>
              <w:rPr>
                <w:sz w:val="21"/>
                <w:szCs w:val="21"/>
              </w:rPr>
            </w:pPr>
            <w:r>
              <w:rPr>
                <w:rFonts w:hint="eastAsia"/>
                <w:sz w:val="21"/>
                <w:szCs w:val="21"/>
              </w:rPr>
              <w:t>建筑类型</w:t>
            </w:r>
          </w:p>
        </w:tc>
        <w:tc>
          <w:tcPr>
            <w:tcW w:w="6379" w:type="dxa"/>
            <w:gridSpan w:val="4"/>
          </w:tcPr>
          <w:p>
            <w:pPr>
              <w:jc w:val="center"/>
              <w:rPr>
                <w:sz w:val="21"/>
                <w:szCs w:val="21"/>
              </w:rPr>
            </w:pPr>
            <w:r>
              <w:rPr>
                <w:rFonts w:hint="eastAsia"/>
                <w:bCs/>
                <w:sz w:val="21"/>
                <w:szCs w:val="21"/>
              </w:rPr>
              <w:t>配建阈值（万平方米）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rPr>
                <w:sz w:val="21"/>
                <w:szCs w:val="21"/>
              </w:rPr>
            </w:pPr>
          </w:p>
        </w:tc>
        <w:tc>
          <w:tcPr>
            <w:tcW w:w="1594" w:type="dxa"/>
            <w:vAlign w:val="center"/>
          </w:tcPr>
          <w:p>
            <w:pPr>
              <w:pStyle w:val="19"/>
              <w:spacing w:before="0" w:beforeAutospacing="0" w:after="0" w:afterAutospacing="0"/>
              <w:jc w:val="center"/>
              <w:textAlignment w:val="center"/>
              <w:rPr>
                <w:rFonts w:ascii="Times New Roman" w:hAnsi="Times New Roman" w:cs="Times New Roman"/>
                <w:color w:val="000000"/>
                <w:kern w:val="24"/>
                <w:sz w:val="21"/>
                <w:szCs w:val="21"/>
              </w:rPr>
            </w:pPr>
            <w:r>
              <w:rPr>
                <w:rFonts w:hint="eastAsia" w:ascii="Times New Roman" w:hAnsi="Times New Roman" w:cs="Times New Roman"/>
                <w:color w:val="000000"/>
                <w:kern w:val="24"/>
                <w:sz w:val="21"/>
                <w:szCs w:val="21"/>
              </w:rPr>
              <w:t>一类区</w:t>
            </w:r>
          </w:p>
          <w:p>
            <w:pPr>
              <w:pStyle w:val="19"/>
              <w:spacing w:before="0" w:beforeAutospacing="0" w:after="0" w:afterAutospacing="0"/>
              <w:jc w:val="center"/>
              <w:textAlignment w:val="center"/>
              <w:rPr>
                <w:rFonts w:ascii="Times New Roman" w:hAnsi="Times New Roman" w:cs="Times New Roman"/>
                <w:color w:val="000000"/>
                <w:kern w:val="24"/>
                <w:sz w:val="21"/>
                <w:szCs w:val="21"/>
              </w:rPr>
            </w:pPr>
            <w:r>
              <w:rPr>
                <w:rFonts w:hint="eastAsia" w:ascii="Times New Roman" w:hAnsi="Times New Roman" w:cs="Times New Roman"/>
                <w:color w:val="000000"/>
                <w:kern w:val="24"/>
                <w:sz w:val="21"/>
                <w:szCs w:val="21"/>
              </w:rPr>
              <w:t>（轨道区）</w:t>
            </w:r>
          </w:p>
        </w:tc>
        <w:tc>
          <w:tcPr>
            <w:tcW w:w="1595" w:type="dxa"/>
            <w:vAlign w:val="center"/>
          </w:tcPr>
          <w:p>
            <w:pPr>
              <w:pStyle w:val="19"/>
              <w:spacing w:before="0" w:beforeAutospacing="0" w:after="0" w:afterAutospacing="0"/>
              <w:jc w:val="center"/>
              <w:textAlignment w:val="center"/>
              <w:rPr>
                <w:rFonts w:ascii="Times New Roman" w:hAnsi="Times New Roman" w:cs="Times New Roman"/>
                <w:color w:val="000000"/>
                <w:kern w:val="24"/>
                <w:sz w:val="21"/>
                <w:szCs w:val="21"/>
              </w:rPr>
            </w:pPr>
            <w:r>
              <w:rPr>
                <w:rFonts w:hint="eastAsia" w:ascii="Times New Roman" w:hAnsi="Times New Roman" w:cs="Times New Roman"/>
                <w:color w:val="000000"/>
                <w:kern w:val="24"/>
                <w:sz w:val="21"/>
                <w:szCs w:val="21"/>
              </w:rPr>
              <w:t>一类区</w:t>
            </w:r>
          </w:p>
          <w:p>
            <w:pPr>
              <w:pStyle w:val="19"/>
              <w:spacing w:before="0" w:beforeAutospacing="0" w:after="0" w:afterAutospacing="0"/>
              <w:jc w:val="center"/>
              <w:textAlignment w:val="center"/>
              <w:rPr>
                <w:rFonts w:ascii="Times New Roman" w:hAnsi="Times New Roman" w:cs="Times New Roman"/>
                <w:color w:val="000000"/>
                <w:kern w:val="24"/>
                <w:sz w:val="21"/>
                <w:szCs w:val="21"/>
              </w:rPr>
            </w:pPr>
            <w:r>
              <w:rPr>
                <w:rFonts w:hint="eastAsia" w:ascii="Times New Roman" w:hAnsi="Times New Roman" w:cs="Times New Roman"/>
                <w:color w:val="000000"/>
                <w:kern w:val="24"/>
                <w:sz w:val="21"/>
                <w:szCs w:val="21"/>
              </w:rPr>
              <w:t>（非轨道区）</w:t>
            </w:r>
          </w:p>
        </w:tc>
        <w:tc>
          <w:tcPr>
            <w:tcW w:w="1595" w:type="dxa"/>
            <w:vAlign w:val="center"/>
          </w:tcPr>
          <w:p>
            <w:pPr>
              <w:pStyle w:val="19"/>
              <w:spacing w:before="0" w:beforeAutospacing="0" w:after="0" w:afterAutospacing="0"/>
              <w:jc w:val="center"/>
              <w:textAlignment w:val="center"/>
              <w:rPr>
                <w:rFonts w:ascii="Times New Roman" w:hAnsi="Times New Roman" w:cs="Times New Roman"/>
                <w:color w:val="000000"/>
                <w:kern w:val="24"/>
                <w:sz w:val="21"/>
                <w:szCs w:val="21"/>
              </w:rPr>
            </w:pPr>
            <w:r>
              <w:rPr>
                <w:rFonts w:hint="eastAsia" w:ascii="Times New Roman" w:hAnsi="Times New Roman" w:cs="Times New Roman"/>
                <w:color w:val="000000"/>
                <w:kern w:val="24"/>
                <w:sz w:val="21"/>
                <w:szCs w:val="21"/>
              </w:rPr>
              <w:t>二类区</w:t>
            </w:r>
          </w:p>
          <w:p>
            <w:pPr>
              <w:pStyle w:val="19"/>
              <w:spacing w:before="0" w:beforeAutospacing="0" w:after="0" w:afterAutospacing="0"/>
              <w:jc w:val="center"/>
              <w:textAlignment w:val="center"/>
              <w:rPr>
                <w:rFonts w:ascii="Times New Roman" w:hAnsi="Times New Roman" w:cs="Times New Roman"/>
                <w:color w:val="000000"/>
                <w:kern w:val="24"/>
                <w:sz w:val="21"/>
                <w:szCs w:val="21"/>
              </w:rPr>
            </w:pPr>
            <w:r>
              <w:rPr>
                <w:rFonts w:hint="eastAsia" w:ascii="Times New Roman" w:hAnsi="Times New Roman" w:cs="Times New Roman"/>
                <w:color w:val="000000"/>
                <w:kern w:val="24"/>
                <w:sz w:val="21"/>
                <w:szCs w:val="21"/>
              </w:rPr>
              <w:t>（轨道区）</w:t>
            </w:r>
          </w:p>
        </w:tc>
        <w:tc>
          <w:tcPr>
            <w:tcW w:w="1595" w:type="dxa"/>
            <w:vAlign w:val="center"/>
          </w:tcPr>
          <w:p>
            <w:pPr>
              <w:pStyle w:val="19"/>
              <w:spacing w:before="0" w:beforeAutospacing="0" w:after="0" w:afterAutospacing="0"/>
              <w:jc w:val="center"/>
              <w:textAlignment w:val="center"/>
              <w:rPr>
                <w:rFonts w:ascii="Times New Roman" w:hAnsi="Times New Roman" w:cs="Times New Roman"/>
                <w:color w:val="000000"/>
                <w:kern w:val="24"/>
                <w:sz w:val="21"/>
                <w:szCs w:val="21"/>
              </w:rPr>
            </w:pPr>
            <w:r>
              <w:rPr>
                <w:rFonts w:hint="eastAsia" w:ascii="Times New Roman" w:hAnsi="Times New Roman" w:cs="Times New Roman"/>
                <w:color w:val="000000"/>
                <w:kern w:val="24"/>
                <w:sz w:val="21"/>
                <w:szCs w:val="21"/>
              </w:rPr>
              <w:t>二类区</w:t>
            </w:r>
          </w:p>
          <w:p>
            <w:pPr>
              <w:pStyle w:val="19"/>
              <w:spacing w:before="0" w:beforeAutospacing="0" w:after="0" w:afterAutospacing="0"/>
              <w:jc w:val="center"/>
              <w:textAlignment w:val="center"/>
              <w:rPr>
                <w:rFonts w:ascii="Times New Roman" w:hAnsi="Times New Roman" w:cs="Times New Roman"/>
                <w:color w:val="000000"/>
                <w:kern w:val="24"/>
                <w:sz w:val="21"/>
                <w:szCs w:val="21"/>
              </w:rPr>
            </w:pPr>
            <w:r>
              <w:rPr>
                <w:rFonts w:hint="eastAsia" w:ascii="Times New Roman" w:hAnsi="Times New Roman" w:cs="Times New Roman"/>
                <w:color w:val="000000"/>
                <w:kern w:val="24"/>
                <w:sz w:val="21"/>
                <w:szCs w:val="21"/>
              </w:rPr>
              <w:t>（非轨道区）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19"/>
              <w:spacing w:before="0" w:beforeAutospacing="0" w:after="0" w:afterAutospacing="0"/>
              <w:jc w:val="center"/>
              <w:rPr>
                <w:rFonts w:ascii="Times New Roman" w:hAnsi="Times New Roman" w:cs="Arial"/>
                <w:sz w:val="21"/>
                <w:szCs w:val="21"/>
              </w:rPr>
            </w:pPr>
            <w:r>
              <w:rPr>
                <w:rFonts w:hint="eastAsia" w:ascii="Times New Roman" w:hAnsi="Times New Roman" w:cs="Arial"/>
                <w:color w:val="000000"/>
                <w:kern w:val="24"/>
                <w:sz w:val="21"/>
                <w:szCs w:val="21"/>
              </w:rPr>
              <w:t>居住</w:t>
            </w:r>
          </w:p>
        </w:tc>
        <w:tc>
          <w:tcPr>
            <w:tcW w:w="1594"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21</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15</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50</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19"/>
              <w:spacing w:before="0" w:beforeAutospacing="0" w:after="0" w:afterAutospacing="0"/>
              <w:jc w:val="center"/>
              <w:rPr>
                <w:rFonts w:ascii="Times New Roman" w:hAnsi="Times New Roman" w:cs="Arial"/>
                <w:sz w:val="21"/>
                <w:szCs w:val="21"/>
              </w:rPr>
            </w:pPr>
            <w:r>
              <w:rPr>
                <w:rFonts w:hint="eastAsia" w:ascii="Times New Roman" w:hAnsi="Times New Roman" w:cs="Arial"/>
                <w:color w:val="000000"/>
                <w:kern w:val="24"/>
                <w:sz w:val="21"/>
                <w:szCs w:val="21"/>
              </w:rPr>
              <w:t>商务办公</w:t>
            </w:r>
          </w:p>
        </w:tc>
        <w:tc>
          <w:tcPr>
            <w:tcW w:w="1594"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20</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14</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48</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19"/>
              <w:spacing w:before="0" w:beforeAutospacing="0" w:after="0" w:afterAutospacing="0"/>
              <w:jc w:val="center"/>
              <w:rPr>
                <w:rFonts w:ascii="Times New Roman" w:hAnsi="Times New Roman" w:cs="Arial"/>
                <w:sz w:val="21"/>
                <w:szCs w:val="21"/>
              </w:rPr>
            </w:pPr>
            <w:r>
              <w:rPr>
                <w:rFonts w:hint="eastAsia" w:ascii="Times New Roman" w:hAnsi="Times New Roman" w:cs="Arial"/>
                <w:color w:val="000000"/>
                <w:kern w:val="24"/>
                <w:sz w:val="21"/>
                <w:szCs w:val="21"/>
              </w:rPr>
              <w:t>商业服务</w:t>
            </w:r>
          </w:p>
        </w:tc>
        <w:tc>
          <w:tcPr>
            <w:tcW w:w="1594"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3</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2</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7</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19"/>
              <w:spacing w:before="0" w:beforeAutospacing="0" w:after="0" w:afterAutospacing="0"/>
              <w:jc w:val="center"/>
              <w:rPr>
                <w:rFonts w:ascii="Times New Roman" w:hAnsi="Times New Roman" w:cs="Arial"/>
                <w:sz w:val="21"/>
                <w:szCs w:val="21"/>
              </w:rPr>
            </w:pPr>
            <w:r>
              <w:rPr>
                <w:rFonts w:hint="eastAsia" w:ascii="Times New Roman" w:hAnsi="Times New Roman" w:cs="Arial"/>
                <w:color w:val="000000"/>
                <w:kern w:val="24"/>
                <w:sz w:val="21"/>
                <w:szCs w:val="21"/>
              </w:rPr>
              <w:t>教育科研</w:t>
            </w:r>
          </w:p>
        </w:tc>
        <w:tc>
          <w:tcPr>
            <w:tcW w:w="1594"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7</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5</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16</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19"/>
              <w:spacing w:before="0" w:beforeAutospacing="0" w:after="0" w:afterAutospacing="0"/>
              <w:jc w:val="center"/>
              <w:rPr>
                <w:rFonts w:ascii="Times New Roman" w:hAnsi="Times New Roman" w:cs="Arial"/>
                <w:sz w:val="21"/>
                <w:szCs w:val="21"/>
              </w:rPr>
            </w:pPr>
            <w:r>
              <w:rPr>
                <w:rFonts w:hint="eastAsia" w:ascii="Times New Roman" w:hAnsi="Times New Roman" w:cs="Arial"/>
                <w:color w:val="000000"/>
                <w:kern w:val="24"/>
                <w:sz w:val="21"/>
                <w:szCs w:val="21"/>
              </w:rPr>
              <w:t>医疗卫生</w:t>
            </w:r>
          </w:p>
        </w:tc>
        <w:tc>
          <w:tcPr>
            <w:tcW w:w="1594"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4</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3</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10</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19"/>
              <w:spacing w:before="0" w:beforeAutospacing="0" w:after="0" w:afterAutospacing="0"/>
              <w:jc w:val="center"/>
              <w:rPr>
                <w:rFonts w:ascii="Times New Roman" w:hAnsi="Times New Roman" w:cs="Arial"/>
                <w:sz w:val="21"/>
                <w:szCs w:val="21"/>
              </w:rPr>
            </w:pPr>
            <w:r>
              <w:rPr>
                <w:rFonts w:hint="eastAsia" w:ascii="Times New Roman" w:hAnsi="Times New Roman" w:cs="Arial"/>
                <w:color w:val="000000"/>
                <w:kern w:val="24"/>
                <w:sz w:val="21"/>
                <w:szCs w:val="21"/>
              </w:rPr>
              <w:t>文体娱乐</w:t>
            </w:r>
          </w:p>
        </w:tc>
        <w:tc>
          <w:tcPr>
            <w:tcW w:w="1594"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11</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7</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26</w:t>
            </w:r>
          </w:p>
        </w:tc>
        <w:tc>
          <w:tcPr>
            <w:tcW w:w="1595" w:type="dxa"/>
            <w:vAlign w:val="center"/>
          </w:tcPr>
          <w:p>
            <w:pPr>
              <w:pStyle w:val="19"/>
              <w:spacing w:before="0" w:beforeAutospacing="0" w:after="0" w:afterAutospacing="0"/>
              <w:jc w:val="center"/>
              <w:rPr>
                <w:rFonts w:ascii="Times New Roman" w:hAnsi="Times New Roman" w:cs="Arial"/>
                <w:color w:val="000000"/>
                <w:kern w:val="24"/>
                <w:sz w:val="21"/>
                <w:szCs w:val="21"/>
              </w:rPr>
            </w:pPr>
            <w:r>
              <w:rPr>
                <w:rFonts w:ascii="Times New Roman" w:hAnsi="Times New Roman" w:cs="Arial"/>
                <w:color w:val="000000"/>
                <w:kern w:val="24"/>
                <w:sz w:val="21"/>
                <w:szCs w:val="21"/>
              </w:rPr>
              <w:t xml:space="preserve">13 </w:t>
            </w:r>
          </w:p>
        </w:tc>
      </w:tr>
    </w:tbl>
    <w:p>
      <w:pPr>
        <w:snapToGrid w:val="0"/>
        <w:ind w:left="851"/>
        <w:rPr>
          <w:sz w:val="21"/>
        </w:rPr>
      </w:pPr>
      <w:r>
        <w:rPr>
          <w:rFonts w:hint="eastAsia"/>
          <w:sz w:val="21"/>
        </w:rPr>
        <w:t>注：（</w:t>
      </w:r>
      <w:r>
        <w:rPr>
          <w:sz w:val="21"/>
        </w:rPr>
        <w:t>1</w:t>
      </w:r>
      <w:r>
        <w:rPr>
          <w:rFonts w:hint="eastAsia"/>
          <w:sz w:val="21"/>
        </w:rPr>
        <w:t>）上述建筑规模阈值是指达到设置一条公交线路的项目开发量（即建筑面积），匡算出来的线路数按四舍五入的原则取整，对应的站场规模参照表</w:t>
      </w:r>
      <w:r>
        <w:rPr>
          <w:sz w:val="21"/>
        </w:rPr>
        <w:t>3.3.2</w:t>
      </w:r>
      <w:r>
        <w:rPr>
          <w:rFonts w:hint="eastAsia"/>
          <w:sz w:val="21"/>
        </w:rPr>
        <w:t>。（</w:t>
      </w:r>
      <w:r>
        <w:rPr>
          <w:sz w:val="21"/>
        </w:rPr>
        <w:t>2</w:t>
      </w:r>
      <w:r>
        <w:rPr>
          <w:rFonts w:hint="eastAsia"/>
          <w:sz w:val="21"/>
        </w:rPr>
        <w:t>）居住类项目中的保障性住房、安居房等，可适当降低配建阈值，提高公交站场供应水平，配建阈值建议降低</w:t>
      </w:r>
      <w:r>
        <w:rPr>
          <w:sz w:val="21"/>
        </w:rPr>
        <w:t>50%</w:t>
      </w:r>
      <w:r>
        <w:rPr>
          <w:rFonts w:hint="eastAsia"/>
          <w:sz w:val="21"/>
        </w:rPr>
        <w:t>。（</w:t>
      </w:r>
      <w:r>
        <w:rPr>
          <w:sz w:val="21"/>
        </w:rPr>
        <w:t>3</w:t>
      </w:r>
      <w:r>
        <w:rPr>
          <w:rFonts w:hint="eastAsia"/>
          <w:sz w:val="21"/>
        </w:rPr>
        <w:t>）一类区包括蕉门河、南沙街中心区和明珠湾区；二类区包括除一类区以外的都市区。（</w:t>
      </w:r>
      <w:r>
        <w:rPr>
          <w:sz w:val="21"/>
        </w:rPr>
        <w:t>4</w:t>
      </w:r>
      <w:r>
        <w:rPr>
          <w:rFonts w:hint="eastAsia"/>
          <w:sz w:val="21"/>
        </w:rPr>
        <w:t>）轨道区是指轨道影响区，即轨道站点</w:t>
      </w:r>
      <w:r>
        <w:rPr>
          <w:sz w:val="21"/>
        </w:rPr>
        <w:t>500</w:t>
      </w:r>
      <w:r>
        <w:rPr>
          <w:rFonts w:hint="eastAsia"/>
          <w:sz w:val="21"/>
        </w:rPr>
        <w:t>米范围内区域；非轨道区是指轨道影响区以外的区域。</w:t>
      </w:r>
    </w:p>
    <w:p>
      <w:pPr>
        <w:pStyle w:val="5"/>
      </w:pPr>
      <w:bookmarkStart w:id="33" w:name="_Ref454114256"/>
      <w:r>
        <w:rPr>
          <w:rFonts w:hint="eastAsia"/>
        </w:rPr>
        <w:t>对于多功能的城建项目，应根据表</w:t>
      </w:r>
      <w:r>
        <w:fldChar w:fldCharType="begin"/>
      </w:r>
      <w:r>
        <w:instrText xml:space="preserve"> REF _Ref453875730 \r \h </w:instrText>
      </w:r>
      <w:r>
        <w:fldChar w:fldCharType="separate"/>
      </w:r>
      <w:r>
        <w:t>3.2.3.1</w:t>
      </w:r>
      <w:r>
        <w:fldChar w:fldCharType="end"/>
      </w:r>
      <w:r>
        <w:rPr>
          <w:rFonts w:hint="eastAsia"/>
        </w:rPr>
        <w:t>的建筑规模阈值匡算各类用地的线路需求，再合算该城建项目的公交站场线路总需求。</w:t>
      </w:r>
      <w:bookmarkEnd w:id="33"/>
    </w:p>
    <w:p>
      <w:pPr>
        <w:pStyle w:val="4"/>
      </w:pPr>
      <w:bookmarkStart w:id="34" w:name="_Ref454114492"/>
      <w:r>
        <w:rPr>
          <w:rFonts w:hint="eastAsia"/>
        </w:rPr>
        <w:t>可配建公交站场的城建项目用地规模控制标准</w:t>
      </w:r>
      <w:bookmarkEnd w:id="34"/>
    </w:p>
    <w:p>
      <w:pPr>
        <w:pStyle w:val="5"/>
      </w:pPr>
      <w:r>
        <w:rPr>
          <w:rFonts w:hint="eastAsia"/>
        </w:rPr>
        <w:t>对于居住类城建项目，考虑公交站场对客流的基本需求，配建公交站场占地规模不宜超过居住类项目用地面积的</w:t>
      </w:r>
      <w:r>
        <w:t>11%</w:t>
      </w:r>
      <w:r>
        <w:rPr>
          <w:rFonts w:hint="eastAsia"/>
        </w:rPr>
        <w:t>。适合配建公交站场的居住类项目用地面积宜大于</w:t>
      </w:r>
      <w:r>
        <w:t>11000</w:t>
      </w:r>
      <w:r>
        <w:rPr>
          <w:rFonts w:hint="eastAsia"/>
        </w:rPr>
        <w:t>平方米。</w:t>
      </w:r>
    </w:p>
    <w:p>
      <w:pPr>
        <w:pStyle w:val="5"/>
      </w:pPr>
      <w:r>
        <w:rPr>
          <w:rFonts w:hint="eastAsia"/>
        </w:rPr>
        <w:t>对于其他类型用地的城建项目，配建公交站场占地规模不宜超过项目用地面积的</w:t>
      </w:r>
      <w:r>
        <w:t>15%</w:t>
      </w:r>
      <w:r>
        <w:rPr>
          <w:rFonts w:hint="eastAsia"/>
        </w:rPr>
        <w:t>。适合配建公交站场的其他类项目用地面积宜大于</w:t>
      </w:r>
      <w:r>
        <w:t>8000</w:t>
      </w:r>
      <w:r>
        <w:rPr>
          <w:rFonts w:hint="eastAsia"/>
        </w:rPr>
        <w:t>平方米。</w:t>
      </w:r>
    </w:p>
    <w:p>
      <w:pPr>
        <w:snapToGrid w:val="0"/>
        <w:rPr>
          <w:sz w:val="21"/>
        </w:rPr>
      </w:pPr>
    </w:p>
    <w:p>
      <w:pPr>
        <w:pStyle w:val="5"/>
      </w:pPr>
      <w:bookmarkStart w:id="35" w:name="_Ref453877700"/>
      <w:r>
        <w:rPr>
          <w:rFonts w:hint="eastAsia"/>
        </w:rPr>
        <w:t>不同类型城建项目可配置公交站场的最小用地规模控制标准应满足表</w:t>
      </w:r>
      <w:r>
        <w:fldChar w:fldCharType="begin"/>
      </w:r>
      <w:r>
        <w:instrText xml:space="preserve"> REF _Ref453877700 \r \h </w:instrText>
      </w:r>
      <w:r>
        <w:fldChar w:fldCharType="separate"/>
      </w:r>
      <w:r>
        <w:t>3.2.4.3</w:t>
      </w:r>
      <w:r>
        <w:fldChar w:fldCharType="end"/>
      </w:r>
      <w:r>
        <w:rPr>
          <w:rFonts w:hint="eastAsia"/>
        </w:rPr>
        <w:t>的规定。用地条件困难，但公交出行需求缺口较大的情况下，可适当降低控制标准，以满足需求。</w:t>
      </w:r>
      <w:bookmarkEnd w:id="35"/>
    </w:p>
    <w:p>
      <w:pPr>
        <w:ind w:left="850" w:leftChars="354" w:firstLine="1"/>
        <w:jc w:val="center"/>
        <w:rPr>
          <w:sz w:val="21"/>
        </w:rPr>
      </w:pPr>
      <w:r>
        <w:rPr>
          <w:rFonts w:hint="eastAsia"/>
          <w:sz w:val="21"/>
        </w:rPr>
        <w:t>表</w:t>
      </w:r>
      <w:r>
        <w:rPr>
          <w:sz w:val="21"/>
        </w:rPr>
        <w:fldChar w:fldCharType="begin"/>
      </w:r>
      <w:r>
        <w:rPr>
          <w:sz w:val="21"/>
        </w:rPr>
        <w:instrText xml:space="preserve"> REF _Ref453877700 \r \h </w:instrText>
      </w:r>
      <w:r>
        <w:rPr>
          <w:sz w:val="21"/>
        </w:rPr>
        <w:fldChar w:fldCharType="separate"/>
      </w:r>
      <w:r>
        <w:rPr>
          <w:sz w:val="21"/>
        </w:rPr>
        <w:t>3.2.4.3</w:t>
      </w:r>
      <w:r>
        <w:rPr>
          <w:sz w:val="21"/>
        </w:rPr>
        <w:fldChar w:fldCharType="end"/>
      </w:r>
      <w:r>
        <w:rPr>
          <w:sz w:val="21"/>
        </w:rPr>
        <w:t xml:space="preserve"> </w:t>
      </w:r>
      <w:r>
        <w:rPr>
          <w:rFonts w:hint="eastAsia"/>
          <w:sz w:val="21"/>
        </w:rPr>
        <w:t>各城建项目可配置公交站场的用地规模控制标准</w:t>
      </w:r>
    </w:p>
    <w:tbl>
      <w:tblPr>
        <w:tblStyle w:val="21"/>
        <w:tblW w:w="7513"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82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cs="Arial"/>
                <w:kern w:val="24"/>
                <w:sz w:val="21"/>
                <w:szCs w:val="28"/>
              </w:rPr>
            </w:pPr>
            <w:r>
              <w:rPr>
                <w:rFonts w:hint="eastAsia" w:cs="Arial"/>
                <w:kern w:val="24"/>
                <w:sz w:val="21"/>
                <w:szCs w:val="28"/>
              </w:rPr>
              <w:t>用地类型</w:t>
            </w:r>
          </w:p>
        </w:tc>
        <w:tc>
          <w:tcPr>
            <w:tcW w:w="3827" w:type="dxa"/>
            <w:vAlign w:val="center"/>
          </w:tcPr>
          <w:p>
            <w:pPr>
              <w:pStyle w:val="19"/>
              <w:spacing w:before="0" w:beforeAutospacing="0" w:after="0" w:afterAutospacing="0"/>
              <w:jc w:val="center"/>
              <w:rPr>
                <w:rFonts w:ascii="Times New Roman" w:hAnsi="Times New Roman" w:cs="Arial"/>
                <w:kern w:val="24"/>
                <w:sz w:val="21"/>
                <w:szCs w:val="28"/>
              </w:rPr>
            </w:pPr>
            <w:r>
              <w:rPr>
                <w:rFonts w:hint="eastAsia" w:ascii="Times New Roman" w:hAnsi="Times New Roman" w:cs="Arial"/>
                <w:kern w:val="24"/>
                <w:sz w:val="21"/>
                <w:szCs w:val="28"/>
              </w:rPr>
              <w:t>配建公交站场最小用地面积阈值</w:t>
            </w:r>
          </w:p>
          <w:p>
            <w:pPr>
              <w:pStyle w:val="19"/>
              <w:spacing w:before="0" w:beforeAutospacing="0" w:after="0" w:afterAutospacing="0"/>
              <w:jc w:val="center"/>
              <w:rPr>
                <w:rFonts w:ascii="Times New Roman" w:hAnsi="Times New Roman" w:cs="Arial"/>
                <w:kern w:val="24"/>
                <w:sz w:val="21"/>
                <w:szCs w:val="28"/>
              </w:rPr>
            </w:pPr>
            <w:r>
              <w:rPr>
                <w:rFonts w:hint="eastAsia" w:ascii="Times New Roman" w:hAnsi="Times New Roman" w:cs="Arial"/>
                <w:kern w:val="24"/>
                <w:sz w:val="21"/>
                <w:szCs w:val="28"/>
              </w:rPr>
              <w:t>（平方米）</w:t>
            </w:r>
          </w:p>
        </w:tc>
        <w:tc>
          <w:tcPr>
            <w:tcW w:w="2131" w:type="dxa"/>
            <w:vAlign w:val="center"/>
          </w:tcPr>
          <w:p>
            <w:pPr>
              <w:pStyle w:val="19"/>
              <w:spacing w:before="0" w:beforeAutospacing="0" w:after="0" w:afterAutospacing="0"/>
              <w:jc w:val="center"/>
              <w:rPr>
                <w:rFonts w:ascii="Times New Roman" w:hAnsi="Times New Roman" w:cs="Arial"/>
                <w:kern w:val="24"/>
                <w:sz w:val="21"/>
                <w:szCs w:val="28"/>
              </w:rPr>
            </w:pPr>
            <w:r>
              <w:rPr>
                <w:rFonts w:hint="eastAsia" w:ascii="Times New Roman" w:hAnsi="Times New Roman" w:cs="Arial"/>
                <w:kern w:val="24"/>
                <w:sz w:val="21"/>
                <w:szCs w:val="28"/>
              </w:rPr>
              <w:t>配建公交站场占项目占地</w:t>
            </w:r>
          </w:p>
          <w:p>
            <w:pPr>
              <w:jc w:val="center"/>
              <w:rPr>
                <w:rFonts w:cs="Arial"/>
                <w:kern w:val="24"/>
                <w:sz w:val="21"/>
                <w:szCs w:val="28"/>
              </w:rPr>
            </w:pPr>
            <w:r>
              <w:rPr>
                <w:rFonts w:hint="eastAsia" w:cs="Arial"/>
                <w:kern w:val="24"/>
                <w:sz w:val="21"/>
                <w:szCs w:val="28"/>
              </w:rPr>
              <w:t>面积的比例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sz w:val="21"/>
              </w:rPr>
            </w:pPr>
            <w:r>
              <w:rPr>
                <w:rFonts w:hint="eastAsia" w:cs="Arial"/>
                <w:kern w:val="24"/>
                <w:sz w:val="21"/>
                <w:szCs w:val="28"/>
              </w:rPr>
              <w:t>居住</w:t>
            </w:r>
          </w:p>
        </w:tc>
        <w:tc>
          <w:tcPr>
            <w:tcW w:w="3827" w:type="dxa"/>
            <w:vAlign w:val="center"/>
          </w:tcPr>
          <w:p>
            <w:pPr>
              <w:jc w:val="center"/>
              <w:rPr>
                <w:sz w:val="21"/>
              </w:rPr>
            </w:pPr>
            <w:r>
              <w:rPr>
                <w:rFonts w:cs="Arial"/>
                <w:kern w:val="24"/>
                <w:sz w:val="21"/>
                <w:szCs w:val="28"/>
              </w:rPr>
              <w:t>11000</w:t>
            </w:r>
          </w:p>
        </w:tc>
        <w:tc>
          <w:tcPr>
            <w:tcW w:w="2131" w:type="dxa"/>
            <w:vAlign w:val="center"/>
          </w:tcPr>
          <w:p>
            <w:pPr>
              <w:jc w:val="center"/>
              <w:rPr>
                <w:sz w:val="21"/>
              </w:rPr>
            </w:pPr>
            <w:r>
              <w:rPr>
                <w:rFonts w:cs="Arial"/>
                <w:kern w:val="24"/>
                <w:sz w:val="21"/>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sz w:val="21"/>
              </w:rPr>
            </w:pPr>
            <w:r>
              <w:rPr>
                <w:rFonts w:hint="eastAsia" w:cs="Arial"/>
                <w:kern w:val="24"/>
                <w:sz w:val="21"/>
                <w:szCs w:val="28"/>
              </w:rPr>
              <w:t>其他</w:t>
            </w:r>
          </w:p>
        </w:tc>
        <w:tc>
          <w:tcPr>
            <w:tcW w:w="3827" w:type="dxa"/>
            <w:vAlign w:val="center"/>
          </w:tcPr>
          <w:p>
            <w:pPr>
              <w:jc w:val="center"/>
              <w:rPr>
                <w:sz w:val="21"/>
              </w:rPr>
            </w:pPr>
            <w:r>
              <w:rPr>
                <w:rFonts w:cs="Arial"/>
                <w:kern w:val="24"/>
                <w:sz w:val="21"/>
                <w:szCs w:val="28"/>
              </w:rPr>
              <w:t xml:space="preserve">8000 </w:t>
            </w:r>
          </w:p>
        </w:tc>
        <w:tc>
          <w:tcPr>
            <w:tcW w:w="2131" w:type="dxa"/>
            <w:vAlign w:val="center"/>
          </w:tcPr>
          <w:p>
            <w:pPr>
              <w:jc w:val="center"/>
              <w:rPr>
                <w:sz w:val="21"/>
              </w:rPr>
            </w:pPr>
            <w:r>
              <w:rPr>
                <w:rFonts w:cs="Arial"/>
                <w:kern w:val="24"/>
                <w:sz w:val="21"/>
                <w:szCs w:val="28"/>
              </w:rPr>
              <w:t>15%</w:t>
            </w:r>
          </w:p>
        </w:tc>
      </w:tr>
    </w:tbl>
    <w:p>
      <w:pPr>
        <w:ind w:left="850" w:leftChars="354" w:firstLine="1"/>
        <w:jc w:val="center"/>
        <w:rPr>
          <w:sz w:val="21"/>
        </w:rPr>
      </w:pPr>
    </w:p>
    <w:p>
      <w:pPr>
        <w:pStyle w:val="3"/>
      </w:pPr>
      <w:bookmarkStart w:id="36" w:name="_Ref453949499"/>
      <w:bookmarkStart w:id="37" w:name="_Toc454207067"/>
      <w:bookmarkStart w:id="38" w:name="_Toc470624697"/>
      <w:r>
        <w:rPr>
          <w:rFonts w:hint="eastAsia"/>
        </w:rPr>
        <w:t>站场最小规模控制指标</w:t>
      </w:r>
      <w:bookmarkEnd w:id="36"/>
      <w:bookmarkEnd w:id="37"/>
      <w:bookmarkEnd w:id="38"/>
    </w:p>
    <w:p>
      <w:pPr>
        <w:pStyle w:val="4"/>
      </w:pPr>
      <w:r>
        <w:rPr>
          <w:rFonts w:hint="eastAsia"/>
        </w:rPr>
        <w:t>配建公交站场的规模，应结合用地实际情况，按照规划的公交线路数、高峰时段的发车频率、候车乘客数、站内交通组织等确定。</w:t>
      </w:r>
    </w:p>
    <w:p>
      <w:pPr>
        <w:pStyle w:val="4"/>
      </w:pPr>
      <w:bookmarkStart w:id="39" w:name="_Ref453878059"/>
      <w:r>
        <w:rPr>
          <w:rFonts w:hint="eastAsia"/>
        </w:rPr>
        <w:t>配建公交站场的最小规模宜符合表</w:t>
      </w:r>
      <w:r>
        <w:t>3.3.2</w:t>
      </w:r>
      <w:r>
        <w:rPr>
          <w:rFonts w:hint="eastAsia"/>
        </w:rPr>
        <w:t>的规定，若部分建筑规模难以满足站场各项基本功能的要求，应根据实际需求扩大配建公交站场的建筑规模。</w:t>
      </w:r>
      <w:bookmarkEnd w:id="39"/>
    </w:p>
    <w:p>
      <w:pPr>
        <w:ind w:left="850" w:leftChars="354" w:firstLine="1"/>
        <w:jc w:val="center"/>
        <w:rPr>
          <w:sz w:val="21"/>
          <w:szCs w:val="21"/>
        </w:rPr>
      </w:pPr>
      <w:r>
        <w:rPr>
          <w:rFonts w:hint="eastAsia"/>
          <w:sz w:val="21"/>
          <w:szCs w:val="21"/>
        </w:rPr>
        <w:t>表</w:t>
      </w:r>
      <w:r>
        <w:fldChar w:fldCharType="begin"/>
      </w:r>
      <w:r>
        <w:instrText xml:space="preserve"> REF _Ref453878059 \r \h  \* MERGEFORMAT </w:instrText>
      </w:r>
      <w:r>
        <w:fldChar w:fldCharType="separate"/>
      </w:r>
      <w:r>
        <w:rPr>
          <w:sz w:val="21"/>
          <w:szCs w:val="21"/>
        </w:rPr>
        <w:t>3.3.2</w:t>
      </w:r>
      <w:r>
        <w:rPr>
          <w:sz w:val="21"/>
          <w:szCs w:val="21"/>
        </w:rPr>
        <w:fldChar w:fldCharType="end"/>
      </w:r>
      <w:r>
        <w:rPr>
          <w:sz w:val="21"/>
          <w:szCs w:val="21"/>
        </w:rPr>
        <w:t xml:space="preserve"> </w:t>
      </w:r>
      <w:r>
        <w:rPr>
          <w:rFonts w:hint="eastAsia" w:ascii="宋体" w:hAnsi="宋体"/>
          <w:color w:val="000000"/>
          <w:sz w:val="21"/>
          <w:szCs w:val="21"/>
        </w:rPr>
        <w:t>配建公交站场最小建筑规模（单位：平方米）</w:t>
      </w:r>
    </w:p>
    <w:tbl>
      <w:tblPr>
        <w:tblStyle w:val="21"/>
        <w:tblW w:w="7513"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937"/>
        <w:gridCol w:w="17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vAlign w:val="center"/>
          </w:tcPr>
          <w:p>
            <w:pPr>
              <w:ind w:left="1"/>
              <w:jc w:val="center"/>
              <w:rPr>
                <w:sz w:val="21"/>
              </w:rPr>
            </w:pPr>
            <w:r>
              <w:rPr>
                <w:rFonts w:hint="eastAsia"/>
                <w:bCs/>
                <w:sz w:val="21"/>
              </w:rPr>
              <w:t>公交站场线路数</w:t>
            </w:r>
          </w:p>
        </w:tc>
        <w:tc>
          <w:tcPr>
            <w:tcW w:w="5812" w:type="dxa"/>
            <w:gridSpan w:val="3"/>
            <w:vAlign w:val="center"/>
          </w:tcPr>
          <w:p>
            <w:pPr>
              <w:jc w:val="center"/>
              <w:rPr>
                <w:sz w:val="21"/>
              </w:rPr>
            </w:pPr>
            <w:r>
              <w:rPr>
                <w:rFonts w:hint="eastAsia"/>
                <w:bCs/>
                <w:sz w:val="21"/>
              </w:rPr>
              <w:t>公交站场规模（平方米）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jc w:val="center"/>
              <w:rPr>
                <w:sz w:val="21"/>
              </w:rPr>
            </w:pPr>
          </w:p>
        </w:tc>
        <w:tc>
          <w:tcPr>
            <w:tcW w:w="1937" w:type="dxa"/>
            <w:vAlign w:val="center"/>
          </w:tcPr>
          <w:p>
            <w:pPr>
              <w:jc w:val="center"/>
              <w:rPr>
                <w:rFonts w:cs="Arial"/>
                <w:color w:val="000000"/>
                <w:kern w:val="24"/>
                <w:sz w:val="21"/>
              </w:rPr>
            </w:pPr>
            <w:r>
              <w:rPr>
                <w:rFonts w:hint="eastAsia" w:cs="Arial"/>
                <w:color w:val="000000"/>
                <w:kern w:val="24"/>
                <w:sz w:val="21"/>
              </w:rPr>
              <w:t>一类区</w:t>
            </w:r>
          </w:p>
        </w:tc>
        <w:tc>
          <w:tcPr>
            <w:tcW w:w="1748" w:type="dxa"/>
            <w:vAlign w:val="center"/>
          </w:tcPr>
          <w:p>
            <w:pPr>
              <w:jc w:val="center"/>
              <w:rPr>
                <w:rFonts w:cs="Arial"/>
                <w:color w:val="000000"/>
                <w:kern w:val="24"/>
                <w:sz w:val="21"/>
              </w:rPr>
            </w:pPr>
            <w:r>
              <w:rPr>
                <w:rFonts w:hint="eastAsia" w:cs="Arial"/>
                <w:color w:val="000000"/>
                <w:kern w:val="24"/>
                <w:sz w:val="21"/>
              </w:rPr>
              <w:t>二类区</w:t>
            </w:r>
          </w:p>
        </w:tc>
        <w:tc>
          <w:tcPr>
            <w:tcW w:w="2127" w:type="dxa"/>
            <w:vAlign w:val="center"/>
          </w:tcPr>
          <w:p>
            <w:pPr>
              <w:jc w:val="center"/>
              <w:rPr>
                <w:rFonts w:cs="Arial"/>
                <w:color w:val="000000"/>
                <w:kern w:val="24"/>
                <w:sz w:val="21"/>
              </w:rPr>
            </w:pPr>
            <w:r>
              <w:rPr>
                <w:rFonts w:hint="eastAsia" w:cs="Arial"/>
                <w:color w:val="000000"/>
                <w:kern w:val="24"/>
                <w:sz w:val="21"/>
              </w:rPr>
              <w:t>村居地区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cs="Arial"/>
                <w:color w:val="000000"/>
                <w:kern w:val="24"/>
                <w:sz w:val="21"/>
              </w:rPr>
            </w:pPr>
            <w:r>
              <w:rPr>
                <w:rFonts w:cs="Arial"/>
                <w:color w:val="000000"/>
                <w:kern w:val="24"/>
                <w:sz w:val="21"/>
              </w:rPr>
              <w:t>1</w:t>
            </w:r>
            <w:r>
              <w:rPr>
                <w:rFonts w:hint="eastAsia" w:cs="Arial"/>
                <w:color w:val="000000"/>
                <w:kern w:val="24"/>
                <w:sz w:val="21"/>
              </w:rPr>
              <w:t>条线路</w:t>
            </w:r>
          </w:p>
        </w:tc>
        <w:tc>
          <w:tcPr>
            <w:tcW w:w="1937" w:type="dxa"/>
            <w:vAlign w:val="center"/>
          </w:tcPr>
          <w:p>
            <w:pPr>
              <w:jc w:val="center"/>
              <w:rPr>
                <w:rFonts w:cs="Arial"/>
                <w:color w:val="000000"/>
                <w:kern w:val="24"/>
                <w:sz w:val="21"/>
              </w:rPr>
            </w:pPr>
            <w:r>
              <w:rPr>
                <w:rFonts w:cs="Arial"/>
                <w:color w:val="000000"/>
                <w:kern w:val="24"/>
                <w:sz w:val="21"/>
              </w:rPr>
              <w:t>800</w:t>
            </w:r>
          </w:p>
        </w:tc>
        <w:tc>
          <w:tcPr>
            <w:tcW w:w="1748" w:type="dxa"/>
            <w:vAlign w:val="center"/>
          </w:tcPr>
          <w:p>
            <w:pPr>
              <w:jc w:val="center"/>
              <w:rPr>
                <w:rFonts w:cs="Arial"/>
                <w:color w:val="000000"/>
                <w:kern w:val="24"/>
                <w:sz w:val="21"/>
              </w:rPr>
            </w:pPr>
            <w:r>
              <w:rPr>
                <w:rFonts w:cs="Arial"/>
                <w:color w:val="000000"/>
                <w:kern w:val="24"/>
                <w:sz w:val="21"/>
              </w:rPr>
              <w:t>1200</w:t>
            </w:r>
          </w:p>
        </w:tc>
        <w:tc>
          <w:tcPr>
            <w:tcW w:w="2127" w:type="dxa"/>
            <w:vAlign w:val="center"/>
          </w:tcPr>
          <w:p>
            <w:pPr>
              <w:jc w:val="center"/>
              <w:rPr>
                <w:rFonts w:cs="Arial"/>
                <w:color w:val="000000"/>
                <w:kern w:val="24"/>
                <w:sz w:val="21"/>
              </w:rPr>
            </w:pPr>
            <w:r>
              <w:rPr>
                <w:rFonts w:cs="Arial"/>
                <w:color w:val="000000"/>
                <w:kern w:val="24"/>
                <w:sz w:val="21"/>
              </w:rPr>
              <w:t>350</w:t>
            </w:r>
            <w:r>
              <w:rPr>
                <w:rFonts w:hint="eastAsia" w:cs="Arial"/>
                <w:color w:val="000000"/>
                <w:kern w:val="24"/>
                <w:sz w:val="21"/>
              </w:rPr>
              <w:t>（无停车功能）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sz w:val="21"/>
              </w:rPr>
            </w:pPr>
            <w:r>
              <w:rPr>
                <w:rFonts w:cs="Arial"/>
                <w:color w:val="000000"/>
                <w:kern w:val="24"/>
                <w:sz w:val="21"/>
              </w:rPr>
              <w:t>2</w:t>
            </w:r>
            <w:r>
              <w:rPr>
                <w:rFonts w:hint="eastAsia" w:cs="Arial"/>
                <w:color w:val="000000"/>
                <w:kern w:val="24"/>
                <w:sz w:val="21"/>
              </w:rPr>
              <w:t>条线路</w:t>
            </w:r>
          </w:p>
        </w:tc>
        <w:tc>
          <w:tcPr>
            <w:tcW w:w="1937" w:type="dxa"/>
            <w:vAlign w:val="center"/>
          </w:tcPr>
          <w:p>
            <w:pPr>
              <w:jc w:val="center"/>
              <w:rPr>
                <w:sz w:val="21"/>
              </w:rPr>
            </w:pPr>
            <w:r>
              <w:rPr>
                <w:rFonts w:cs="Arial"/>
                <w:color w:val="000000"/>
                <w:kern w:val="24"/>
                <w:sz w:val="21"/>
              </w:rPr>
              <w:t>1300</w:t>
            </w:r>
          </w:p>
        </w:tc>
        <w:tc>
          <w:tcPr>
            <w:tcW w:w="1748" w:type="dxa"/>
            <w:vAlign w:val="center"/>
          </w:tcPr>
          <w:p>
            <w:pPr>
              <w:jc w:val="center"/>
              <w:rPr>
                <w:sz w:val="21"/>
              </w:rPr>
            </w:pPr>
            <w:r>
              <w:rPr>
                <w:rFonts w:cs="Arial"/>
                <w:color w:val="000000"/>
                <w:kern w:val="24"/>
                <w:sz w:val="21"/>
              </w:rPr>
              <w:t>2000</w:t>
            </w:r>
          </w:p>
        </w:tc>
        <w:tc>
          <w:tcPr>
            <w:tcW w:w="2127" w:type="dxa"/>
            <w:vAlign w:val="center"/>
          </w:tcPr>
          <w:p>
            <w:pPr>
              <w:jc w:val="center"/>
              <w:rPr>
                <w:sz w:val="21"/>
              </w:rPr>
            </w:pPr>
            <w:r>
              <w:rPr>
                <w:rFonts w:cs="Arial"/>
                <w:color w:val="000000"/>
                <w:kern w:val="24"/>
                <w:sz w:val="21"/>
              </w:rPr>
              <w:t>700</w:t>
            </w:r>
            <w:r>
              <w:rPr>
                <w:rFonts w:hint="eastAsia" w:cs="Arial"/>
                <w:color w:val="000000"/>
                <w:kern w:val="24"/>
                <w:sz w:val="21"/>
              </w:rPr>
              <w:t>（无停车功能）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sz w:val="21"/>
              </w:rPr>
            </w:pPr>
            <w:r>
              <w:rPr>
                <w:rFonts w:cs="Arial"/>
                <w:color w:val="000000"/>
                <w:kern w:val="24"/>
                <w:sz w:val="21"/>
              </w:rPr>
              <w:t>3</w:t>
            </w:r>
            <w:r>
              <w:rPr>
                <w:rFonts w:hint="eastAsia" w:cs="Arial"/>
                <w:color w:val="000000"/>
                <w:kern w:val="24"/>
                <w:sz w:val="21"/>
              </w:rPr>
              <w:t>条及以上线路</w:t>
            </w:r>
          </w:p>
        </w:tc>
        <w:tc>
          <w:tcPr>
            <w:tcW w:w="1937" w:type="dxa"/>
            <w:vAlign w:val="center"/>
          </w:tcPr>
          <w:p>
            <w:pPr>
              <w:jc w:val="center"/>
              <w:rPr>
                <w:sz w:val="21"/>
              </w:rPr>
            </w:pPr>
            <w:r>
              <w:rPr>
                <w:rFonts w:hint="eastAsia" w:cs="Arial"/>
                <w:color w:val="000000"/>
                <w:kern w:val="24"/>
                <w:sz w:val="21"/>
              </w:rPr>
              <w:t>每增加一条线路，增加</w:t>
            </w:r>
            <w:r>
              <w:rPr>
                <w:rFonts w:cs="Arial"/>
                <w:color w:val="000000"/>
                <w:kern w:val="24"/>
                <w:sz w:val="21"/>
              </w:rPr>
              <w:t>600</w:t>
            </w:r>
          </w:p>
        </w:tc>
        <w:tc>
          <w:tcPr>
            <w:tcW w:w="1748" w:type="dxa"/>
            <w:vAlign w:val="center"/>
          </w:tcPr>
          <w:p>
            <w:pPr>
              <w:jc w:val="center"/>
              <w:rPr>
                <w:sz w:val="21"/>
              </w:rPr>
            </w:pPr>
            <w:r>
              <w:rPr>
                <w:rFonts w:hint="eastAsia" w:cs="Arial"/>
                <w:color w:val="000000"/>
                <w:kern w:val="24"/>
                <w:sz w:val="21"/>
              </w:rPr>
              <w:t>每增加一条线路，增加</w:t>
            </w:r>
            <w:r>
              <w:rPr>
                <w:rFonts w:cs="Arial"/>
                <w:color w:val="000000"/>
                <w:kern w:val="24"/>
                <w:sz w:val="21"/>
              </w:rPr>
              <w:t>900</w:t>
            </w:r>
          </w:p>
        </w:tc>
        <w:tc>
          <w:tcPr>
            <w:tcW w:w="2127" w:type="dxa"/>
            <w:vAlign w:val="center"/>
          </w:tcPr>
          <w:p>
            <w:pPr>
              <w:jc w:val="center"/>
              <w:rPr>
                <w:sz w:val="21"/>
              </w:rPr>
            </w:pPr>
            <w:r>
              <w:rPr>
                <w:rFonts w:cs="Arial"/>
                <w:color w:val="000000"/>
                <w:kern w:val="24"/>
                <w:sz w:val="21"/>
              </w:rPr>
              <w:t>—</w:t>
            </w:r>
          </w:p>
        </w:tc>
      </w:tr>
    </w:tbl>
    <w:p>
      <w:pPr>
        <w:ind w:left="851"/>
        <w:rPr>
          <w:color w:val="000000"/>
          <w:sz w:val="21"/>
          <w:szCs w:val="21"/>
        </w:rPr>
        <w:sectPr>
          <w:pgSz w:w="11906" w:h="16838"/>
          <w:pgMar w:top="1440" w:right="1800" w:bottom="1440" w:left="1800" w:header="851" w:footer="992" w:gutter="0"/>
          <w:cols w:space="425" w:num="1"/>
          <w:docGrid w:type="lines" w:linePitch="312" w:charSpace="0"/>
        </w:sectPr>
      </w:pPr>
      <w:r>
        <w:rPr>
          <w:rFonts w:hint="eastAsia"/>
          <w:color w:val="000000"/>
          <w:sz w:val="21"/>
          <w:szCs w:val="21"/>
        </w:rPr>
        <w:t>注：</w:t>
      </w:r>
      <w:r>
        <w:rPr>
          <w:rFonts w:hint="eastAsia"/>
          <w:sz w:val="21"/>
          <w:szCs w:val="21"/>
        </w:rPr>
        <w:t>一类区包括蕉门河、南沙街中心区和明珠湾区；二类区包括除一类区以外的都市区</w:t>
      </w:r>
      <w:r>
        <w:rPr>
          <w:rFonts w:hint="eastAsia"/>
          <w:color w:val="000000"/>
          <w:sz w:val="21"/>
          <w:szCs w:val="21"/>
        </w:rPr>
        <w:t>。</w:t>
      </w:r>
    </w:p>
    <w:p>
      <w:pPr>
        <w:pStyle w:val="2"/>
      </w:pPr>
      <w:bookmarkStart w:id="40" w:name="_Toc454207068"/>
      <w:bookmarkStart w:id="41" w:name="_Toc470624698"/>
      <w:r>
        <w:rPr>
          <w:rFonts w:hint="eastAsia"/>
        </w:rPr>
        <w:t>设计指引</w:t>
      </w:r>
      <w:bookmarkEnd w:id="40"/>
      <w:bookmarkEnd w:id="41"/>
    </w:p>
    <w:p>
      <w:pPr>
        <w:pStyle w:val="3"/>
      </w:pPr>
      <w:bookmarkStart w:id="42" w:name="_Toc454207069"/>
      <w:bookmarkStart w:id="43" w:name="_Toc470624699"/>
      <w:r>
        <w:rPr>
          <w:rFonts w:hint="eastAsia"/>
        </w:rPr>
        <w:t>通则</w:t>
      </w:r>
      <w:bookmarkEnd w:id="42"/>
      <w:bookmarkEnd w:id="43"/>
    </w:p>
    <w:p>
      <w:pPr>
        <w:pStyle w:val="4"/>
      </w:pPr>
      <w:r>
        <w:rPr>
          <w:rFonts w:hint="eastAsia"/>
        </w:rPr>
        <w:t>站内设施应做到功能合理、安全有序、使用方便、用地集约。</w:t>
      </w:r>
    </w:p>
    <w:p>
      <w:pPr>
        <w:pStyle w:val="4"/>
      </w:pPr>
      <w:r>
        <w:rPr>
          <w:rFonts w:hint="eastAsia"/>
        </w:rPr>
        <w:t>站场建筑外观应与主体建筑、周围的环境和城市景观相协调，满足相关的建筑设计规范。</w:t>
      </w:r>
    </w:p>
    <w:p>
      <w:pPr>
        <w:pStyle w:val="3"/>
      </w:pPr>
      <w:bookmarkStart w:id="44" w:name="_Toc454207070"/>
      <w:bookmarkStart w:id="45" w:name="_Toc470624700"/>
      <w:bookmarkStart w:id="46" w:name="_Ref454116989"/>
      <w:r>
        <w:rPr>
          <w:rFonts w:hint="eastAsia"/>
        </w:rPr>
        <w:t>平面布局</w:t>
      </w:r>
      <w:bookmarkEnd w:id="44"/>
      <w:bookmarkEnd w:id="45"/>
      <w:bookmarkEnd w:id="46"/>
    </w:p>
    <w:p>
      <w:pPr>
        <w:pStyle w:val="4"/>
      </w:pPr>
      <w:r>
        <w:rPr>
          <w:rFonts w:hint="eastAsia"/>
        </w:rPr>
        <w:t>平面布局原则</w:t>
      </w:r>
    </w:p>
    <w:p>
      <w:pPr>
        <w:pStyle w:val="5"/>
      </w:pPr>
      <w:r>
        <w:rPr>
          <w:rFonts w:hint="eastAsia"/>
        </w:rPr>
        <w:t>安全有序原则：交通流线顺畅，不与非机动车混用，保障场内交通安全。</w:t>
      </w:r>
    </w:p>
    <w:p>
      <w:pPr>
        <w:pStyle w:val="5"/>
      </w:pPr>
      <w:r>
        <w:rPr>
          <w:rFonts w:hint="eastAsia"/>
        </w:rPr>
        <w:t>功能分区原则：结合场地地形及交通流线，合理设置功能分区。</w:t>
      </w:r>
    </w:p>
    <w:p>
      <w:pPr>
        <w:pStyle w:val="5"/>
      </w:pPr>
      <w:r>
        <w:rPr>
          <w:rFonts w:hint="eastAsia"/>
        </w:rPr>
        <w:t>人车分离原则：合理组织机动车与行人交通流线，减少人车交织。</w:t>
      </w:r>
    </w:p>
    <w:p>
      <w:pPr>
        <w:pStyle w:val="5"/>
      </w:pPr>
      <w:r>
        <w:rPr>
          <w:rFonts w:hint="eastAsia"/>
        </w:rPr>
        <w:t>紧凑便捷原则：从集约用地角度合理布设功能设施，减少人车活动距离。</w:t>
      </w:r>
    </w:p>
    <w:p>
      <w:pPr>
        <w:pStyle w:val="4"/>
      </w:pPr>
      <w:r>
        <w:rPr>
          <w:rFonts w:hint="eastAsia"/>
        </w:rPr>
        <w:t>配建公交站场的设计应根据规划要求，做到远近结合、留有余地，既能满足近期使用要求，又能兼顾长远发展。</w:t>
      </w:r>
    </w:p>
    <w:p>
      <w:pPr>
        <w:pStyle w:val="4"/>
      </w:pPr>
      <w:bookmarkStart w:id="47" w:name="_Ref454117017"/>
      <w:r>
        <w:rPr>
          <w:rFonts w:hint="eastAsia"/>
        </w:rPr>
        <w:t>配建公交站场的形式应根据建筑类型、地形地貌、交通环境和城市景观等灵活确定，宜设置在形状规整、地势平坦的用地上。对于偏向狭长形的地块，可考虑设置港湾式或通道式的配建公交站场或配建停靠站；对于偏向方块形的地块，可考虑设环绕式的配建公交站场。配建公交站场的形式参见附图</w:t>
      </w:r>
      <w:r>
        <w:t>1</w:t>
      </w:r>
      <w:r>
        <w:rPr>
          <w:rFonts w:hint="eastAsia"/>
        </w:rPr>
        <w:t>。</w:t>
      </w:r>
      <w:bookmarkEnd w:id="47"/>
    </w:p>
    <w:p>
      <w:pPr>
        <w:pStyle w:val="4"/>
      </w:pPr>
      <w:bookmarkStart w:id="48" w:name="_Ref454117163"/>
      <w:r>
        <w:rPr>
          <w:rFonts w:hint="eastAsia"/>
        </w:rPr>
        <w:t>配建公交站场的平面布局宜包括以下几个区域：</w:t>
      </w:r>
      <w:bookmarkEnd w:id="48"/>
    </w:p>
    <w:p>
      <w:pPr>
        <w:pStyle w:val="5"/>
      </w:pPr>
      <w:r>
        <w:rPr>
          <w:rFonts w:hint="eastAsia"/>
        </w:rPr>
        <w:t>车辆运行区域，包括到发车位、回车道、出入口、停车坪、充电车位、消防通道等。</w:t>
      </w:r>
    </w:p>
    <w:p>
      <w:pPr>
        <w:pStyle w:val="5"/>
      </w:pPr>
      <w:r>
        <w:rPr>
          <w:rFonts w:hint="eastAsia"/>
        </w:rPr>
        <w:t>乘客综合服务区域，包括站台、站牌、候车设施、行人通道、无障碍通道、公共信息牌等。</w:t>
      </w:r>
    </w:p>
    <w:p>
      <w:pPr>
        <w:pStyle w:val="5"/>
      </w:pPr>
      <w:r>
        <w:rPr>
          <w:rFonts w:hint="eastAsia"/>
        </w:rPr>
        <w:t>调度管理和后勤保障区域，包括站务用房、洗手间、变电器、配电设施、照明、监控、充电桩等。</w:t>
      </w:r>
    </w:p>
    <w:p>
      <w:pPr>
        <w:pStyle w:val="3"/>
      </w:pPr>
      <w:bookmarkStart w:id="49" w:name="_Ref454117228"/>
      <w:bookmarkStart w:id="50" w:name="_Toc454207071"/>
      <w:bookmarkStart w:id="51" w:name="_Toc470624701"/>
      <w:r>
        <w:rPr>
          <w:rFonts w:hint="eastAsia"/>
        </w:rPr>
        <w:t>设计内容</w:t>
      </w:r>
      <w:bookmarkEnd w:id="49"/>
      <w:bookmarkEnd w:id="50"/>
      <w:bookmarkEnd w:id="51"/>
    </w:p>
    <w:p>
      <w:pPr>
        <w:pStyle w:val="4"/>
      </w:pPr>
      <w:bookmarkStart w:id="52" w:name="_Ref453924941"/>
      <w:r>
        <w:rPr>
          <w:rFonts w:hint="eastAsia"/>
        </w:rPr>
        <w:t>配建公交站场的设计内容应符合表</w:t>
      </w:r>
      <w:r>
        <w:fldChar w:fldCharType="begin"/>
      </w:r>
      <w:r>
        <w:instrText xml:space="preserve"> REF _Ref453924941 \r \h </w:instrText>
      </w:r>
      <w:r>
        <w:fldChar w:fldCharType="separate"/>
      </w:r>
      <w:r>
        <w:t>4.3.1</w:t>
      </w:r>
      <w:r>
        <w:fldChar w:fldCharType="end"/>
      </w:r>
      <w:r>
        <w:rPr>
          <w:rFonts w:hint="eastAsia"/>
        </w:rPr>
        <w:t>的规定：</w:t>
      </w:r>
      <w:bookmarkEnd w:id="52"/>
    </w:p>
    <w:p>
      <w:pPr>
        <w:ind w:left="851"/>
        <w:jc w:val="center"/>
        <w:rPr>
          <w:sz w:val="21"/>
          <w:szCs w:val="21"/>
        </w:rPr>
      </w:pPr>
      <w:r>
        <w:rPr>
          <w:rFonts w:hint="eastAsia"/>
          <w:sz w:val="21"/>
          <w:szCs w:val="21"/>
        </w:rPr>
        <w:t>表</w:t>
      </w:r>
      <w:r>
        <w:fldChar w:fldCharType="begin"/>
      </w:r>
      <w:r>
        <w:instrText xml:space="preserve"> REF _Ref453924941 \r \h  \* MERGEFORMAT </w:instrText>
      </w:r>
      <w:r>
        <w:fldChar w:fldCharType="separate"/>
      </w:r>
      <w:r>
        <w:rPr>
          <w:sz w:val="21"/>
          <w:szCs w:val="21"/>
        </w:rPr>
        <w:t>4.3.1</w:t>
      </w:r>
      <w:r>
        <w:rPr>
          <w:sz w:val="21"/>
          <w:szCs w:val="21"/>
        </w:rPr>
        <w:fldChar w:fldCharType="end"/>
      </w:r>
      <w:r>
        <w:rPr>
          <w:sz w:val="21"/>
          <w:szCs w:val="21"/>
        </w:rPr>
        <w:t xml:space="preserve"> </w:t>
      </w:r>
      <w:r>
        <w:rPr>
          <w:rFonts w:hint="eastAsia"/>
          <w:sz w:val="21"/>
          <w:szCs w:val="21"/>
        </w:rPr>
        <w:t>配建公交站场功能设施</w:t>
      </w:r>
    </w:p>
    <w:tbl>
      <w:tblPr>
        <w:tblStyle w:val="21"/>
        <w:tblW w:w="7371"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552"/>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jc w:val="center"/>
              <w:rPr>
                <w:bCs/>
                <w:sz w:val="21"/>
              </w:rPr>
            </w:pPr>
            <w:r>
              <w:rPr>
                <w:rFonts w:hint="eastAsia"/>
                <w:bCs/>
                <w:sz w:val="21"/>
              </w:rPr>
              <w:t>功能</w:t>
            </w:r>
          </w:p>
        </w:tc>
        <w:tc>
          <w:tcPr>
            <w:tcW w:w="2552" w:type="dxa"/>
            <w:vMerge w:val="restart"/>
            <w:vAlign w:val="center"/>
          </w:tcPr>
          <w:p>
            <w:pPr>
              <w:jc w:val="center"/>
              <w:rPr>
                <w:bCs/>
                <w:sz w:val="21"/>
              </w:rPr>
            </w:pPr>
            <w:r>
              <w:rPr>
                <w:rFonts w:hint="eastAsia"/>
                <w:bCs/>
                <w:sz w:val="21"/>
              </w:rPr>
              <w:t>设施</w:t>
            </w:r>
          </w:p>
        </w:tc>
        <w:tc>
          <w:tcPr>
            <w:tcW w:w="3402" w:type="dxa"/>
            <w:gridSpan w:val="2"/>
          </w:tcPr>
          <w:p>
            <w:pPr>
              <w:jc w:val="center"/>
              <w:rPr>
                <w:bCs/>
                <w:sz w:val="21"/>
              </w:rPr>
            </w:pPr>
            <w:r>
              <w:rPr>
                <w:rFonts w:hint="eastAsia"/>
                <w:bCs/>
                <w:sz w:val="21"/>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tcPr>
          <w:p>
            <w:pPr>
              <w:rPr>
                <w:bCs/>
                <w:sz w:val="21"/>
              </w:rPr>
            </w:pPr>
          </w:p>
        </w:tc>
        <w:tc>
          <w:tcPr>
            <w:tcW w:w="2552" w:type="dxa"/>
            <w:vMerge w:val="continue"/>
            <w:vAlign w:val="center"/>
          </w:tcPr>
          <w:p>
            <w:pPr>
              <w:rPr>
                <w:bCs/>
                <w:sz w:val="21"/>
              </w:rPr>
            </w:pPr>
          </w:p>
        </w:tc>
        <w:tc>
          <w:tcPr>
            <w:tcW w:w="1701" w:type="dxa"/>
            <w:vAlign w:val="center"/>
          </w:tcPr>
          <w:p>
            <w:pPr>
              <w:rPr>
                <w:bCs/>
                <w:sz w:val="21"/>
              </w:rPr>
            </w:pPr>
            <w:r>
              <w:rPr>
                <w:rFonts w:hint="eastAsia"/>
                <w:bCs/>
                <w:sz w:val="21"/>
              </w:rPr>
              <w:t>配建公交枢纽站</w:t>
            </w:r>
          </w:p>
        </w:tc>
        <w:tc>
          <w:tcPr>
            <w:tcW w:w="1701" w:type="dxa"/>
            <w:vAlign w:val="center"/>
          </w:tcPr>
          <w:p>
            <w:pPr>
              <w:pStyle w:val="19"/>
              <w:spacing w:before="0" w:beforeAutospacing="0" w:after="0" w:afterAutospacing="0"/>
              <w:rPr>
                <w:rFonts w:ascii="Times New Roman" w:hAnsi="Times New Roman" w:cs="Times New Roman"/>
                <w:bCs/>
                <w:kern w:val="2"/>
                <w:sz w:val="21"/>
                <w:szCs w:val="22"/>
              </w:rPr>
            </w:pPr>
            <w:r>
              <w:rPr>
                <w:rFonts w:hint="eastAsia" w:ascii="Times New Roman" w:hAnsi="Times New Roman" w:cs="Times New Roman"/>
                <w:bCs/>
                <w:kern w:val="2"/>
                <w:sz w:val="21"/>
                <w:szCs w:val="22"/>
              </w:rPr>
              <w:t>配建公交首末站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jc w:val="center"/>
              <w:rPr>
                <w:bCs/>
                <w:sz w:val="21"/>
              </w:rPr>
            </w:pPr>
            <w:r>
              <w:rPr>
                <w:rFonts w:hint="eastAsia"/>
                <w:bCs/>
                <w:sz w:val="21"/>
              </w:rPr>
              <w:t>车辆运行</w:t>
            </w:r>
          </w:p>
        </w:tc>
        <w:tc>
          <w:tcPr>
            <w:tcW w:w="2552" w:type="dxa"/>
            <w:vAlign w:val="center"/>
          </w:tcPr>
          <w:p>
            <w:pPr>
              <w:jc w:val="center"/>
              <w:rPr>
                <w:bCs/>
                <w:sz w:val="21"/>
              </w:rPr>
            </w:pPr>
            <w:r>
              <w:rPr>
                <w:rFonts w:hint="eastAsia"/>
                <w:bCs/>
                <w:sz w:val="21"/>
              </w:rPr>
              <w:t>回车道</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到发车位</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停车坪</w:t>
            </w:r>
          </w:p>
        </w:tc>
        <w:tc>
          <w:tcPr>
            <w:tcW w:w="1701" w:type="dxa"/>
            <w:vAlign w:val="center"/>
          </w:tcPr>
          <w:p>
            <w:pPr>
              <w:jc w:val="center"/>
              <w:rPr>
                <w:rFonts w:ascii="宋体" w:cs="Arial"/>
                <w:bCs/>
                <w:color w:val="000000"/>
                <w:kern w:val="24"/>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cs="Arial"/>
                <w:bCs/>
                <w:color w:val="000000"/>
                <w:kern w:val="24"/>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rPr>
              <w:t>消防通道</w:t>
            </w:r>
          </w:p>
        </w:tc>
        <w:tc>
          <w:tcPr>
            <w:tcW w:w="1701" w:type="dxa"/>
            <w:vAlign w:val="center"/>
          </w:tcPr>
          <w:p>
            <w:pPr>
              <w:jc w:val="center"/>
              <w:rPr>
                <w:rFonts w:ascii="宋体" w:cs="Arial"/>
                <w:bCs/>
                <w:kern w:val="24"/>
                <w:sz w:val="21"/>
                <w:szCs w:val="21"/>
              </w:rPr>
            </w:pPr>
            <w:r>
              <w:rPr>
                <w:rFonts w:hint="eastAsia" w:ascii="宋体" w:hAnsi="宋体" w:cs="Arial"/>
                <w:bCs/>
                <w:kern w:val="24"/>
                <w:sz w:val="21"/>
                <w:szCs w:val="21"/>
              </w:rPr>
              <w:t>√</w:t>
            </w:r>
          </w:p>
        </w:tc>
        <w:tc>
          <w:tcPr>
            <w:tcW w:w="1701" w:type="dxa"/>
            <w:vAlign w:val="center"/>
          </w:tcPr>
          <w:p>
            <w:pPr>
              <w:jc w:val="center"/>
              <w:rPr>
                <w:rFonts w:ascii="宋体" w:cs="Arial"/>
                <w:bCs/>
                <w:kern w:val="24"/>
                <w:sz w:val="21"/>
                <w:szCs w:val="21"/>
              </w:rPr>
            </w:pPr>
            <w:r>
              <w:rPr>
                <w:rFonts w:hint="eastAsia" w:ascii="宋体" w:hAnsi="宋体" w:cs="Arial"/>
                <w:bCs/>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充电车位</w:t>
            </w:r>
          </w:p>
        </w:tc>
        <w:tc>
          <w:tcPr>
            <w:tcW w:w="1701" w:type="dxa"/>
            <w:vAlign w:val="center"/>
          </w:tcPr>
          <w:p>
            <w:pPr>
              <w:jc w:val="center"/>
              <w:rPr>
                <w:rFonts w:ascii="宋体"/>
                <w:sz w:val="21"/>
                <w:szCs w:val="21"/>
              </w:rPr>
            </w:pPr>
            <w:r>
              <w:rPr>
                <w:rFonts w:hint="eastAsia" w:ascii="宋体" w:hAnsi="宋体" w:cs="Arial"/>
                <w:bCs/>
                <w:kern w:val="24"/>
                <w:sz w:val="21"/>
                <w:szCs w:val="21"/>
              </w:rPr>
              <w:t>√</w:t>
            </w:r>
          </w:p>
        </w:tc>
        <w:tc>
          <w:tcPr>
            <w:tcW w:w="1701" w:type="dxa"/>
            <w:vAlign w:val="center"/>
          </w:tcPr>
          <w:p>
            <w:pPr>
              <w:jc w:val="center"/>
              <w:rPr>
                <w:rFonts w:ascii="宋体"/>
                <w:sz w:val="21"/>
                <w:szCs w:val="21"/>
              </w:rPr>
            </w:pPr>
            <w:r>
              <w:rPr>
                <w:rFonts w:hint="eastAsia" w:ascii="宋体" w:hAnsi="宋体" w:cs="Arial"/>
                <w:bCs/>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jc w:val="center"/>
              <w:rPr>
                <w:bCs/>
                <w:sz w:val="21"/>
              </w:rPr>
            </w:pPr>
            <w:r>
              <w:rPr>
                <w:rFonts w:hint="eastAsia"/>
                <w:bCs/>
                <w:sz w:val="21"/>
              </w:rPr>
              <w:t>客流集散</w:t>
            </w:r>
          </w:p>
        </w:tc>
        <w:tc>
          <w:tcPr>
            <w:tcW w:w="2552" w:type="dxa"/>
            <w:vAlign w:val="center"/>
          </w:tcPr>
          <w:p>
            <w:pPr>
              <w:jc w:val="center"/>
              <w:rPr>
                <w:bCs/>
                <w:sz w:val="21"/>
              </w:rPr>
            </w:pPr>
            <w:r>
              <w:rPr>
                <w:rFonts w:hint="eastAsia"/>
                <w:bCs/>
                <w:sz w:val="21"/>
              </w:rPr>
              <w:t>站台</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站牌</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区域地图、公交线路图</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公交时刻表</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实时动态信息</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候车亭</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座椅</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候车廊</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行人通道</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无障碍设施</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公共信息牌</w:t>
            </w:r>
          </w:p>
        </w:tc>
        <w:tc>
          <w:tcPr>
            <w:tcW w:w="1701" w:type="dxa"/>
            <w:vAlign w:val="center"/>
          </w:tcPr>
          <w:p>
            <w:pPr>
              <w:jc w:val="center"/>
              <w:rPr>
                <w:rFonts w:ascii="宋体"/>
                <w:bCs/>
                <w:color w:val="000000"/>
                <w:kern w:val="24"/>
                <w:sz w:val="21"/>
                <w:szCs w:val="21"/>
              </w:rPr>
            </w:pPr>
            <w:r>
              <w:rPr>
                <w:rFonts w:hint="eastAsia" w:ascii="宋体" w:hAnsi="宋体"/>
                <w:bCs/>
                <w:color w:val="000000"/>
                <w:kern w:val="24"/>
                <w:sz w:val="21"/>
                <w:szCs w:val="21"/>
              </w:rPr>
              <w:t>√</w:t>
            </w:r>
          </w:p>
        </w:tc>
        <w:tc>
          <w:tcPr>
            <w:tcW w:w="1701" w:type="dxa"/>
            <w:vAlign w:val="center"/>
          </w:tcPr>
          <w:p>
            <w:pPr>
              <w:jc w:val="center"/>
              <w:rPr>
                <w:rFonts w:ascii="宋体" w:hAnsi="宋体"/>
                <w:bCs/>
                <w:color w:val="000000"/>
                <w:kern w:val="24"/>
                <w:sz w:val="21"/>
                <w:szCs w:val="21"/>
              </w:rPr>
            </w:pPr>
            <w:r>
              <w:rPr>
                <w:rFonts w:ascii="宋体" w:hAnsi="宋体"/>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公交综合服务中心</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c>
          <w:tcPr>
            <w:tcW w:w="1701" w:type="dxa"/>
            <w:vAlign w:val="center"/>
          </w:tcPr>
          <w:p>
            <w:pPr>
              <w:jc w:val="center"/>
              <w:rPr>
                <w:rFonts w:ascii="宋体"/>
                <w:sz w:val="21"/>
                <w:szCs w:val="21"/>
              </w:rPr>
            </w:pPr>
            <w:r>
              <w:rPr>
                <w:rFonts w:ascii="宋体" w:hAnsi="宋体"/>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jc w:val="center"/>
              <w:rPr>
                <w:bCs/>
                <w:sz w:val="21"/>
              </w:rPr>
            </w:pPr>
            <w:r>
              <w:rPr>
                <w:rFonts w:hint="eastAsia"/>
                <w:bCs/>
                <w:sz w:val="21"/>
              </w:rPr>
              <w:t>交通方式间协调转换</w:t>
            </w:r>
          </w:p>
        </w:tc>
        <w:tc>
          <w:tcPr>
            <w:tcW w:w="2552" w:type="dxa"/>
            <w:vAlign w:val="center"/>
          </w:tcPr>
          <w:p>
            <w:pPr>
              <w:jc w:val="center"/>
              <w:rPr>
                <w:bCs/>
                <w:sz w:val="21"/>
              </w:rPr>
            </w:pPr>
            <w:r>
              <w:rPr>
                <w:rFonts w:hint="eastAsia"/>
                <w:bCs/>
                <w:sz w:val="21"/>
              </w:rPr>
              <w:t>非机动车存放</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tcPr>
          <w:p>
            <w:pPr>
              <w:jc w:val="center"/>
              <w:rPr>
                <w:bCs/>
                <w:sz w:val="21"/>
              </w:rPr>
            </w:pPr>
          </w:p>
        </w:tc>
        <w:tc>
          <w:tcPr>
            <w:tcW w:w="2552" w:type="dxa"/>
            <w:vAlign w:val="center"/>
          </w:tcPr>
          <w:p>
            <w:pPr>
              <w:jc w:val="center"/>
              <w:rPr>
                <w:bCs/>
                <w:sz w:val="21"/>
              </w:rPr>
            </w:pPr>
            <w:r>
              <w:rPr>
                <w:rFonts w:hint="eastAsia"/>
                <w:bCs/>
                <w:sz w:val="21"/>
              </w:rPr>
              <w:t>机动车停车换乘</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jc w:val="center"/>
              <w:rPr>
                <w:bCs/>
                <w:sz w:val="21"/>
              </w:rPr>
            </w:pPr>
            <w:r>
              <w:rPr>
                <w:rFonts w:hint="eastAsia"/>
                <w:bCs/>
                <w:sz w:val="21"/>
              </w:rPr>
              <w:t>调度管理</w:t>
            </w:r>
          </w:p>
        </w:tc>
        <w:tc>
          <w:tcPr>
            <w:tcW w:w="2552" w:type="dxa"/>
            <w:vAlign w:val="center"/>
          </w:tcPr>
          <w:p>
            <w:pPr>
              <w:jc w:val="center"/>
              <w:rPr>
                <w:bCs/>
                <w:sz w:val="21"/>
              </w:rPr>
            </w:pPr>
            <w:r>
              <w:rPr>
                <w:rFonts w:hint="eastAsia"/>
                <w:bCs/>
                <w:sz w:val="21"/>
              </w:rPr>
              <w:t>站场管理室</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线路调度室</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智能监控室</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监控</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照明</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jc w:val="center"/>
              <w:rPr>
                <w:bCs/>
                <w:sz w:val="21"/>
              </w:rPr>
            </w:pPr>
            <w:r>
              <w:rPr>
                <w:rFonts w:hint="eastAsia"/>
                <w:bCs/>
                <w:sz w:val="21"/>
              </w:rPr>
              <w:t>后勤保障</w:t>
            </w:r>
          </w:p>
        </w:tc>
        <w:tc>
          <w:tcPr>
            <w:tcW w:w="2552" w:type="dxa"/>
            <w:vAlign w:val="center"/>
          </w:tcPr>
          <w:p>
            <w:pPr>
              <w:jc w:val="center"/>
              <w:rPr>
                <w:bCs/>
                <w:sz w:val="21"/>
              </w:rPr>
            </w:pPr>
            <w:r>
              <w:rPr>
                <w:rFonts w:hint="eastAsia"/>
                <w:bCs/>
                <w:sz w:val="21"/>
              </w:rPr>
              <w:t>休息室</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餐饮间</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卫生间</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sz w:val="21"/>
              </w:rPr>
            </w:pPr>
            <w:r>
              <w:rPr>
                <w:rFonts w:hint="eastAsia"/>
                <w:bCs/>
                <w:sz w:val="21"/>
              </w:rPr>
              <w:t>清洁用具杂物间</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c>
          <w:tcPr>
            <w:tcW w:w="1701" w:type="dxa"/>
            <w:vAlign w:val="center"/>
          </w:tcPr>
          <w:p>
            <w:pPr>
              <w:jc w:val="center"/>
              <w:rPr>
                <w:rFonts w:ascii="宋体"/>
                <w:sz w:val="21"/>
                <w:szCs w:val="21"/>
              </w:rPr>
            </w:pPr>
            <w:r>
              <w:rPr>
                <w:rFonts w:hint="eastAsia" w:ascii="宋体" w:hAnsi="宋体" w:cs="Arial"/>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jc w:val="center"/>
              <w:rPr>
                <w:bCs/>
                <w:sz w:val="21"/>
              </w:rPr>
            </w:pPr>
            <w:r>
              <w:rPr>
                <w:rFonts w:hint="eastAsia"/>
                <w:bCs/>
                <w:sz w:val="21"/>
              </w:rPr>
              <w:t>充电设施</w:t>
            </w:r>
          </w:p>
        </w:tc>
        <w:tc>
          <w:tcPr>
            <w:tcW w:w="2552" w:type="dxa"/>
            <w:vAlign w:val="center"/>
          </w:tcPr>
          <w:p>
            <w:pPr>
              <w:jc w:val="center"/>
              <w:rPr>
                <w:bCs/>
                <w:color w:val="FF0000"/>
                <w:sz w:val="21"/>
              </w:rPr>
            </w:pPr>
            <w:r>
              <w:rPr>
                <w:rFonts w:hint="eastAsia"/>
                <w:bCs/>
                <w:color w:val="FF0000"/>
                <w:sz w:val="21"/>
              </w:rPr>
              <w:t>变电器</w:t>
            </w:r>
          </w:p>
        </w:tc>
        <w:tc>
          <w:tcPr>
            <w:tcW w:w="1701" w:type="dxa"/>
            <w:vAlign w:val="center"/>
          </w:tcPr>
          <w:p>
            <w:pPr>
              <w:jc w:val="center"/>
              <w:rPr>
                <w:rFonts w:ascii="宋体"/>
                <w:color w:val="FF0000"/>
                <w:sz w:val="21"/>
                <w:szCs w:val="21"/>
              </w:rPr>
            </w:pPr>
            <w:r>
              <w:rPr>
                <w:rFonts w:hint="eastAsia" w:ascii="宋体" w:hAnsi="宋体"/>
                <w:bCs/>
                <w:color w:val="FF0000"/>
                <w:kern w:val="24"/>
                <w:sz w:val="21"/>
                <w:szCs w:val="21"/>
              </w:rPr>
              <w:t>√</w:t>
            </w:r>
          </w:p>
        </w:tc>
        <w:tc>
          <w:tcPr>
            <w:tcW w:w="1701" w:type="dxa"/>
            <w:vAlign w:val="center"/>
          </w:tcPr>
          <w:p>
            <w:pPr>
              <w:jc w:val="center"/>
              <w:rPr>
                <w:rFonts w:ascii="宋体"/>
                <w:color w:val="FF0000"/>
                <w:sz w:val="21"/>
                <w:szCs w:val="21"/>
              </w:rPr>
            </w:pPr>
            <w:r>
              <w:rPr>
                <w:rFonts w:hint="eastAsia" w:ascii="宋体" w:hAnsi="宋体"/>
                <w:bCs/>
                <w:color w:val="FF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color w:val="FF0000"/>
                <w:sz w:val="21"/>
              </w:rPr>
            </w:pPr>
            <w:r>
              <w:rPr>
                <w:rFonts w:hint="eastAsia"/>
                <w:bCs/>
                <w:color w:val="FF0000"/>
                <w:sz w:val="21"/>
              </w:rPr>
              <w:t>配电设施</w:t>
            </w:r>
          </w:p>
        </w:tc>
        <w:tc>
          <w:tcPr>
            <w:tcW w:w="1701" w:type="dxa"/>
            <w:vAlign w:val="center"/>
          </w:tcPr>
          <w:p>
            <w:pPr>
              <w:jc w:val="center"/>
              <w:rPr>
                <w:rFonts w:ascii="宋体"/>
                <w:color w:val="FF0000"/>
                <w:sz w:val="21"/>
                <w:szCs w:val="21"/>
              </w:rPr>
            </w:pPr>
            <w:r>
              <w:rPr>
                <w:rFonts w:hint="eastAsia" w:ascii="宋体" w:hAnsi="宋体"/>
                <w:bCs/>
                <w:color w:val="FF0000"/>
                <w:kern w:val="24"/>
                <w:sz w:val="21"/>
                <w:szCs w:val="21"/>
              </w:rPr>
              <w:t>√</w:t>
            </w:r>
          </w:p>
        </w:tc>
        <w:tc>
          <w:tcPr>
            <w:tcW w:w="1701" w:type="dxa"/>
            <w:vAlign w:val="center"/>
          </w:tcPr>
          <w:p>
            <w:pPr>
              <w:jc w:val="center"/>
              <w:rPr>
                <w:rFonts w:ascii="宋体"/>
                <w:color w:val="FF0000"/>
                <w:sz w:val="21"/>
                <w:szCs w:val="21"/>
              </w:rPr>
            </w:pPr>
            <w:r>
              <w:rPr>
                <w:rFonts w:hint="eastAsia" w:ascii="宋体" w:hAnsi="宋体"/>
                <w:bCs/>
                <w:color w:val="FF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color w:val="FF0000"/>
                <w:sz w:val="21"/>
              </w:rPr>
            </w:pPr>
            <w:r>
              <w:rPr>
                <w:rFonts w:hint="eastAsia"/>
                <w:bCs/>
                <w:color w:val="FF0000"/>
                <w:sz w:val="21"/>
              </w:rPr>
              <w:t>充电桩</w:t>
            </w:r>
          </w:p>
        </w:tc>
        <w:tc>
          <w:tcPr>
            <w:tcW w:w="1701" w:type="dxa"/>
            <w:vAlign w:val="center"/>
          </w:tcPr>
          <w:p>
            <w:pPr>
              <w:jc w:val="center"/>
              <w:rPr>
                <w:rFonts w:ascii="宋体"/>
                <w:color w:val="FF0000"/>
                <w:sz w:val="21"/>
                <w:szCs w:val="21"/>
              </w:rPr>
            </w:pPr>
            <w:r>
              <w:rPr>
                <w:rFonts w:hint="eastAsia" w:ascii="宋体" w:hAnsi="宋体"/>
                <w:bCs/>
                <w:color w:val="FF0000"/>
                <w:kern w:val="24"/>
                <w:sz w:val="21"/>
                <w:szCs w:val="21"/>
              </w:rPr>
              <w:t>√</w:t>
            </w:r>
          </w:p>
        </w:tc>
        <w:tc>
          <w:tcPr>
            <w:tcW w:w="1701" w:type="dxa"/>
            <w:vAlign w:val="center"/>
          </w:tcPr>
          <w:p>
            <w:pPr>
              <w:jc w:val="center"/>
              <w:rPr>
                <w:rFonts w:ascii="宋体"/>
                <w:sz w:val="21"/>
                <w:szCs w:val="21"/>
              </w:rPr>
            </w:pPr>
            <w:r>
              <w:rPr>
                <w:rFonts w:hint="eastAsia" w:ascii="宋体" w:hAnsi="宋体"/>
                <w:bCs/>
                <w:color w:val="FF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bCs/>
                <w:sz w:val="21"/>
              </w:rPr>
            </w:pPr>
          </w:p>
        </w:tc>
        <w:tc>
          <w:tcPr>
            <w:tcW w:w="2552" w:type="dxa"/>
            <w:vAlign w:val="center"/>
          </w:tcPr>
          <w:p>
            <w:pPr>
              <w:jc w:val="center"/>
              <w:rPr>
                <w:bCs/>
                <w:color w:val="FF0000"/>
                <w:sz w:val="21"/>
              </w:rPr>
            </w:pPr>
            <w:r>
              <w:rPr>
                <w:rFonts w:hint="eastAsia"/>
                <w:bCs/>
                <w:color w:val="FF0000"/>
                <w:sz w:val="21"/>
              </w:rPr>
              <w:t>充电车位</w:t>
            </w:r>
          </w:p>
        </w:tc>
        <w:tc>
          <w:tcPr>
            <w:tcW w:w="1701" w:type="dxa"/>
            <w:vAlign w:val="center"/>
          </w:tcPr>
          <w:p>
            <w:pPr>
              <w:jc w:val="center"/>
              <w:rPr>
                <w:rFonts w:ascii="宋体"/>
                <w:color w:val="FF0000"/>
                <w:sz w:val="21"/>
                <w:szCs w:val="21"/>
              </w:rPr>
            </w:pPr>
            <w:r>
              <w:rPr>
                <w:rFonts w:hint="eastAsia" w:ascii="宋体" w:hAnsi="宋体"/>
                <w:bCs/>
                <w:color w:val="FF0000"/>
                <w:kern w:val="24"/>
                <w:sz w:val="21"/>
                <w:szCs w:val="21"/>
              </w:rPr>
              <w:t>√</w:t>
            </w:r>
          </w:p>
        </w:tc>
        <w:tc>
          <w:tcPr>
            <w:tcW w:w="1701" w:type="dxa"/>
            <w:vAlign w:val="center"/>
          </w:tcPr>
          <w:p>
            <w:pPr>
              <w:jc w:val="center"/>
              <w:rPr>
                <w:rFonts w:ascii="宋体"/>
                <w:sz w:val="21"/>
                <w:szCs w:val="21"/>
              </w:rPr>
            </w:pPr>
            <w:r>
              <w:rPr>
                <w:rFonts w:hint="eastAsia" w:ascii="宋体" w:hAnsi="宋体"/>
                <w:bCs/>
                <w:color w:val="FF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jc w:val="center"/>
              <w:rPr>
                <w:bCs/>
                <w:sz w:val="21"/>
              </w:rPr>
            </w:pPr>
            <w:r>
              <w:rPr>
                <w:rFonts w:hint="eastAsia"/>
                <w:bCs/>
                <w:sz w:val="21"/>
              </w:rPr>
              <w:t>其他</w:t>
            </w:r>
          </w:p>
        </w:tc>
        <w:tc>
          <w:tcPr>
            <w:tcW w:w="2552" w:type="dxa"/>
            <w:vAlign w:val="center"/>
          </w:tcPr>
          <w:p>
            <w:pPr>
              <w:jc w:val="center"/>
              <w:rPr>
                <w:bCs/>
                <w:sz w:val="21"/>
              </w:rPr>
            </w:pPr>
            <w:r>
              <w:rPr>
                <w:rFonts w:hint="eastAsia"/>
                <w:bCs/>
                <w:sz w:val="21"/>
              </w:rPr>
              <w:t>绿化</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tcPr>
          <w:p>
            <w:pPr>
              <w:jc w:val="center"/>
              <w:rPr>
                <w:bCs/>
                <w:sz w:val="21"/>
              </w:rPr>
            </w:pPr>
          </w:p>
        </w:tc>
        <w:tc>
          <w:tcPr>
            <w:tcW w:w="2552" w:type="dxa"/>
            <w:vAlign w:val="center"/>
          </w:tcPr>
          <w:p>
            <w:pPr>
              <w:jc w:val="center"/>
              <w:rPr>
                <w:bCs/>
                <w:sz w:val="21"/>
              </w:rPr>
            </w:pPr>
            <w:r>
              <w:rPr>
                <w:rFonts w:hint="eastAsia"/>
                <w:bCs/>
                <w:sz w:val="21"/>
              </w:rPr>
              <w:t>消防</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c>
          <w:tcPr>
            <w:tcW w:w="1701" w:type="dxa"/>
            <w:vAlign w:val="center"/>
          </w:tcPr>
          <w:p>
            <w:pPr>
              <w:jc w:val="center"/>
              <w:rPr>
                <w:rFonts w:ascii="宋体"/>
                <w:sz w:val="21"/>
                <w:szCs w:val="21"/>
              </w:rPr>
            </w:pPr>
            <w:r>
              <w:rPr>
                <w:rFonts w:hint="eastAsia" w:ascii="宋体" w:hAnsi="宋体"/>
                <w:bCs/>
                <w:color w:val="000000"/>
                <w:kern w:val="24"/>
                <w:sz w:val="21"/>
                <w:szCs w:val="21"/>
              </w:rPr>
              <w:t>√</w:t>
            </w:r>
          </w:p>
        </w:tc>
      </w:tr>
    </w:tbl>
    <w:p>
      <w:pPr>
        <w:ind w:left="851"/>
      </w:pPr>
      <w:r>
        <w:rPr>
          <w:rFonts w:hint="eastAsia"/>
        </w:rPr>
        <w:t>注：“√”表示应有的设施，“○”表示可根据具体情况选择，“</w:t>
      </w:r>
      <w:r>
        <w:t>—</w:t>
      </w:r>
      <w:r>
        <w:rPr>
          <w:rFonts w:hint="eastAsia"/>
        </w:rPr>
        <w:t>”表示可无的设施。</w:t>
      </w:r>
    </w:p>
    <w:p>
      <w:pPr>
        <w:pStyle w:val="3"/>
      </w:pPr>
      <w:bookmarkStart w:id="53" w:name="_Toc470624702"/>
      <w:bookmarkStart w:id="54" w:name="_Toc454207072"/>
      <w:r>
        <w:rPr>
          <w:rFonts w:hint="eastAsia"/>
        </w:rPr>
        <w:t>功能设施设计要求</w:t>
      </w:r>
      <w:bookmarkEnd w:id="53"/>
      <w:bookmarkEnd w:id="54"/>
    </w:p>
    <w:p>
      <w:pPr>
        <w:pStyle w:val="4"/>
      </w:pPr>
      <w:bookmarkStart w:id="55" w:name="_Ref454117327"/>
      <w:r>
        <w:rPr>
          <w:rFonts w:hint="eastAsia"/>
        </w:rPr>
        <w:t>回车道</w:t>
      </w:r>
      <w:bookmarkEnd w:id="55"/>
    </w:p>
    <w:p>
      <w:pPr>
        <w:pStyle w:val="5"/>
      </w:pPr>
      <w:bookmarkStart w:id="56" w:name="_Ref454032547"/>
      <w:r>
        <w:rPr>
          <w:rFonts w:hint="eastAsia"/>
        </w:rPr>
        <w:t>直行段宽度应不小于</w:t>
      </w:r>
      <w:r>
        <w:t>7m</w:t>
      </w:r>
      <w:r>
        <w:rPr>
          <w:rFonts w:hint="eastAsia"/>
        </w:rPr>
        <w:t>，转弯段的宽度宜适当增加。</w:t>
      </w:r>
      <w:bookmarkEnd w:id="56"/>
    </w:p>
    <w:p>
      <w:pPr>
        <w:pStyle w:val="5"/>
      </w:pPr>
      <w:bookmarkStart w:id="57" w:name="_Ref454032520"/>
      <w:r>
        <w:rPr>
          <w:rFonts w:hint="eastAsia"/>
        </w:rPr>
        <w:t>转弯段应满足车辆转弯半径的技术要求，最小转弯半径应符合《城市道路工程设计规范》（</w:t>
      </w:r>
      <w:r>
        <w:t>CJJ37-2012</w:t>
      </w:r>
      <w:r>
        <w:rPr>
          <w:rFonts w:hint="eastAsia"/>
        </w:rPr>
        <w:t>）的规定。</w:t>
      </w:r>
      <w:bookmarkEnd w:id="57"/>
    </w:p>
    <w:p>
      <w:pPr>
        <w:pStyle w:val="5"/>
      </w:pPr>
      <w:r>
        <w:rPr>
          <w:rFonts w:hint="eastAsia"/>
        </w:rPr>
        <w:t>在公共交通用地较困难的地方，回车道可利用就近街道，以节约用地。</w:t>
      </w:r>
    </w:p>
    <w:p>
      <w:pPr>
        <w:pStyle w:val="4"/>
      </w:pPr>
      <w:bookmarkStart w:id="58" w:name="_Ref454031225"/>
      <w:r>
        <w:rPr>
          <w:rFonts w:hint="eastAsia"/>
        </w:rPr>
        <w:t>到发车位</w:t>
      </w:r>
      <w:bookmarkEnd w:id="58"/>
    </w:p>
    <w:p>
      <w:pPr>
        <w:pStyle w:val="5"/>
      </w:pPr>
      <w:r>
        <w:rPr>
          <w:rFonts w:hint="eastAsia"/>
        </w:rPr>
        <w:t>到发车位应提供车辆到达轮候与发车的功能，每条线路宜满足</w:t>
      </w:r>
      <w:r>
        <w:t>3</w:t>
      </w:r>
      <w:r>
        <w:rPr>
          <w:rFonts w:hint="eastAsia"/>
        </w:rPr>
        <w:t>辆车同时等候发车。</w:t>
      </w:r>
    </w:p>
    <w:p>
      <w:pPr>
        <w:pStyle w:val="5"/>
      </w:pPr>
      <w:r>
        <w:rPr>
          <w:rFonts w:hint="eastAsia"/>
        </w:rPr>
        <w:t>到发车位有直列式和锯齿式两种形式，优先选用直列式到发车位。直列式到发车位</w:t>
      </w:r>
      <w:r>
        <w:t xml:space="preserve"> </w:t>
      </w:r>
      <w:r>
        <w:rPr>
          <w:rFonts w:hint="eastAsia"/>
        </w:rPr>
        <w:t>宽度宜为</w:t>
      </w:r>
      <w:r>
        <w:t>3.5m</w:t>
      </w:r>
      <w:r>
        <w:rPr>
          <w:rFonts w:hint="eastAsia"/>
        </w:rPr>
        <w:t>，车辆间应设置安全距离</w:t>
      </w:r>
      <w:r>
        <w:t>3m</w:t>
      </w:r>
      <w:r>
        <w:rPr>
          <w:rFonts w:hint="eastAsia"/>
        </w:rPr>
        <w:t>；锯齿式到发车位宽度宜为</w:t>
      </w:r>
      <w:r>
        <w:t>3m</w:t>
      </w:r>
      <w:r>
        <w:rPr>
          <w:rFonts w:hint="eastAsia"/>
        </w:rPr>
        <w:t>，长度宜为</w:t>
      </w:r>
      <w:r>
        <w:t>13.5m</w:t>
      </w:r>
      <w:r>
        <w:rPr>
          <w:rFonts w:hint="eastAsia"/>
        </w:rPr>
        <w:t>，车位间隔宜为</w:t>
      </w:r>
      <w:r>
        <w:t>4.5m</w:t>
      </w:r>
      <w:r>
        <w:rPr>
          <w:rFonts w:hint="eastAsia"/>
        </w:rPr>
        <w:t>。到发车位的具体形式与尺寸参见附图</w:t>
      </w:r>
      <w:r>
        <w:t>2</w:t>
      </w:r>
      <w:r>
        <w:rPr>
          <w:rFonts w:hint="eastAsia"/>
        </w:rPr>
        <w:t>。</w:t>
      </w:r>
    </w:p>
    <w:p>
      <w:pPr>
        <w:pStyle w:val="4"/>
      </w:pPr>
      <w:bookmarkStart w:id="59" w:name="_Ref454031209"/>
      <w:r>
        <w:rPr>
          <w:rFonts w:hint="eastAsia"/>
        </w:rPr>
        <w:t>停车坪</w:t>
      </w:r>
      <w:bookmarkEnd w:id="59"/>
    </w:p>
    <w:p>
      <w:pPr>
        <w:pStyle w:val="5"/>
      </w:pPr>
      <w:bookmarkStart w:id="60" w:name="_Ref454118530"/>
      <w:r>
        <w:rPr>
          <w:rFonts w:hint="eastAsia"/>
        </w:rPr>
        <w:t>远离停保场、综合车场或首班车客运需求较大的配建首末站应建设停车坪。</w:t>
      </w:r>
      <w:bookmarkEnd w:id="60"/>
    </w:p>
    <w:p>
      <w:pPr>
        <w:pStyle w:val="5"/>
      </w:pPr>
      <w:r>
        <w:rPr>
          <w:rFonts w:hint="eastAsia"/>
        </w:rPr>
        <w:t>公交车停放方式分平行式、垂直式和斜列式三种，公共汽车停放宜采用垂直式或斜列式，边角用地可根据具体情况灵活使用。</w:t>
      </w:r>
    </w:p>
    <w:p>
      <w:pPr>
        <w:pStyle w:val="5"/>
      </w:pPr>
      <w:r>
        <w:rPr>
          <w:rFonts w:hint="eastAsia"/>
        </w:rPr>
        <w:t>公交车的停车位尺寸应符合《城市道路工程设计规范》（</w:t>
      </w:r>
      <w:r>
        <w:t>CJJ37-2012</w:t>
      </w:r>
      <w:r>
        <w:rPr>
          <w:rFonts w:hint="eastAsia"/>
        </w:rPr>
        <w:t>）的规定。</w:t>
      </w:r>
    </w:p>
    <w:p>
      <w:pPr>
        <w:pStyle w:val="5"/>
      </w:pPr>
      <w:bookmarkStart w:id="61" w:name="_Ref454118599"/>
      <w:r>
        <w:rPr>
          <w:rFonts w:hint="eastAsia"/>
        </w:rPr>
        <w:t>停车坪应有明显的车位标志、行驶方向标志及其他营运标志。</w:t>
      </w:r>
      <w:bookmarkEnd w:id="61"/>
    </w:p>
    <w:p>
      <w:pPr>
        <w:pStyle w:val="4"/>
      </w:pPr>
      <w:bookmarkStart w:id="62" w:name="_Ref454118768"/>
      <w:r>
        <w:rPr>
          <w:rFonts w:hint="eastAsia"/>
        </w:rPr>
        <w:t>出入口</w:t>
      </w:r>
      <w:bookmarkEnd w:id="62"/>
    </w:p>
    <w:p>
      <w:pPr>
        <w:pStyle w:val="5"/>
      </w:pPr>
      <w:bookmarkStart w:id="63" w:name="_Ref464508659"/>
      <w:r>
        <w:rPr>
          <w:rFonts w:hint="eastAsia"/>
        </w:rPr>
        <w:t>车辆出口和入口宜分开设置，宽度应为</w:t>
      </w:r>
      <w:r>
        <w:t>7.5~10m</w:t>
      </w:r>
      <w:r>
        <w:rPr>
          <w:rFonts w:hint="eastAsia"/>
        </w:rPr>
        <w:t>，若合并设置，宽度不宜小于</w:t>
      </w:r>
      <w:r>
        <w:t>12m</w:t>
      </w:r>
      <w:r>
        <w:rPr>
          <w:rFonts w:hint="eastAsia"/>
        </w:rPr>
        <w:t>。</w:t>
      </w:r>
      <w:bookmarkEnd w:id="63"/>
      <w:r>
        <w:rPr>
          <w:rFonts w:hint="eastAsia"/>
        </w:rPr>
        <w:t>为便于车辆进出，出入口转弯半径不小于</w:t>
      </w:r>
      <w:r>
        <w:t>12m</w:t>
      </w:r>
      <w:r>
        <w:rPr>
          <w:rFonts w:hint="eastAsia"/>
        </w:rPr>
        <w:t>。</w:t>
      </w:r>
    </w:p>
    <w:p>
      <w:pPr>
        <w:pStyle w:val="5"/>
      </w:pPr>
      <w:r>
        <w:rPr>
          <w:rFonts w:hint="eastAsia"/>
        </w:rPr>
        <w:t>车辆出入口宜与乘客出入口分开设置，安全距离宜不小于</w:t>
      </w:r>
      <w:r>
        <w:t>5m</w:t>
      </w:r>
      <w:r>
        <w:rPr>
          <w:rFonts w:hint="eastAsia"/>
        </w:rPr>
        <w:t>，若合并设置，应用物理分隔。</w:t>
      </w:r>
    </w:p>
    <w:p>
      <w:pPr>
        <w:pStyle w:val="5"/>
      </w:pPr>
      <w:bookmarkStart w:id="64" w:name="_Ref453949590"/>
      <w:r>
        <w:rPr>
          <w:rFonts w:hint="eastAsia"/>
        </w:rPr>
        <w:t>车辆出入口宜设置在次干道或支路上，不宜直接设在主干道或快速路上，并应避免靠近平面交叉口。</w:t>
      </w:r>
      <w:bookmarkEnd w:id="64"/>
    </w:p>
    <w:p>
      <w:pPr>
        <w:pStyle w:val="5"/>
      </w:pPr>
      <w:bookmarkStart w:id="65" w:name="_Ref453949592"/>
      <w:r>
        <w:rPr>
          <w:rFonts w:hint="eastAsia"/>
        </w:rPr>
        <w:t>站场出入口与城市人行过街天桥、地下通道、桥梁等引道口的距离宜大于</w:t>
      </w:r>
      <w:r>
        <w:t>80m</w:t>
      </w:r>
      <w:r>
        <w:rPr>
          <w:rFonts w:hint="eastAsia"/>
        </w:rPr>
        <w:t>。</w:t>
      </w:r>
      <w:bookmarkEnd w:id="65"/>
    </w:p>
    <w:p>
      <w:pPr>
        <w:pStyle w:val="5"/>
      </w:pPr>
      <w:bookmarkStart w:id="66" w:name="_Ref454031387"/>
      <w:r>
        <w:rPr>
          <w:rFonts w:hint="eastAsia"/>
        </w:rPr>
        <w:t>条件允许的站场，宜将出入口布置在不同道路上。</w:t>
      </w:r>
      <w:bookmarkEnd w:id="66"/>
    </w:p>
    <w:p>
      <w:pPr>
        <w:pStyle w:val="5"/>
      </w:pPr>
      <w:bookmarkStart w:id="67" w:name="_Ref454032591"/>
      <w:r>
        <w:rPr>
          <w:rFonts w:hint="eastAsia"/>
        </w:rPr>
        <w:t>车辆出入口必须设置明显的标志标线和指示牌。</w:t>
      </w:r>
      <w:bookmarkEnd w:id="67"/>
    </w:p>
    <w:p>
      <w:pPr>
        <w:pStyle w:val="4"/>
      </w:pPr>
      <w:bookmarkStart w:id="68" w:name="_Ref454118819"/>
      <w:r>
        <w:rPr>
          <w:rFonts w:hint="eastAsia"/>
        </w:rPr>
        <w:t>站台</w:t>
      </w:r>
      <w:bookmarkEnd w:id="68"/>
    </w:p>
    <w:p>
      <w:pPr>
        <w:pStyle w:val="5"/>
      </w:pPr>
      <w:r>
        <w:rPr>
          <w:rFonts w:hint="eastAsia"/>
        </w:rPr>
        <w:t>应根据场地条件、客流需求、运营要求、换乘设置等情况选择合理的站台型式，且应结合建筑柱网形式设置。</w:t>
      </w:r>
    </w:p>
    <w:p>
      <w:pPr>
        <w:pStyle w:val="5"/>
      </w:pPr>
      <w:r>
        <w:rPr>
          <w:rFonts w:hint="eastAsia"/>
        </w:rPr>
        <w:t>直列式站台应设置超车道；锯齿式站台的设置应不影响后车超车要求。</w:t>
      </w:r>
    </w:p>
    <w:p>
      <w:pPr>
        <w:pStyle w:val="5"/>
      </w:pPr>
      <w:bookmarkStart w:id="69" w:name="_Ref454031514"/>
      <w:r>
        <w:rPr>
          <w:rFonts w:hint="eastAsia"/>
        </w:rPr>
        <w:t>站台宽度不宜小于</w:t>
      </w:r>
      <w:r>
        <w:t>2m</w:t>
      </w:r>
      <w:r>
        <w:rPr>
          <w:rFonts w:hint="eastAsia"/>
        </w:rPr>
        <w:t>，且应高出地面</w:t>
      </w:r>
      <w:r>
        <w:t>0.2m</w:t>
      </w:r>
      <w:r>
        <w:rPr>
          <w:rFonts w:hint="eastAsia"/>
        </w:rPr>
        <w:t>，站台长度应至少满足</w:t>
      </w:r>
      <w:r>
        <w:t>1</w:t>
      </w:r>
      <w:r>
        <w:rPr>
          <w:rFonts w:hint="eastAsia"/>
        </w:rPr>
        <w:t>辆公交车的停靠需求，不应小于</w:t>
      </w:r>
      <w:r>
        <w:t>15m</w:t>
      </w:r>
      <w:r>
        <w:rPr>
          <w:rFonts w:hint="eastAsia"/>
        </w:rPr>
        <w:t>。站台可设置隔离护栏，护栏离站台边线净距不宜小于</w:t>
      </w:r>
      <w:r>
        <w:t>0.25m</w:t>
      </w:r>
      <w:r>
        <w:rPr>
          <w:rFonts w:hint="eastAsia"/>
        </w:rPr>
        <w:t>，护栏预留登车口宽度</w:t>
      </w:r>
      <w:r>
        <w:t>1.0m</w:t>
      </w:r>
      <w:r>
        <w:rPr>
          <w:rFonts w:hint="eastAsia"/>
        </w:rPr>
        <w:t>，护栏高度不应小于</w:t>
      </w:r>
      <w:r>
        <w:t>0.9m</w:t>
      </w:r>
      <w:r>
        <w:rPr>
          <w:rFonts w:hint="eastAsia"/>
        </w:rPr>
        <w:t>。</w:t>
      </w:r>
      <w:bookmarkEnd w:id="69"/>
    </w:p>
    <w:p>
      <w:pPr>
        <w:pStyle w:val="5"/>
      </w:pPr>
      <w:bookmarkStart w:id="70" w:name="_Ref454031657"/>
      <w:r>
        <w:rPr>
          <w:rFonts w:hint="eastAsia"/>
        </w:rPr>
        <w:t>通道式站台的长度不宜超过</w:t>
      </w:r>
      <w:r>
        <w:t>39m</w:t>
      </w:r>
      <w:r>
        <w:rPr>
          <w:rFonts w:hint="eastAsia"/>
        </w:rPr>
        <w:t>，即两个标准车位和三个安全距离之和。</w:t>
      </w:r>
      <w:bookmarkEnd w:id="70"/>
    </w:p>
    <w:p>
      <w:pPr>
        <w:pStyle w:val="5"/>
      </w:pPr>
      <w:bookmarkStart w:id="71" w:name="_Ref454118874"/>
      <w:r>
        <w:rPr>
          <w:rFonts w:hint="eastAsia"/>
        </w:rPr>
        <w:t>站台宜适量设置座椅，无盖站场的站台应设置候车廊。站台上应因地制宜地设置候车设施和行人通道。可在站台上设置自动扶梯与上盖建筑物相连。具体设置参见附图</w:t>
      </w:r>
      <w:r>
        <w:t>3</w:t>
      </w:r>
      <w:r>
        <w:rPr>
          <w:rFonts w:hint="eastAsia"/>
        </w:rPr>
        <w:t>。</w:t>
      </w:r>
      <w:bookmarkEnd w:id="71"/>
    </w:p>
    <w:p>
      <w:pPr>
        <w:pStyle w:val="5"/>
      </w:pPr>
      <w:r>
        <w:rPr>
          <w:rFonts w:hint="eastAsia"/>
        </w:rPr>
        <w:t>换乘枢纽站台应设置空调或风扇等降温设施，满足乘客舒适候车需求。</w:t>
      </w:r>
    </w:p>
    <w:p>
      <w:pPr>
        <w:pStyle w:val="4"/>
      </w:pPr>
      <w:bookmarkStart w:id="72" w:name="_Ref454119258"/>
      <w:r>
        <w:rPr>
          <w:rFonts w:hint="eastAsia"/>
        </w:rPr>
        <w:t>候车设施</w:t>
      </w:r>
      <w:bookmarkEnd w:id="72"/>
    </w:p>
    <w:p>
      <w:pPr>
        <w:pStyle w:val="5"/>
      </w:pPr>
      <w:r>
        <w:rPr>
          <w:rFonts w:hint="eastAsia"/>
        </w:rPr>
        <w:t>候车亭的建筑式样、材料、颜色等可根据本地的建筑特点和特定环境特征设计，宜实用与外形美相结合。</w:t>
      </w:r>
    </w:p>
    <w:p>
      <w:pPr>
        <w:pStyle w:val="5"/>
      </w:pPr>
      <w:bookmarkStart w:id="73" w:name="_Ref454032329"/>
      <w:r>
        <w:rPr>
          <w:rFonts w:hint="eastAsia"/>
        </w:rPr>
        <w:t>候车区域应具有照明、通风设备，有条件可设置风扇、空调等降温设施。</w:t>
      </w:r>
      <w:bookmarkEnd w:id="73"/>
    </w:p>
    <w:p>
      <w:pPr>
        <w:pStyle w:val="5"/>
      </w:pPr>
      <w:bookmarkStart w:id="74" w:name="_Ref454031548"/>
      <w:r>
        <w:rPr>
          <w:rFonts w:hint="eastAsia"/>
        </w:rPr>
        <w:t>候车亭高度不宜低于</w:t>
      </w:r>
      <w:r>
        <w:t>2.5m</w:t>
      </w:r>
      <w:r>
        <w:rPr>
          <w:rFonts w:hint="eastAsia"/>
        </w:rPr>
        <w:t>，候车亭顶棚宽度不宜小于</w:t>
      </w:r>
      <w:r>
        <w:t>1.5m</w:t>
      </w:r>
      <w:r>
        <w:rPr>
          <w:rFonts w:hint="eastAsia"/>
        </w:rPr>
        <w:t>，且与站台边线竖向缩进距离不应小于</w:t>
      </w:r>
      <w:r>
        <w:t>0.25m</w:t>
      </w:r>
      <w:bookmarkEnd w:id="74"/>
    </w:p>
    <w:p>
      <w:pPr>
        <w:pStyle w:val="5"/>
      </w:pPr>
      <w:r>
        <w:rPr>
          <w:rFonts w:hint="eastAsia"/>
        </w:rPr>
        <w:t>独立站牌底边距地面不应小于</w:t>
      </w:r>
      <w:r>
        <w:t>1.70m</w:t>
      </w:r>
      <w:r>
        <w:rPr>
          <w:rFonts w:hint="eastAsia"/>
        </w:rPr>
        <w:t>；集合站牌最上面单元站牌顶边距地面的距离不应大于</w:t>
      </w:r>
      <w:r>
        <w:t>2.20m</w:t>
      </w:r>
      <w:r>
        <w:rPr>
          <w:rFonts w:hint="eastAsia"/>
        </w:rPr>
        <w:t>，最小面单元站牌的底边距地面的距离不应小于</w:t>
      </w:r>
      <w:r>
        <w:t>0.40m</w:t>
      </w:r>
      <w:r>
        <w:rPr>
          <w:rFonts w:hint="eastAsia"/>
        </w:rPr>
        <w:t>。</w:t>
      </w:r>
    </w:p>
    <w:p>
      <w:pPr>
        <w:pStyle w:val="5"/>
      </w:pPr>
      <w:bookmarkStart w:id="75" w:name="_Ref464509152"/>
      <w:r>
        <w:rPr>
          <w:rFonts w:hint="eastAsia"/>
        </w:rPr>
        <w:t>应在显著位置设置公共信息导向系统，提供行人导向标志、实时乘客服务信息、换乘信息、周边区域地图等，条件许可时宜建电子信息显示服务系统。</w:t>
      </w:r>
      <w:bookmarkEnd w:id="75"/>
    </w:p>
    <w:p>
      <w:pPr>
        <w:pStyle w:val="5"/>
      </w:pPr>
      <w:r>
        <w:rPr>
          <w:rFonts w:hint="eastAsia"/>
        </w:rPr>
        <w:t>有条件可设置交通卡自助服务设施。</w:t>
      </w:r>
    </w:p>
    <w:p>
      <w:pPr>
        <w:pStyle w:val="5"/>
      </w:pPr>
      <w:r>
        <w:rPr>
          <w:rFonts w:hint="eastAsia"/>
        </w:rPr>
        <w:t>鼓励建筑物内部设置楼梯、扶梯或电梯直接与配建公交站场内部候车区相连。</w:t>
      </w:r>
    </w:p>
    <w:p>
      <w:pPr>
        <w:pStyle w:val="4"/>
      </w:pPr>
      <w:bookmarkStart w:id="76" w:name="_Ref454119379"/>
      <w:r>
        <w:rPr>
          <w:rFonts w:hint="eastAsia"/>
        </w:rPr>
        <w:t>行人通道</w:t>
      </w:r>
      <w:bookmarkEnd w:id="76"/>
    </w:p>
    <w:p>
      <w:pPr>
        <w:pStyle w:val="5"/>
      </w:pPr>
      <w:bookmarkStart w:id="77" w:name="_Ref454032349"/>
      <w:r>
        <w:rPr>
          <w:rFonts w:hint="eastAsia"/>
        </w:rPr>
        <w:t>应设置连续平顺的行人通道与站内候车设施和出入口、外部道路人行设施（天桥、过街地道、人行道等）以及上盖建筑相连。行人通道宽度不宜小于</w:t>
      </w:r>
      <w:r>
        <w:t>3m</w:t>
      </w:r>
      <w:r>
        <w:rPr>
          <w:rFonts w:hint="eastAsia"/>
        </w:rPr>
        <w:t>。</w:t>
      </w:r>
      <w:bookmarkEnd w:id="77"/>
    </w:p>
    <w:p>
      <w:pPr>
        <w:pStyle w:val="5"/>
      </w:pPr>
      <w:r>
        <w:rPr>
          <w:rFonts w:hint="eastAsia"/>
        </w:rPr>
        <w:t>人行出入口应通过人行通道与邻近物业及市政人行道连接，人行出入口的宽度不应小于</w:t>
      </w:r>
      <w:r>
        <w:t>2m</w:t>
      </w:r>
      <w:r>
        <w:rPr>
          <w:rFonts w:hint="eastAsia"/>
        </w:rPr>
        <w:t>。</w:t>
      </w:r>
    </w:p>
    <w:p>
      <w:pPr>
        <w:pStyle w:val="5"/>
      </w:pPr>
      <w:bookmarkStart w:id="78" w:name="_Ref454032480"/>
      <w:r>
        <w:rPr>
          <w:rFonts w:hint="eastAsia"/>
        </w:rPr>
        <w:t>人行通道与车行道间应设置隔离护栏，护栏高度不应小于</w:t>
      </w:r>
      <w:r>
        <w:t>0.9m</w:t>
      </w:r>
      <w:r>
        <w:rPr>
          <w:rFonts w:hint="eastAsia"/>
        </w:rPr>
        <w:t>。</w:t>
      </w:r>
      <w:bookmarkEnd w:id="78"/>
    </w:p>
    <w:p>
      <w:pPr>
        <w:pStyle w:val="5"/>
      </w:pPr>
      <w:r>
        <w:rPr>
          <w:rFonts w:hint="eastAsia"/>
        </w:rPr>
        <w:t>每</w:t>
      </w:r>
      <w:r>
        <w:t>2-3</w:t>
      </w:r>
      <w:r>
        <w:rPr>
          <w:rFonts w:hint="eastAsia"/>
        </w:rPr>
        <w:t>个到发车位宜设置一个过街设施，且合理设置防护栏、地面高度、导向标志</w:t>
      </w:r>
      <w:r>
        <w:t xml:space="preserve"> </w:t>
      </w:r>
      <w:r>
        <w:rPr>
          <w:rFonts w:hint="eastAsia"/>
        </w:rPr>
        <w:t>及其他设施，引导乘客使用设计的行人路径。</w:t>
      </w:r>
    </w:p>
    <w:p>
      <w:pPr>
        <w:pStyle w:val="5"/>
      </w:pPr>
      <w:r>
        <w:rPr>
          <w:rFonts w:hint="eastAsia"/>
        </w:rPr>
        <w:t>鼓励建筑物内部设置楼梯、扶梯或电梯直接与配建公交站场内部候车区相连。</w:t>
      </w:r>
    </w:p>
    <w:p>
      <w:pPr>
        <w:pStyle w:val="5"/>
      </w:pPr>
      <w:r>
        <w:rPr>
          <w:rFonts w:hint="eastAsia"/>
        </w:rPr>
        <w:t>过街点应设置缘石坡道，平顺行人通道与车行道的过渡。</w:t>
      </w:r>
    </w:p>
    <w:p>
      <w:pPr>
        <w:pStyle w:val="4"/>
      </w:pPr>
      <w:bookmarkStart w:id="79" w:name="_Ref454119611"/>
      <w:r>
        <w:rPr>
          <w:rFonts w:hint="eastAsia"/>
        </w:rPr>
        <w:t>无障碍设施</w:t>
      </w:r>
      <w:bookmarkEnd w:id="79"/>
    </w:p>
    <w:p>
      <w:pPr>
        <w:pStyle w:val="5"/>
      </w:pPr>
      <w:r>
        <w:rPr>
          <w:rFonts w:hint="eastAsia"/>
        </w:rPr>
        <w:t>应设置坡道、盲道等无障碍设施，实现无障碍通行。</w:t>
      </w:r>
    </w:p>
    <w:p>
      <w:pPr>
        <w:pStyle w:val="5"/>
      </w:pPr>
      <w:r>
        <w:rPr>
          <w:rFonts w:hint="eastAsia"/>
        </w:rPr>
        <w:t>站台有效通行宽度不应小于</w:t>
      </w:r>
      <w:r>
        <w:t>1.5m</w:t>
      </w:r>
      <w:r>
        <w:rPr>
          <w:rFonts w:hint="eastAsia"/>
        </w:rPr>
        <w:t>。</w:t>
      </w:r>
    </w:p>
    <w:p>
      <w:pPr>
        <w:pStyle w:val="5"/>
      </w:pPr>
      <w:bookmarkStart w:id="80" w:name="_Ref464508776"/>
      <w:r>
        <w:rPr>
          <w:rFonts w:hint="eastAsia"/>
        </w:rPr>
        <w:t>站台宜为使用轮椅的乘客设置候车位和无障碍的连续通道。单个轮椅候车位面积为</w:t>
      </w:r>
      <w:r>
        <w:t>2m</w:t>
      </w:r>
      <w:r>
        <w:rPr>
          <w:vertAlign w:val="superscript"/>
        </w:rPr>
        <w:t>2</w:t>
      </w:r>
      <w:r>
        <w:rPr>
          <w:rFonts w:hint="eastAsia"/>
        </w:rPr>
        <w:t>（</w:t>
      </w:r>
      <w:r>
        <w:t>1.4m</w:t>
      </w:r>
      <w:r>
        <w:rPr>
          <w:rFonts w:hint="eastAsia"/>
        </w:rPr>
        <w:t>×</w:t>
      </w:r>
      <w:r>
        <w:t>1.4m</w:t>
      </w:r>
      <w:r>
        <w:rPr>
          <w:rFonts w:hint="eastAsia"/>
        </w:rPr>
        <w:t>）。</w:t>
      </w:r>
      <w:bookmarkEnd w:id="80"/>
    </w:p>
    <w:p>
      <w:pPr>
        <w:pStyle w:val="4"/>
      </w:pPr>
      <w:bookmarkStart w:id="81" w:name="_Ref454031177"/>
      <w:r>
        <w:rPr>
          <w:rFonts w:hint="eastAsia"/>
        </w:rPr>
        <w:t>站务用房</w:t>
      </w:r>
      <w:bookmarkEnd w:id="81"/>
    </w:p>
    <w:p>
      <w:pPr>
        <w:pStyle w:val="5"/>
      </w:pPr>
      <w:r>
        <w:rPr>
          <w:rFonts w:hint="eastAsia"/>
        </w:rPr>
        <w:t>站务用房应根据配建公交站场的用地条件、建筑类型、平面布局等灵活布置，宜与建筑物相融合，集约节约地利用站场空间资源。</w:t>
      </w:r>
    </w:p>
    <w:p>
      <w:pPr>
        <w:pStyle w:val="5"/>
      </w:pPr>
      <w:bookmarkStart w:id="82" w:name="_Ref464508696"/>
      <w:r>
        <w:rPr>
          <w:rFonts w:hint="eastAsia"/>
        </w:rPr>
        <w:t>站务用房应在保证其它设施布局要求前提下合理布置，宜临近停车区，方便司乘人员进出及调度管理，减少场内人车干扰。</w:t>
      </w:r>
      <w:bookmarkEnd w:id="82"/>
    </w:p>
    <w:p>
      <w:pPr>
        <w:pStyle w:val="5"/>
      </w:pPr>
      <w:r>
        <w:rPr>
          <w:rFonts w:hint="eastAsia"/>
        </w:rPr>
        <w:t>若站务用房按照两层型式建设，其中调度室、休息室、卫生间和配电室等用房应设置在一层，其他站务用房可布置在二层。</w:t>
      </w:r>
    </w:p>
    <w:p>
      <w:pPr>
        <w:pStyle w:val="5"/>
      </w:pPr>
      <w:bookmarkStart w:id="83" w:name="_Ref464508883"/>
      <w:r>
        <w:rPr>
          <w:rFonts w:hint="eastAsia"/>
        </w:rPr>
        <w:t>站场须配置调度管理用房，面积不宜小于</w:t>
      </w:r>
      <w:r>
        <w:t>20m</w:t>
      </w:r>
      <w:r>
        <w:rPr>
          <w:vertAlign w:val="superscript"/>
        </w:rPr>
        <w:t>2</w:t>
      </w:r>
      <w:r>
        <w:rPr>
          <w:rFonts w:hint="eastAsia"/>
        </w:rPr>
        <w:t>，每增加</w:t>
      </w:r>
      <w:r>
        <w:t>3</w:t>
      </w:r>
      <w:r>
        <w:rPr>
          <w:rFonts w:hint="eastAsia"/>
        </w:rPr>
        <w:t>条公交线路需至少增加</w:t>
      </w:r>
      <w:r>
        <w:t>10m</w:t>
      </w:r>
      <w:r>
        <w:rPr>
          <w:vertAlign w:val="superscript"/>
        </w:rPr>
        <w:t>2</w:t>
      </w:r>
      <w:r>
        <w:rPr>
          <w:rFonts w:hint="eastAsia"/>
        </w:rPr>
        <w:t>。调度室须与车辆运行区在同一平面上，宜将调度室布置在站内视野较好的位置，方便对公交车辆的调度管理和突发事件的及时响应。</w:t>
      </w:r>
      <w:bookmarkEnd w:id="83"/>
    </w:p>
    <w:p>
      <w:pPr>
        <w:pStyle w:val="5"/>
      </w:pPr>
      <w:r>
        <w:rPr>
          <w:rFonts w:hint="eastAsia"/>
        </w:rPr>
        <w:t>上盖建筑设计应考虑兼顾配建公交站场的服务配套设施功能，如：配建公交站场的公共厕所可与上盖建筑共用，公共厕所可设置在建筑物的其他站外空间，并在站内明显的位置设置相应的指引标志。</w:t>
      </w:r>
    </w:p>
    <w:p>
      <w:pPr>
        <w:pStyle w:val="5"/>
      </w:pPr>
      <w:r>
        <w:rPr>
          <w:rFonts w:hint="eastAsia"/>
        </w:rPr>
        <w:t>监控室、休息室、茶水间等后勤服务用房可结合配建公交站场用地大小与实际需求配置，监控室可与调度室共用，以节约用地。</w:t>
      </w:r>
    </w:p>
    <w:p>
      <w:pPr>
        <w:pStyle w:val="4"/>
      </w:pPr>
      <w:bookmarkStart w:id="84" w:name="_Ref454119969"/>
      <w:r>
        <w:rPr>
          <w:rFonts w:hint="eastAsia"/>
        </w:rPr>
        <w:t>充电设施</w:t>
      </w:r>
      <w:bookmarkEnd w:id="84"/>
    </w:p>
    <w:p>
      <w:pPr>
        <w:pStyle w:val="5"/>
      </w:pPr>
      <w:bookmarkStart w:id="85" w:name="_Ref454033022"/>
      <w:r>
        <w:rPr>
          <w:rFonts w:hint="eastAsia"/>
        </w:rPr>
        <w:t>应预留充电设施建设安装条件，包括配电设施空间预留、变压器放置空间预留、充电桩放置空间预留、相关管线通道预留等；各区可根据实际情况在地块规划条件中明确充电设施的建设或预留条件要求</w:t>
      </w:r>
      <w:bookmarkEnd w:id="85"/>
      <w:r>
        <w:rPr>
          <w:rFonts w:hint="eastAsia"/>
        </w:rPr>
        <w:t>；配电房可结合站务用房一并设置。</w:t>
      </w:r>
    </w:p>
    <w:p>
      <w:pPr>
        <w:pStyle w:val="5"/>
      </w:pPr>
      <w:r>
        <w:rPr>
          <w:rFonts w:hint="eastAsia"/>
        </w:rPr>
        <w:t>配建公交站场需根据停靠车辆数布设充电桩，原则上停车坪的每个停车位（不含到发车位）需配套</w:t>
      </w:r>
      <w:r>
        <w:t>1</w:t>
      </w:r>
      <w:r>
        <w:rPr>
          <w:rFonts w:hint="eastAsia"/>
        </w:rPr>
        <w:t>个充电桩。此外，根据运营需要，每条线路设置</w:t>
      </w:r>
      <w:r>
        <w:t>1</w:t>
      </w:r>
      <w:r>
        <w:rPr>
          <w:rFonts w:hint="eastAsia"/>
        </w:rPr>
        <w:t>个快充充电桩车位。</w:t>
      </w:r>
    </w:p>
    <w:p>
      <w:pPr>
        <w:pStyle w:val="4"/>
      </w:pPr>
      <w:bookmarkStart w:id="86" w:name="_Ref454120391"/>
      <w:r>
        <w:rPr>
          <w:rFonts w:hint="eastAsia"/>
        </w:rPr>
        <w:t>安保系统</w:t>
      </w:r>
      <w:bookmarkEnd w:id="86"/>
    </w:p>
    <w:p>
      <w:pPr>
        <w:pStyle w:val="5"/>
      </w:pPr>
      <w:r>
        <w:rPr>
          <w:rFonts w:hint="eastAsia"/>
        </w:rPr>
        <w:t>配建公交站场安保系统前端功能设施宜包括：视音频安防监控、入侵报警和紧急报警设施。</w:t>
      </w:r>
    </w:p>
    <w:p>
      <w:pPr>
        <w:pStyle w:val="5"/>
      </w:pPr>
      <w:r>
        <w:rPr>
          <w:rFonts w:hint="eastAsia"/>
        </w:rPr>
        <w:t>应监控区域的图像覆盖率应满足无盲区覆盖的要求，在低照度情况下宜选用高灵敏度摄像机和辅助光源。</w:t>
      </w:r>
    </w:p>
    <w:p>
      <w:pPr>
        <w:pStyle w:val="5"/>
      </w:pPr>
      <w:r>
        <w:rPr>
          <w:rFonts w:hint="eastAsia"/>
        </w:rPr>
        <w:t>配建公交站场财务室、票务室、专用控制室内，应在适当位置设置摄像机，对准工作区域，并设置手动紧急报警按钮</w:t>
      </w:r>
    </w:p>
    <w:p>
      <w:pPr>
        <w:pStyle w:val="5"/>
      </w:pPr>
      <w:bookmarkStart w:id="87" w:name="_Ref454033110"/>
      <w:r>
        <w:rPr>
          <w:rFonts w:hint="eastAsia"/>
        </w:rPr>
        <w:t>配建公交站场周界视具体情况，可新建或借用现有建筑物形成高度不低于</w:t>
      </w:r>
      <w:r>
        <w:t>1.8m</w:t>
      </w:r>
      <w:r>
        <w:rPr>
          <w:rFonts w:hint="eastAsia"/>
        </w:rPr>
        <w:t>的围墙。围墙可使用实体围墙，也可使用栅栏围墙。使用栅栏时，栅栏的竖杆间距应不大于</w:t>
      </w:r>
      <w:r>
        <w:t>150mm</w:t>
      </w:r>
      <w:r>
        <w:rPr>
          <w:rFonts w:hint="eastAsia"/>
        </w:rPr>
        <w:t>，安装应牢固可靠。</w:t>
      </w:r>
      <w:bookmarkEnd w:id="87"/>
    </w:p>
    <w:p>
      <w:pPr>
        <w:pStyle w:val="4"/>
      </w:pPr>
      <w:bookmarkStart w:id="88" w:name="_Ref454120637"/>
      <w:r>
        <w:rPr>
          <w:rFonts w:hint="eastAsia"/>
        </w:rPr>
        <w:t>其他</w:t>
      </w:r>
      <w:bookmarkEnd w:id="88"/>
    </w:p>
    <w:p>
      <w:pPr>
        <w:pStyle w:val="5"/>
      </w:pPr>
      <w:bookmarkStart w:id="89" w:name="_Ref454031437"/>
      <w:r>
        <w:rPr>
          <w:rFonts w:hint="eastAsia"/>
        </w:rPr>
        <w:t>配建公交站场的层高应考虑建筑结构和各类管道等设备的需要，层高不宜过大。单层公交车辆通行区域的净空高度应不低于</w:t>
      </w:r>
      <w:r>
        <w:t>3.8m</w:t>
      </w:r>
      <w:r>
        <w:rPr>
          <w:rFonts w:hint="eastAsia"/>
        </w:rPr>
        <w:t>，双层公交车辆通行区域的净空高度应不低于</w:t>
      </w:r>
      <w:r>
        <w:t>4.6m</w:t>
      </w:r>
      <w:r>
        <w:rPr>
          <w:rFonts w:hint="eastAsia"/>
        </w:rPr>
        <w:t>。</w:t>
      </w:r>
      <w:bookmarkEnd w:id="89"/>
    </w:p>
    <w:p>
      <w:pPr>
        <w:pStyle w:val="5"/>
      </w:pPr>
      <w:bookmarkStart w:id="90" w:name="_Ref454031458"/>
      <w:r>
        <w:rPr>
          <w:rFonts w:hint="eastAsia"/>
        </w:rPr>
        <w:t>行车道坡道纵坡以直线为主，直线坡道纵坡不宜大于</w:t>
      </w:r>
      <w:r>
        <w:t>7%</w:t>
      </w:r>
      <w:r>
        <w:rPr>
          <w:rFonts w:hint="eastAsia"/>
        </w:rPr>
        <w:t>。</w:t>
      </w:r>
      <w:bookmarkEnd w:id="90"/>
    </w:p>
    <w:p>
      <w:pPr>
        <w:pStyle w:val="5"/>
      </w:pPr>
      <w:r>
        <w:rPr>
          <w:rFonts w:hint="eastAsia"/>
        </w:rPr>
        <w:t>到发车位、加减速区域和车辆出入口等，应进行路面强化设计，应有防滑措施。</w:t>
      </w:r>
    </w:p>
    <w:p>
      <w:pPr>
        <w:pStyle w:val="5"/>
      </w:pPr>
      <w:r>
        <w:rPr>
          <w:rFonts w:hint="eastAsia"/>
        </w:rPr>
        <w:t>应根据日常管理运营和客流情况，设置司机休息室、蒸饭茶水间、候车室、厕所等，每个项目的建筑面积据每个站的实际情况酌情确定。</w:t>
      </w:r>
    </w:p>
    <w:p>
      <w:pPr>
        <w:pStyle w:val="5"/>
      </w:pPr>
      <w:r>
        <w:rPr>
          <w:rFonts w:hint="eastAsia"/>
        </w:rPr>
        <w:t>营业站的建筑式样、色彩、风格应具有鲜明的地区及出租汽车特点。</w:t>
      </w:r>
    </w:p>
    <w:p>
      <w:pPr>
        <w:pStyle w:val="3"/>
      </w:pPr>
      <w:bookmarkStart w:id="91" w:name="_Toc454207073"/>
      <w:bookmarkStart w:id="92" w:name="_Toc470624703"/>
      <w:bookmarkStart w:id="93" w:name="_Ref454120665"/>
      <w:r>
        <w:rPr>
          <w:rFonts w:hint="eastAsia"/>
        </w:rPr>
        <w:t>消防要求</w:t>
      </w:r>
      <w:bookmarkEnd w:id="91"/>
      <w:bookmarkEnd w:id="92"/>
      <w:bookmarkEnd w:id="93"/>
    </w:p>
    <w:p>
      <w:pPr>
        <w:pStyle w:val="4"/>
      </w:pPr>
      <w:r>
        <w:rPr>
          <w:rFonts w:hint="eastAsia"/>
        </w:rPr>
        <w:t>配建公交站场进出场道路原则上应独立设置，不应与建筑物内其它机动化交通方式进出通道混合设置，但可与消防通道共用。</w:t>
      </w:r>
    </w:p>
    <w:p>
      <w:pPr>
        <w:pStyle w:val="4"/>
      </w:pPr>
      <w:r>
        <w:rPr>
          <w:rFonts w:hint="eastAsia"/>
        </w:rPr>
        <w:t>在用地紧张的情况下，可利用回车道作为消防通道，但需要确保回车道的通畅。</w:t>
      </w:r>
    </w:p>
    <w:p>
      <w:pPr>
        <w:pStyle w:val="4"/>
      </w:pPr>
      <w:r>
        <w:rPr>
          <w:rFonts w:hint="eastAsia"/>
        </w:rPr>
        <w:t>安全出口应直接通向室外，安全疏散口及地下配建公交站场的楼梯净宽不得小于</w:t>
      </w:r>
      <w:r>
        <w:t>1.6m</w:t>
      </w:r>
      <w:r>
        <w:rPr>
          <w:rFonts w:hint="eastAsia"/>
        </w:rPr>
        <w:t>，安全出口应设置明显标志及事故应急照明设施。</w:t>
      </w:r>
    </w:p>
    <w:p>
      <w:pPr>
        <w:pStyle w:val="4"/>
      </w:pPr>
      <w:r>
        <w:rPr>
          <w:rFonts w:hint="eastAsia"/>
        </w:rPr>
        <w:t>消防通道净空高度和净宽均不应小于</w:t>
      </w:r>
      <w:r>
        <w:t xml:space="preserve"> 4m</w:t>
      </w:r>
      <w:r>
        <w:rPr>
          <w:rFonts w:hint="eastAsia"/>
        </w:rPr>
        <w:t>；当消防车道上空遇有障碍物时，路面与障碍物之间的净空不应小于</w:t>
      </w:r>
      <w:r>
        <w:t>4m</w:t>
      </w:r>
      <w:r>
        <w:rPr>
          <w:rFonts w:hint="eastAsia"/>
        </w:rPr>
        <w:t>。</w:t>
      </w:r>
    </w:p>
    <w:p>
      <w:pPr>
        <w:pStyle w:val="4"/>
      </w:pPr>
      <w:r>
        <w:rPr>
          <w:rFonts w:hint="eastAsia"/>
        </w:rPr>
        <w:t>对于单层或设在建筑物首层的配建公交站场，室内任一点至室外出口的距离不应超过</w:t>
      </w:r>
      <w:r>
        <w:t>60m</w:t>
      </w:r>
      <w:r>
        <w:rPr>
          <w:rFonts w:hint="eastAsia"/>
        </w:rPr>
        <w:t>。</w:t>
      </w:r>
    </w:p>
    <w:p>
      <w:pPr>
        <w:pStyle w:val="3"/>
      </w:pPr>
      <w:bookmarkStart w:id="94" w:name="_Toc470624704"/>
      <w:bookmarkStart w:id="95" w:name="_Toc454207074"/>
      <w:bookmarkStart w:id="96" w:name="_Ref453949570"/>
      <w:r>
        <w:rPr>
          <w:rFonts w:hint="eastAsia"/>
        </w:rPr>
        <w:t>环保要求</w:t>
      </w:r>
      <w:bookmarkEnd w:id="94"/>
      <w:bookmarkEnd w:id="95"/>
      <w:bookmarkEnd w:id="96"/>
    </w:p>
    <w:p>
      <w:pPr>
        <w:pStyle w:val="4"/>
      </w:pPr>
      <w:r>
        <w:rPr>
          <w:rFonts w:hint="eastAsia"/>
        </w:rPr>
        <w:t>环保设施宜包括排水系统、通风系统、废物处理、降噪系统等，体现节能环保原则。</w:t>
      </w:r>
    </w:p>
    <w:p>
      <w:pPr>
        <w:pStyle w:val="4"/>
      </w:pPr>
      <w:r>
        <w:rPr>
          <w:rFonts w:hint="eastAsia"/>
        </w:rPr>
        <w:t>配建公交站场的供电、供水系统应与上盖建筑分开，便于独立管理。</w:t>
      </w:r>
    </w:p>
    <w:p>
      <w:pPr>
        <w:pStyle w:val="4"/>
      </w:pPr>
      <w:r>
        <w:rPr>
          <w:rFonts w:hint="eastAsia"/>
        </w:rPr>
        <w:t>配建公交站场的绿化绿不小于</w:t>
      </w:r>
      <w:r>
        <w:t>20%</w:t>
      </w:r>
      <w:r>
        <w:rPr>
          <w:rFonts w:hint="eastAsia"/>
        </w:rPr>
        <w:t>，停车坪原则上建议采用绿化停车位。</w:t>
      </w:r>
    </w:p>
    <w:p/>
    <w:p/>
    <w:p>
      <w:pPr>
        <w:sectPr>
          <w:pgSz w:w="11906" w:h="16838"/>
          <w:pgMar w:top="1440" w:right="1800" w:bottom="1440" w:left="1800" w:header="851" w:footer="992" w:gutter="0"/>
          <w:cols w:space="425" w:num="1"/>
          <w:docGrid w:type="lines" w:linePitch="312" w:charSpace="0"/>
        </w:sectPr>
      </w:pPr>
    </w:p>
    <w:p>
      <w:pPr>
        <w:pStyle w:val="2"/>
      </w:pPr>
      <w:bookmarkStart w:id="97" w:name="_Toc454207075"/>
      <w:bookmarkStart w:id="98" w:name="_Toc470624705"/>
      <w:r>
        <w:rPr>
          <w:rFonts w:hint="eastAsia"/>
        </w:rPr>
        <w:t>实施机制</w:t>
      </w:r>
      <w:bookmarkEnd w:id="97"/>
      <w:bookmarkEnd w:id="98"/>
    </w:p>
    <w:p>
      <w:pPr>
        <w:pStyle w:val="3"/>
      </w:pPr>
      <w:bookmarkStart w:id="99" w:name="_Toc454207076"/>
      <w:bookmarkStart w:id="100" w:name="_Toc470624706"/>
      <w:r>
        <w:rPr>
          <w:rFonts w:hint="eastAsia"/>
        </w:rPr>
        <w:t>配建公交站场规划实施流程</w:t>
      </w:r>
      <w:bookmarkEnd w:id="99"/>
      <w:bookmarkEnd w:id="100"/>
      <w:bookmarkStart w:id="101" w:name="_Ref453945292"/>
      <w:bookmarkStart w:id="102" w:name="_Ref453946228"/>
    </w:p>
    <w:p>
      <w:pPr>
        <w:pStyle w:val="4"/>
      </w:pPr>
      <w:bookmarkStart w:id="103" w:name="_Ref464636262"/>
      <w:r>
        <w:rPr>
          <w:rFonts w:hint="eastAsia"/>
        </w:rPr>
        <w:t>关于配建公交站场的规划实施流程分为五个阶段：规划编制阶段、土地出让阶段、报建审批阶段、竣工验收阶段、移交及运维阶段，参见图</w:t>
      </w:r>
      <w:bookmarkEnd w:id="101"/>
      <w:r>
        <w:t>5.1</w:t>
      </w:r>
      <w:r>
        <w:rPr>
          <w:rFonts w:hint="eastAsia"/>
        </w:rPr>
        <w:t>。</w:t>
      </w:r>
      <w:bookmarkEnd w:id="102"/>
      <w:bookmarkEnd w:id="103"/>
    </w:p>
    <w:p>
      <w:pPr>
        <w:snapToGrid w:val="0"/>
        <w:spacing w:line="240" w:lineRule="auto"/>
        <w:jc w:val="center"/>
      </w:pPr>
      <w:r>
        <w:object>
          <v:shape id="_x0000_i1025" o:spt="75" type="#_x0000_t75" style="height:503.25pt;width:369.75pt;" o:ole="t" filled="f" o:preferrelative="t" stroked="f" coordsize="21600,21600">
            <v:path/>
            <v:fill on="f" focussize="0,0"/>
            <v:stroke on="f" joinstyle="miter"/>
            <v:imagedata r:id="rId21" o:title=""/>
            <o:lock v:ext="edit" aspectratio="t"/>
            <w10:wrap type="none"/>
            <w10:anchorlock/>
          </v:shape>
          <o:OLEObject Type="Embed" ProgID="Visio.Drawing.15" ShapeID="_x0000_i1025" DrawAspect="Content" ObjectID="_1468075725" r:id="rId20">
            <o:LockedField>false</o:LockedField>
          </o:OLEObject>
        </w:object>
      </w:r>
    </w:p>
    <w:p>
      <w:pPr>
        <w:ind w:left="851"/>
        <w:jc w:val="center"/>
        <w:rPr>
          <w:sz w:val="21"/>
        </w:rPr>
      </w:pPr>
      <w:r>
        <w:rPr>
          <w:rFonts w:hint="eastAsia"/>
          <w:sz w:val="21"/>
        </w:rPr>
        <w:t>图</w:t>
      </w:r>
      <w:r>
        <w:rPr>
          <w:sz w:val="21"/>
        </w:rPr>
        <w:t xml:space="preserve">5.1.1 </w:t>
      </w:r>
      <w:r>
        <w:rPr>
          <w:rFonts w:hint="eastAsia"/>
          <w:sz w:val="21"/>
        </w:rPr>
        <w:t>配建公交站场实施管理流程图</w:t>
      </w:r>
    </w:p>
    <w:p>
      <w:pPr>
        <w:pStyle w:val="4"/>
      </w:pPr>
      <w:r>
        <w:rPr>
          <w:rFonts w:hint="eastAsia"/>
        </w:rPr>
        <w:t>规划编制阶段</w:t>
      </w:r>
    </w:p>
    <w:p>
      <w:pPr>
        <w:pStyle w:val="5"/>
      </w:pPr>
      <w:r>
        <w:rPr>
          <w:rFonts w:hint="eastAsia"/>
        </w:rPr>
        <w:t>区交通运输主管部门应根据城市总规、综合交通规划等上层规划完成公交站场专项规划，并征求区发改、国土规划及公交企业等相关部门意见。</w:t>
      </w:r>
    </w:p>
    <w:p>
      <w:pPr>
        <w:pStyle w:val="5"/>
      </w:pPr>
      <w:r>
        <w:rPr>
          <w:rFonts w:hint="eastAsia"/>
        </w:rPr>
        <w:t>区规划部门在编制控制性详细规划时，应将区交通运输主管部门编制的公交站场相关规划纳入考虑范围，包括独立占地与建筑配建公交站场。</w:t>
      </w:r>
    </w:p>
    <w:p>
      <w:pPr>
        <w:pStyle w:val="5"/>
      </w:pPr>
      <w:r>
        <w:rPr>
          <w:rFonts w:hint="eastAsia"/>
        </w:rPr>
        <w:t>因新建项目、改扩建项目、</w:t>
      </w:r>
      <w:r>
        <w:rPr>
          <w:rFonts w:hint="eastAsia"/>
          <w:lang w:eastAsia="zh-CN"/>
        </w:rPr>
        <w:t>“</w:t>
      </w:r>
      <w:r>
        <w:rPr>
          <w:rFonts w:hint="eastAsia"/>
        </w:rPr>
        <w:t>三旧</w:t>
      </w:r>
      <w:r>
        <w:rPr>
          <w:rFonts w:hint="eastAsia"/>
          <w:lang w:eastAsia="zh-CN"/>
        </w:rPr>
        <w:t>”</w:t>
      </w:r>
      <w:r>
        <w:rPr>
          <w:rFonts w:hint="eastAsia"/>
        </w:rPr>
        <w:t>改造、微改造等项目，需对控制性详细规划进行局部调整时，应参照《配建技术指引》，在符合条件的城建项目中落实公交站场配建要求，并征求区交通运输主管部门意见。</w:t>
      </w:r>
    </w:p>
    <w:p>
      <w:pPr>
        <w:pStyle w:val="5"/>
      </w:pPr>
      <w:r>
        <w:rPr>
          <w:rFonts w:hint="eastAsia"/>
        </w:rPr>
        <w:t>区交通运输主管部门根据上层规划的变动对公交站场专项规划进行修编，对修编后与编制控制性详细规划不符的，应提请区规划进行控制性详细规划的调整，保证规划的一致性。</w:t>
      </w:r>
    </w:p>
    <w:p>
      <w:pPr>
        <w:pStyle w:val="5"/>
      </w:pPr>
      <w:r>
        <w:rPr>
          <w:rFonts w:hint="eastAsia"/>
        </w:rPr>
        <w:t>区交通运输主管部门根据行业发展需求制定公交站场建设计划，在并征</w:t>
      </w:r>
      <w:bookmarkStart w:id="199" w:name="_GoBack"/>
      <w:bookmarkEnd w:id="199"/>
      <w:r>
        <w:rPr>
          <w:rFonts w:hint="eastAsia"/>
        </w:rPr>
        <w:t>求区发改、国土规划及公交企业等相关部门意见后，上报区政府审核。</w:t>
      </w:r>
    </w:p>
    <w:p>
      <w:pPr>
        <w:jc w:val="center"/>
      </w:pPr>
      <w:r>
        <w:object>
          <v:shape id="_x0000_i1026" o:spt="75" type="#_x0000_t75" style="height:264.75pt;width:345pt;" o:ole="t" filled="f" o:preferrelative="t" stroked="f" coordsize="21600,21600">
            <v:path/>
            <v:fill on="f" focussize="0,0"/>
            <v:stroke on="f" joinstyle="miter"/>
            <v:imagedata r:id="rId23" o:title=""/>
            <o:lock v:ext="edit" aspectratio="t"/>
            <w10:wrap type="none"/>
            <w10:anchorlock/>
          </v:shape>
          <o:OLEObject Type="Embed" ProgID="Visio.Drawing.15" ShapeID="_x0000_i1026" DrawAspect="Content" ObjectID="_1468075726" r:id="rId22">
            <o:LockedField>false</o:LockedField>
          </o:OLEObject>
        </w:object>
      </w:r>
    </w:p>
    <w:p>
      <w:pPr>
        <w:ind w:left="851"/>
        <w:jc w:val="center"/>
      </w:pPr>
      <w:r>
        <w:rPr>
          <w:rFonts w:hint="eastAsia"/>
          <w:sz w:val="21"/>
        </w:rPr>
        <w:t>图</w:t>
      </w:r>
      <w:r>
        <w:rPr>
          <w:sz w:val="21"/>
        </w:rPr>
        <w:t xml:space="preserve">5.1.2 </w:t>
      </w:r>
      <w:r>
        <w:rPr>
          <w:rFonts w:hint="eastAsia"/>
          <w:sz w:val="21"/>
        </w:rPr>
        <w:t>配建公交站场规划编制阶段管理流程图</w:t>
      </w:r>
    </w:p>
    <w:p>
      <w:pPr>
        <w:pStyle w:val="4"/>
      </w:pPr>
      <w:r>
        <w:rPr>
          <w:rFonts w:hint="eastAsia"/>
        </w:rPr>
        <w:t>土地出让阶段</w:t>
      </w:r>
    </w:p>
    <w:p>
      <w:pPr>
        <w:pStyle w:val="5"/>
      </w:pPr>
      <w:r>
        <w:rPr>
          <w:rFonts w:hint="eastAsia"/>
        </w:rPr>
        <w:t>区规划国土部门在制定年度土地供应计划（含“三旧”改造项目）时，应征求区交通运输主管部门意见，但有保密需要的特殊用地供应计划除外。出让计划应包括土地基本情况（地块位置、面积、用地性质等）及拟出让时间。计划外出让地块则由国土规划局逐宗征求交通运输部门意见。</w:t>
      </w:r>
    </w:p>
    <w:p>
      <w:pPr>
        <w:pStyle w:val="5"/>
      </w:pPr>
      <w:bookmarkStart w:id="104" w:name="_Ref464634231"/>
      <w:r>
        <w:rPr>
          <w:rFonts w:hint="eastAsia"/>
        </w:rPr>
        <w:t>区财政部门负责审核安排专项研究经费，由区交通运输主管部门依据公交站场年度建设计划，结合周边条件，如人口结构、产业结构、出行方式、周边交通组织及公交资源配置等情况，对年度土地出让计划中的居住、商业、办公、工业、学校、医院、公园及公共广场等宗地的公交配建方案进行研究。</w:t>
      </w:r>
    </w:p>
    <w:p>
      <w:pPr>
        <w:pStyle w:val="5"/>
      </w:pPr>
      <w:r>
        <w:rPr>
          <w:rFonts w:hint="eastAsia"/>
        </w:rPr>
        <w:t>区国土规划主管部门对拟出让土地公交站场配建意见无异议的，应将配建意见落实到地块的《规划条件》中；如有异议的，应及时告知区交通运输主管部门，协商一致。</w:t>
      </w:r>
    </w:p>
    <w:p>
      <w:pPr>
        <w:pStyle w:val="5"/>
      </w:pPr>
      <w:r>
        <w:rPr>
          <w:rFonts w:hint="eastAsia"/>
        </w:rPr>
        <w:t>当具体的宗地实施出让时，由规划国土部门向区交通运输主管部门发函征求公交站场配建意见，区交通运输主管部门依据《公交站场专项规划》、《配建技术指引》复函确认公交站场配建意见（提出配建公交站场规划控制要点，包括站场类型、出入口位置、功能、面积、设施配置等），同时抄送区国土规划主管部门，并向市交通主管部门备案。</w:t>
      </w:r>
      <w:bookmarkEnd w:id="104"/>
    </w:p>
    <w:p>
      <w:pPr>
        <w:ind w:left="851"/>
        <w:jc w:val="center"/>
      </w:pPr>
      <w:r>
        <w:rPr>
          <w:rFonts w:hint="eastAsia"/>
        </w:rPr>
        <w:t>表</w:t>
      </w:r>
      <w:r>
        <w:fldChar w:fldCharType="begin"/>
      </w:r>
      <w:r>
        <w:instrText xml:space="preserve"> REF _Ref464634231 \r \h </w:instrText>
      </w:r>
      <w:r>
        <w:fldChar w:fldCharType="separate"/>
      </w:r>
      <w:r>
        <w:t>5.1.3.2</w:t>
      </w:r>
      <w:r>
        <w:fldChar w:fldCharType="end"/>
      </w:r>
      <w:r>
        <w:t xml:space="preserve"> </w:t>
      </w:r>
      <w:r>
        <w:rPr>
          <w:rFonts w:hint="eastAsia"/>
        </w:rPr>
        <w:t>配建公交站场规划控制要点范例表</w:t>
      </w:r>
    </w:p>
    <w:tbl>
      <w:tblPr>
        <w:tblStyle w:val="21"/>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5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sz w:val="21"/>
                <w:szCs w:val="21"/>
              </w:rPr>
            </w:pPr>
            <w:r>
              <w:rPr>
                <w:rFonts w:hint="eastAsia"/>
                <w:sz w:val="21"/>
                <w:szCs w:val="21"/>
              </w:rPr>
              <w:t>控制要点</w:t>
            </w:r>
          </w:p>
        </w:tc>
        <w:tc>
          <w:tcPr>
            <w:tcW w:w="5565" w:type="dxa"/>
          </w:tcPr>
          <w:p>
            <w:pPr>
              <w:jc w:val="center"/>
              <w:rPr>
                <w:sz w:val="21"/>
                <w:szCs w:val="21"/>
              </w:rPr>
            </w:pPr>
            <w:r>
              <w:rPr>
                <w:rFonts w:hint="eastAsia"/>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sz w:val="21"/>
                <w:szCs w:val="21"/>
              </w:rPr>
            </w:pPr>
            <w:r>
              <w:rPr>
                <w:rFonts w:hint="eastAsia"/>
                <w:sz w:val="21"/>
                <w:szCs w:val="21"/>
              </w:rPr>
              <w:t>建筑面积</w:t>
            </w:r>
          </w:p>
        </w:tc>
        <w:tc>
          <w:tcPr>
            <w:tcW w:w="5565" w:type="dxa"/>
          </w:tcPr>
          <w:p>
            <w:pPr>
              <w:jc w:val="center"/>
              <w:rPr>
                <w:sz w:val="21"/>
                <w:szCs w:val="21"/>
              </w:rPr>
            </w:pPr>
            <w:r>
              <w:rPr>
                <w:rFonts w:hint="eastAsia"/>
                <w:sz w:val="21"/>
                <w:szCs w:val="21"/>
              </w:rPr>
              <w:t>配建公交站场（建筑地面一层）建筑面积</w:t>
            </w:r>
            <w:r>
              <w:rPr>
                <w:sz w:val="21"/>
                <w:szCs w:val="21"/>
              </w:rPr>
              <w:t>2000</w:t>
            </w:r>
            <w:r>
              <w:rPr>
                <w:rFonts w:hint="eastAsia"/>
                <w:sz w:val="21"/>
                <w:szCs w:val="21"/>
              </w:rPr>
              <w:t>平方米（含站务用房）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sz w:val="21"/>
                <w:szCs w:val="21"/>
              </w:rPr>
            </w:pPr>
            <w:r>
              <w:rPr>
                <w:rFonts w:hint="eastAsia"/>
                <w:sz w:val="21"/>
                <w:szCs w:val="21"/>
              </w:rPr>
              <w:t>出入口位置</w:t>
            </w:r>
          </w:p>
        </w:tc>
        <w:tc>
          <w:tcPr>
            <w:tcW w:w="5565" w:type="dxa"/>
          </w:tcPr>
          <w:p>
            <w:pPr>
              <w:jc w:val="center"/>
              <w:rPr>
                <w:sz w:val="21"/>
                <w:szCs w:val="21"/>
              </w:rPr>
            </w:pPr>
            <w:r>
              <w:rPr>
                <w:rFonts w:hint="eastAsia"/>
                <w:sz w:val="21"/>
                <w:szCs w:val="21"/>
              </w:rPr>
              <w:t>出入口需在</w:t>
            </w:r>
            <w:r>
              <w:rPr>
                <w:sz w:val="21"/>
                <w:szCs w:val="21"/>
              </w:rPr>
              <w:t>A</w:t>
            </w:r>
            <w:r>
              <w:rPr>
                <w:rFonts w:hint="eastAsia"/>
                <w:sz w:val="21"/>
                <w:szCs w:val="21"/>
              </w:rPr>
              <w:t>路或</w:t>
            </w:r>
            <w:r>
              <w:rPr>
                <w:sz w:val="21"/>
                <w:szCs w:val="21"/>
              </w:rPr>
              <w:t>B</w:t>
            </w:r>
            <w:r>
              <w:rPr>
                <w:rFonts w:hint="eastAsia"/>
                <w:sz w:val="21"/>
                <w:szCs w:val="21"/>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sz w:val="21"/>
                <w:szCs w:val="21"/>
              </w:rPr>
            </w:pPr>
            <w:r>
              <w:rPr>
                <w:rFonts w:hint="eastAsia"/>
                <w:sz w:val="21"/>
                <w:szCs w:val="21"/>
              </w:rPr>
              <w:t>产权</w:t>
            </w:r>
          </w:p>
        </w:tc>
        <w:tc>
          <w:tcPr>
            <w:tcW w:w="5565" w:type="dxa"/>
          </w:tcPr>
          <w:p>
            <w:pPr>
              <w:jc w:val="center"/>
              <w:rPr>
                <w:sz w:val="21"/>
                <w:szCs w:val="21"/>
              </w:rPr>
            </w:pPr>
            <w:r>
              <w:rPr>
                <w:rFonts w:hint="eastAsia"/>
                <w:sz w:val="21"/>
                <w:szCs w:val="21"/>
              </w:rPr>
              <w:t>配建公交站场及其管理用房建成后产权归政府所有</w:t>
            </w:r>
          </w:p>
        </w:tc>
      </w:tr>
    </w:tbl>
    <w:p>
      <w:pPr>
        <w:pStyle w:val="5"/>
        <w:keepNext w:val="0"/>
        <w:spacing w:beforeLines="100"/>
      </w:pPr>
      <w:r>
        <w:rPr>
          <w:rFonts w:hint="eastAsia"/>
        </w:rPr>
        <w:t>土地成完成拍卖或划拨后，区国土规划主管部门应将出让土地的《规划条件》一并纳入到该宗地的《土地出让合同》。</w:t>
      </w:r>
    </w:p>
    <w:p>
      <w:pPr>
        <w:jc w:val="center"/>
      </w:pPr>
      <w:r>
        <w:object>
          <v:shape id="_x0000_i1027" o:spt="75" type="#_x0000_t75" style="height:246pt;width:263.25pt;" o:ole="t" filled="f" o:preferrelative="t" stroked="f" coordsize="21600,21600">
            <v:path/>
            <v:fill on="f" focussize="0,0"/>
            <v:stroke on="f" joinstyle="miter"/>
            <v:imagedata r:id="rId25" o:title=""/>
            <o:lock v:ext="edit" aspectratio="t"/>
            <w10:wrap type="none"/>
            <w10:anchorlock/>
          </v:shape>
          <o:OLEObject Type="Embed" ProgID="Visio.Drawing.15" ShapeID="_x0000_i1027" DrawAspect="Content" ObjectID="_1468075727" r:id="rId24">
            <o:LockedField>false</o:LockedField>
          </o:OLEObject>
        </w:object>
      </w:r>
    </w:p>
    <w:p>
      <w:pPr>
        <w:ind w:left="851"/>
        <w:jc w:val="center"/>
      </w:pPr>
      <w:r>
        <w:rPr>
          <w:rFonts w:hint="eastAsia"/>
          <w:sz w:val="21"/>
        </w:rPr>
        <w:t>图</w:t>
      </w:r>
      <w:r>
        <w:rPr>
          <w:sz w:val="21"/>
        </w:rPr>
        <w:t xml:space="preserve">5.1.3 </w:t>
      </w:r>
      <w:r>
        <w:rPr>
          <w:rFonts w:hint="eastAsia"/>
          <w:sz w:val="21"/>
        </w:rPr>
        <w:t>配建公交站场规划编制阶段管理流程图</w:t>
      </w:r>
    </w:p>
    <w:p>
      <w:pPr>
        <w:pStyle w:val="4"/>
      </w:pPr>
      <w:r>
        <w:rPr>
          <w:rFonts w:hint="eastAsia"/>
        </w:rPr>
        <w:t>报建审批阶段</w:t>
      </w:r>
    </w:p>
    <w:p>
      <w:pPr>
        <w:pStyle w:val="5"/>
      </w:pPr>
      <w:r>
        <w:rPr>
          <w:rFonts w:hint="eastAsia"/>
        </w:rPr>
        <w:t>公交站场由土地开发单位统一设计、建设。土地开发单位在向区国土规划主管部门报审修建性详细规划或建设工程总平面设计前，应就规划设计条件要求配套公交站场的建设用地情况及交通组织方案征询区交通运输主管部门意见。区交通运输主管部门根据实际情况，提出配套公交站场选址、拟调入公交线路数、公交流线组织、规模和设施要求等专业意见，以便土地开发单位深化项目规划设计。</w:t>
      </w:r>
    </w:p>
    <w:p>
      <w:pPr>
        <w:pStyle w:val="5"/>
      </w:pPr>
      <w:r>
        <w:rPr>
          <w:rFonts w:hint="eastAsia"/>
        </w:rPr>
        <w:t>配建公交站场属公交枢纽站或首末站的，应由开发单位向区交通运输主管部门提交《交通影响评价报告》；对规模较大，组织难度较大、功能布局较重要的公交站场，必要时由区交通运输主管部门对其设计方案组织专家评审会加强论证。</w:t>
      </w:r>
    </w:p>
    <w:p>
      <w:pPr>
        <w:pStyle w:val="5"/>
        <w:keepNext w:val="0"/>
      </w:pPr>
      <w:r>
        <w:rPr>
          <w:rFonts w:hint="eastAsia"/>
        </w:rPr>
        <w:t>区国土规划主管部门审批规划设计方案时，需征求区交通运输主管部门关于配建公交站场建设的意见，凡未取得区交通运输主管部门审核同意的，区国土规划主管部门不能核发《建设工程规划许可证》。</w:t>
      </w:r>
    </w:p>
    <w:p>
      <w:pPr>
        <w:pStyle w:val="5"/>
        <w:keepNext w:val="0"/>
      </w:pPr>
      <w:r>
        <w:rPr>
          <w:rFonts w:hint="eastAsia"/>
        </w:rPr>
        <w:t>开发单位在取得《建设工程规划许可证》后，应向区建设主管部门进行项目报建，同时还应征求消防、环保、交警等部门意见，各部门同意由区建设主管部门核发《建设工程施工许可证》后，方可开工建设。</w:t>
      </w:r>
    </w:p>
    <w:p>
      <w:pPr>
        <w:jc w:val="center"/>
      </w:pPr>
      <w:r>
        <w:object>
          <v:shape id="_x0000_i1028" o:spt="75" type="#_x0000_t75" style="height:227.25pt;width:339pt;" o:ole="t" filled="f" o:preferrelative="t" stroked="f" coordsize="21600,21600">
            <v:path/>
            <v:fill on="f" focussize="0,0"/>
            <v:stroke on="f" joinstyle="miter"/>
            <v:imagedata r:id="rId27" o:title=""/>
            <o:lock v:ext="edit" aspectratio="t"/>
            <w10:wrap type="none"/>
            <w10:anchorlock/>
          </v:shape>
          <o:OLEObject Type="Embed" ProgID="Visio.Drawing.15" ShapeID="_x0000_i1028" DrawAspect="Content" ObjectID="_1468075728" r:id="rId26">
            <o:LockedField>false</o:LockedField>
          </o:OLEObject>
        </w:object>
      </w:r>
    </w:p>
    <w:p>
      <w:pPr>
        <w:ind w:left="851"/>
        <w:jc w:val="center"/>
      </w:pPr>
      <w:r>
        <w:rPr>
          <w:rFonts w:hint="eastAsia"/>
          <w:sz w:val="21"/>
        </w:rPr>
        <w:t>图</w:t>
      </w:r>
      <w:r>
        <w:rPr>
          <w:sz w:val="21"/>
        </w:rPr>
        <w:t xml:space="preserve">5.1.4 </w:t>
      </w:r>
      <w:r>
        <w:rPr>
          <w:rFonts w:hint="eastAsia"/>
          <w:sz w:val="21"/>
        </w:rPr>
        <w:t>配建公交站场规划编制阶段管理流程图</w:t>
      </w:r>
    </w:p>
    <w:p>
      <w:pPr>
        <w:pStyle w:val="4"/>
        <w:keepNext w:val="0"/>
      </w:pPr>
      <w:r>
        <w:rPr>
          <w:rFonts w:hint="eastAsia"/>
        </w:rPr>
        <w:t>竣工验收阶段</w:t>
      </w:r>
      <w:r>
        <w:t xml:space="preserve"> </w:t>
      </w:r>
    </w:p>
    <w:p>
      <w:pPr>
        <w:pStyle w:val="5"/>
        <w:keepNext w:val="0"/>
      </w:pPr>
      <w:r>
        <w:rPr>
          <w:rFonts w:hint="eastAsia"/>
        </w:rPr>
        <w:t>配建公交站场须与出让宗地的主体建设工程同步验收。分期开发建设的项目，必须在一期开发项目中完成公共交通基础设施的建设任务，且作为第一期开发项目规划验收的前置条件。</w:t>
      </w:r>
    </w:p>
    <w:p>
      <w:pPr>
        <w:pStyle w:val="5"/>
        <w:keepNext w:val="0"/>
      </w:pPr>
      <w:r>
        <w:rPr>
          <w:rFonts w:hint="eastAsia"/>
        </w:rPr>
        <w:t>配建公交站场工程项目完工后，由区建设和交通部门牵头，区国土规划、消防、交警、环保等部门共同或成立联合验收办对项目进行竣工验收。验收小组或联合验收办参照本指引中的相关规定对配建公交站场进行验收，并出具验收意见。未按规定配套建设公交站场的建设项目一律不予验收。</w:t>
      </w:r>
    </w:p>
    <w:p>
      <w:pPr>
        <w:pStyle w:val="4"/>
        <w:keepNext w:val="0"/>
      </w:pPr>
      <w:bookmarkStart w:id="105" w:name="_Ref453949543"/>
      <w:r>
        <w:rPr>
          <w:rFonts w:hint="eastAsia"/>
        </w:rPr>
        <w:t>移交管理阶段</w:t>
      </w:r>
      <w:bookmarkEnd w:id="105"/>
    </w:p>
    <w:p>
      <w:pPr>
        <w:pStyle w:val="5"/>
        <w:keepNext w:val="0"/>
      </w:pPr>
      <w:bookmarkStart w:id="106" w:name="_Ref464634746"/>
      <w:r>
        <w:rPr>
          <w:rFonts w:hint="eastAsia"/>
        </w:rPr>
        <w:t>在土地出让时明确规定公交站场用地使用权及建筑产权归各区政府所有，并单独发放土地使用证和建筑产权证，由区公有资产管理办公室代表区政府持有公交站场的土地使用证和建筑产权证。</w:t>
      </w:r>
      <w:bookmarkEnd w:id="106"/>
    </w:p>
    <w:p>
      <w:pPr>
        <w:pStyle w:val="5"/>
        <w:keepNext w:val="0"/>
      </w:pPr>
      <w:r>
        <w:rPr>
          <w:rFonts w:hint="eastAsia"/>
        </w:rPr>
        <w:t>验收通过后由土地开发单位书面通知区交通运输主管部门办理移交手续，将公交站场用地资料、报建审批资料、施工图纸及验收文件等移交区交通运输主管部门，配建公交站场由区交通运输主管部门接收，或委托专业管理机构（或区交通管理总站）接收，并与土地开发单位签订移交协议。</w:t>
      </w:r>
    </w:p>
    <w:p>
      <w:pPr>
        <w:pStyle w:val="5"/>
        <w:keepNext w:val="0"/>
      </w:pPr>
      <w:r>
        <w:rPr>
          <w:rFonts w:hint="eastAsia"/>
        </w:rPr>
        <w:t>配套公交站场原则上为无偿移交。区交通运输主管部门正式接收配套公交站场后，土地开发单位应按双方签订的移交协议的有关约定，配合做好产权变更工作。</w:t>
      </w:r>
    </w:p>
    <w:p>
      <w:pPr>
        <w:pStyle w:val="5"/>
        <w:keepNext w:val="0"/>
      </w:pPr>
      <w:r>
        <w:rPr>
          <w:rFonts w:hint="eastAsia"/>
        </w:rPr>
        <w:t>配建公交站场在验收通过后到移交手续办理完成期间，可临时移交配建公交站场的使用权，避免配建公交站场的闲置浪费。</w:t>
      </w:r>
    </w:p>
    <w:p>
      <w:pPr>
        <w:pStyle w:val="5"/>
        <w:keepNext w:val="0"/>
      </w:pPr>
      <w:r>
        <w:rPr>
          <w:rFonts w:hint="eastAsia"/>
        </w:rPr>
        <w:t>任何单位和个人不得随意迁移、拆除、占用公共交通基础设施，不得擅自改变其使用性质。区交通运输主管部门统筹站场冠名及站场使用。配建公交站场移交后，可委托区交通管理总站（或公交公司）进行经营管养。</w:t>
      </w:r>
    </w:p>
    <w:p>
      <w:pPr>
        <w:pStyle w:val="4"/>
      </w:pPr>
      <w:r>
        <w:rPr>
          <w:rFonts w:hint="eastAsia"/>
        </w:rPr>
        <w:t>宜将配《配建技术指引》执行情况纳入年度行政考核。</w:t>
      </w:r>
    </w:p>
    <w:p>
      <w:pPr>
        <w:pStyle w:val="3"/>
      </w:pPr>
      <w:bookmarkStart w:id="107" w:name="_Toc454207077"/>
      <w:bookmarkStart w:id="108" w:name="_Toc470624707"/>
      <w:r>
        <w:rPr>
          <w:rFonts w:hint="eastAsia"/>
        </w:rPr>
        <w:t>规划设计要点相关条文</w:t>
      </w:r>
      <w:bookmarkEnd w:id="107"/>
      <w:bookmarkEnd w:id="108"/>
    </w:p>
    <w:p>
      <w:pPr>
        <w:pStyle w:val="4"/>
      </w:pPr>
      <w:bookmarkStart w:id="109" w:name="_Ref453948742"/>
      <w:r>
        <w:rPr>
          <w:rFonts w:hint="eastAsia"/>
        </w:rPr>
        <w:t>核发《建设用地规划许可证》时，可参考表</w:t>
      </w:r>
      <w:r>
        <w:fldChar w:fldCharType="begin"/>
      </w:r>
      <w:r>
        <w:instrText xml:space="preserve"> REF _Ref453948742 \r \h </w:instrText>
      </w:r>
      <w:r>
        <w:fldChar w:fldCharType="separate"/>
      </w:r>
      <w:r>
        <w:t>5.2.1</w:t>
      </w:r>
      <w:r>
        <w:fldChar w:fldCharType="end"/>
      </w:r>
      <w:r>
        <w:rPr>
          <w:rFonts w:hint="eastAsia"/>
        </w:rPr>
        <w:t>审查配建公交站场用地的规划设计要点。</w:t>
      </w:r>
      <w:bookmarkEnd w:id="109"/>
    </w:p>
    <w:p>
      <w:pPr>
        <w:ind w:left="851"/>
        <w:jc w:val="center"/>
        <w:rPr>
          <w:sz w:val="21"/>
        </w:rPr>
      </w:pPr>
      <w:r>
        <w:rPr>
          <w:rFonts w:hint="eastAsia"/>
          <w:sz w:val="21"/>
        </w:rPr>
        <w:t>表</w:t>
      </w:r>
      <w:r>
        <w:fldChar w:fldCharType="begin"/>
      </w:r>
      <w:r>
        <w:instrText xml:space="preserve"> REF _Ref453948742 \r \h  \* MERGEFORMAT </w:instrText>
      </w:r>
      <w:r>
        <w:fldChar w:fldCharType="separate"/>
      </w:r>
      <w:r>
        <w:rPr>
          <w:sz w:val="21"/>
        </w:rPr>
        <w:t>5.2.1</w:t>
      </w:r>
      <w:r>
        <w:rPr>
          <w:sz w:val="21"/>
        </w:rPr>
        <w:fldChar w:fldCharType="end"/>
      </w:r>
      <w:r>
        <w:rPr>
          <w:rFonts w:hint="eastAsia"/>
          <w:sz w:val="21"/>
        </w:rPr>
        <w:t>配建公交站场规划设计要点参考范例</w:t>
      </w:r>
    </w:p>
    <w:tbl>
      <w:tblPr>
        <w:tblStyle w:val="21"/>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969"/>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jc w:val="center"/>
              <w:rPr>
                <w:sz w:val="21"/>
                <w:szCs w:val="21"/>
              </w:rPr>
            </w:pPr>
            <w:r>
              <w:rPr>
                <w:rFonts w:hint="eastAsia"/>
                <w:sz w:val="21"/>
                <w:szCs w:val="21"/>
              </w:rPr>
              <w:t>设计要点</w:t>
            </w:r>
          </w:p>
        </w:tc>
        <w:tc>
          <w:tcPr>
            <w:tcW w:w="3969" w:type="dxa"/>
            <w:vAlign w:val="center"/>
          </w:tcPr>
          <w:p>
            <w:pPr>
              <w:jc w:val="center"/>
              <w:rPr>
                <w:sz w:val="21"/>
                <w:szCs w:val="21"/>
              </w:rPr>
            </w:pPr>
            <w:r>
              <w:rPr>
                <w:rFonts w:hint="eastAsia"/>
                <w:sz w:val="21"/>
                <w:szCs w:val="21"/>
              </w:rPr>
              <w:t>要求范例</w:t>
            </w:r>
          </w:p>
        </w:tc>
        <w:tc>
          <w:tcPr>
            <w:tcW w:w="2205" w:type="dxa"/>
            <w:vAlign w:val="center"/>
          </w:tcPr>
          <w:p>
            <w:pPr>
              <w:jc w:val="center"/>
              <w:rPr>
                <w:sz w:val="21"/>
                <w:szCs w:val="21"/>
              </w:rPr>
            </w:pPr>
            <w:r>
              <w:rPr>
                <w:rFonts w:hint="eastAsia"/>
                <w:sz w:val="21"/>
                <w:szCs w:val="21"/>
              </w:rPr>
              <w:t>相关条文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jc w:val="center"/>
              <w:rPr>
                <w:sz w:val="21"/>
                <w:szCs w:val="21"/>
              </w:rPr>
            </w:pPr>
            <w:r>
              <w:rPr>
                <w:rFonts w:hint="eastAsia"/>
                <w:sz w:val="21"/>
                <w:szCs w:val="21"/>
              </w:rPr>
              <w:t>建筑面积</w:t>
            </w:r>
          </w:p>
        </w:tc>
        <w:tc>
          <w:tcPr>
            <w:tcW w:w="3969" w:type="dxa"/>
          </w:tcPr>
          <w:p>
            <w:pPr>
              <w:spacing w:line="240" w:lineRule="auto"/>
              <w:jc w:val="left"/>
              <w:rPr>
                <w:sz w:val="21"/>
                <w:szCs w:val="21"/>
              </w:rPr>
            </w:pPr>
            <w:r>
              <w:rPr>
                <w:rFonts w:hint="eastAsia"/>
                <w:sz w:val="21"/>
                <w:szCs w:val="21"/>
              </w:rPr>
              <w:t>配建公交站场（建筑地面一层）建筑面积</w:t>
            </w:r>
            <w:r>
              <w:rPr>
                <w:sz w:val="21"/>
                <w:szCs w:val="21"/>
                <w:u w:val="single"/>
              </w:rPr>
              <w:t>2000</w:t>
            </w:r>
            <w:r>
              <w:rPr>
                <w:rFonts w:hint="eastAsia"/>
                <w:sz w:val="21"/>
                <w:szCs w:val="21"/>
              </w:rPr>
              <w:t>平方米（含站务用房）</w:t>
            </w:r>
          </w:p>
        </w:tc>
        <w:tc>
          <w:tcPr>
            <w:tcW w:w="2205" w:type="dxa"/>
            <w:vAlign w:val="center"/>
          </w:tcPr>
          <w:p>
            <w:pPr>
              <w:jc w:val="center"/>
              <w:rPr>
                <w:sz w:val="21"/>
                <w:szCs w:val="21"/>
              </w:rPr>
            </w:pPr>
            <w:r>
              <w:fldChar w:fldCharType="begin"/>
            </w:r>
            <w:r>
              <w:instrText xml:space="preserve"> REF _Ref453949489 \r \h  \* MERGEFORMAT </w:instrText>
            </w:r>
            <w:r>
              <w:fldChar w:fldCharType="separate"/>
            </w:r>
            <w:r>
              <w:rPr>
                <w:sz w:val="21"/>
                <w:szCs w:val="21"/>
              </w:rPr>
              <w:t>3.2</w:t>
            </w:r>
            <w:r>
              <w:rPr>
                <w:sz w:val="21"/>
                <w:szCs w:val="21"/>
              </w:rPr>
              <w:fldChar w:fldCharType="end"/>
            </w:r>
            <w:r>
              <w:rPr>
                <w:rFonts w:hint="eastAsia"/>
                <w:sz w:val="21"/>
                <w:szCs w:val="21"/>
              </w:rPr>
              <w:t>、</w:t>
            </w:r>
            <w:r>
              <w:fldChar w:fldCharType="begin"/>
            </w:r>
            <w:r>
              <w:instrText xml:space="preserve"> REF _Ref453949499 \r \h  \* MERGEFORMAT </w:instrText>
            </w:r>
            <w:r>
              <w:fldChar w:fldCharType="separate"/>
            </w:r>
            <w:r>
              <w:rPr>
                <w:sz w:val="21"/>
                <w:szCs w:val="21"/>
              </w:rPr>
              <w:t>3.3</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jc w:val="center"/>
              <w:rPr>
                <w:sz w:val="21"/>
                <w:szCs w:val="21"/>
              </w:rPr>
            </w:pPr>
            <w:r>
              <w:rPr>
                <w:rFonts w:hint="eastAsia"/>
                <w:sz w:val="21"/>
                <w:szCs w:val="21"/>
              </w:rPr>
              <w:t>位置</w:t>
            </w:r>
          </w:p>
        </w:tc>
        <w:tc>
          <w:tcPr>
            <w:tcW w:w="3969" w:type="dxa"/>
          </w:tcPr>
          <w:p>
            <w:pPr>
              <w:spacing w:line="240" w:lineRule="auto"/>
              <w:jc w:val="left"/>
              <w:rPr>
                <w:sz w:val="21"/>
                <w:szCs w:val="21"/>
              </w:rPr>
            </w:pPr>
            <w:r>
              <w:rPr>
                <w:rFonts w:hint="eastAsia"/>
                <w:sz w:val="21"/>
                <w:szCs w:val="21"/>
              </w:rPr>
              <w:t>配置在主要客流集散点；宜近邻现状或具有近期建设条件的规划道路。</w:t>
            </w:r>
          </w:p>
        </w:tc>
        <w:tc>
          <w:tcPr>
            <w:tcW w:w="2205" w:type="dxa"/>
            <w:vAlign w:val="center"/>
          </w:tcPr>
          <w:p>
            <w:pPr>
              <w:jc w:val="center"/>
              <w:rPr>
                <w:sz w:val="21"/>
                <w:szCs w:val="21"/>
              </w:rPr>
            </w:pPr>
            <w:r>
              <w:fldChar w:fldCharType="begin"/>
            </w:r>
            <w:r>
              <w:instrText xml:space="preserve"> REF _Ref454027623 \r \h  \* MERGEFORMAT </w:instrText>
            </w:r>
            <w:r>
              <w:fldChar w:fldCharType="separate"/>
            </w:r>
            <w:r>
              <w:rPr>
                <w:sz w:val="21"/>
                <w:szCs w:val="21"/>
              </w:rPr>
              <w:t>3.1.1</w:t>
            </w:r>
            <w:r>
              <w:rPr>
                <w:sz w:val="21"/>
                <w:szCs w:val="21"/>
              </w:rPr>
              <w:fldChar w:fldCharType="end"/>
            </w:r>
            <w:r>
              <w:rPr>
                <w:rFonts w:hint="eastAsia"/>
                <w:sz w:val="21"/>
                <w:szCs w:val="21"/>
              </w:rPr>
              <w:t>、</w:t>
            </w:r>
            <w:r>
              <w:fldChar w:fldCharType="begin"/>
            </w:r>
            <w:r>
              <w:instrText xml:space="preserve"> REF _Ref454027624 \r \h  \* MERGEFORMAT </w:instrText>
            </w:r>
            <w:r>
              <w:fldChar w:fldCharType="separate"/>
            </w:r>
            <w:r>
              <w:rPr>
                <w:sz w:val="21"/>
                <w:szCs w:val="21"/>
              </w:rPr>
              <w:t>3.1.2</w:t>
            </w:r>
            <w:r>
              <w:rPr>
                <w:sz w:val="21"/>
                <w:szCs w:val="21"/>
              </w:rPr>
              <w:fldChar w:fldCharType="end"/>
            </w:r>
            <w:r>
              <w:rPr>
                <w:rFonts w:hint="eastAsia"/>
                <w:sz w:val="21"/>
                <w:szCs w:val="21"/>
              </w:rPr>
              <w:t>、</w:t>
            </w:r>
            <w:r>
              <w:fldChar w:fldCharType="begin"/>
            </w:r>
            <w:r>
              <w:instrText xml:space="preserve"> REF _Ref454027624 \r \h  \* MERGEFORMAT </w:instrText>
            </w:r>
            <w:r>
              <w:fldChar w:fldCharType="separate"/>
            </w:r>
            <w:r>
              <w:rPr>
                <w:sz w:val="21"/>
                <w:szCs w:val="21"/>
              </w:rPr>
              <w:t>3.1.2</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jc w:val="center"/>
              <w:rPr>
                <w:sz w:val="21"/>
                <w:szCs w:val="21"/>
              </w:rPr>
            </w:pPr>
            <w:r>
              <w:rPr>
                <w:rFonts w:hint="eastAsia"/>
                <w:sz w:val="21"/>
                <w:szCs w:val="21"/>
              </w:rPr>
              <w:t>出入口位置</w:t>
            </w:r>
          </w:p>
        </w:tc>
        <w:tc>
          <w:tcPr>
            <w:tcW w:w="3969" w:type="dxa"/>
          </w:tcPr>
          <w:p>
            <w:pPr>
              <w:spacing w:line="240" w:lineRule="auto"/>
              <w:jc w:val="left"/>
              <w:rPr>
                <w:sz w:val="21"/>
                <w:szCs w:val="21"/>
              </w:rPr>
            </w:pPr>
            <w:r>
              <w:rPr>
                <w:rFonts w:hint="eastAsia"/>
                <w:sz w:val="21"/>
                <w:szCs w:val="21"/>
              </w:rPr>
              <w:t>车辆出入口设置在次干道或支路上，避免靠近平面交叉口</w:t>
            </w:r>
          </w:p>
        </w:tc>
        <w:tc>
          <w:tcPr>
            <w:tcW w:w="2205" w:type="dxa"/>
            <w:vAlign w:val="center"/>
          </w:tcPr>
          <w:p>
            <w:pPr>
              <w:jc w:val="center"/>
              <w:rPr>
                <w:sz w:val="21"/>
                <w:szCs w:val="21"/>
              </w:rPr>
            </w:pPr>
            <w:r>
              <w:fldChar w:fldCharType="begin"/>
            </w:r>
            <w:r>
              <w:instrText xml:space="preserve"> REF _Ref453949590 \r \h  \* MERGEFORMAT </w:instrText>
            </w:r>
            <w:r>
              <w:fldChar w:fldCharType="separate"/>
            </w:r>
            <w:r>
              <w:rPr>
                <w:sz w:val="21"/>
                <w:szCs w:val="21"/>
              </w:rPr>
              <w:t>4.4.4.3</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jc w:val="center"/>
              <w:rPr>
                <w:sz w:val="21"/>
                <w:szCs w:val="21"/>
              </w:rPr>
            </w:pPr>
            <w:r>
              <w:rPr>
                <w:rFonts w:hint="eastAsia"/>
                <w:sz w:val="21"/>
                <w:szCs w:val="21"/>
              </w:rPr>
              <w:t>供电供水</w:t>
            </w:r>
          </w:p>
        </w:tc>
        <w:tc>
          <w:tcPr>
            <w:tcW w:w="3969" w:type="dxa"/>
          </w:tcPr>
          <w:p>
            <w:pPr>
              <w:spacing w:line="240" w:lineRule="auto"/>
              <w:jc w:val="left"/>
              <w:rPr>
                <w:sz w:val="21"/>
                <w:szCs w:val="21"/>
              </w:rPr>
            </w:pPr>
            <w:r>
              <w:rPr>
                <w:rFonts w:hint="eastAsia"/>
                <w:sz w:val="21"/>
                <w:szCs w:val="21"/>
              </w:rPr>
              <w:t>供电、供水系统与上盖建筑分开，可独立管理</w:t>
            </w:r>
          </w:p>
        </w:tc>
        <w:tc>
          <w:tcPr>
            <w:tcW w:w="2205" w:type="dxa"/>
            <w:vAlign w:val="center"/>
          </w:tcPr>
          <w:p>
            <w:pPr>
              <w:jc w:val="center"/>
              <w:rPr>
                <w:sz w:val="21"/>
                <w:szCs w:val="21"/>
              </w:rPr>
            </w:pPr>
            <w:r>
              <w:fldChar w:fldCharType="begin"/>
            </w:r>
            <w:r>
              <w:instrText xml:space="preserve"> REF _Ref453949570 \r \h  \* MERGEFORMAT </w:instrText>
            </w:r>
            <w:r>
              <w:fldChar w:fldCharType="separate"/>
            </w:r>
            <w:r>
              <w:rPr>
                <w:sz w:val="21"/>
                <w:szCs w:val="21"/>
              </w:rPr>
              <w:t>4.6</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jc w:val="center"/>
              <w:rPr>
                <w:sz w:val="21"/>
                <w:szCs w:val="21"/>
              </w:rPr>
            </w:pPr>
            <w:r>
              <w:rPr>
                <w:rFonts w:hint="eastAsia"/>
                <w:sz w:val="21"/>
                <w:szCs w:val="21"/>
              </w:rPr>
              <w:t>产权</w:t>
            </w:r>
          </w:p>
        </w:tc>
        <w:tc>
          <w:tcPr>
            <w:tcW w:w="3969" w:type="dxa"/>
          </w:tcPr>
          <w:p>
            <w:pPr>
              <w:spacing w:line="240" w:lineRule="auto"/>
              <w:jc w:val="left"/>
              <w:rPr>
                <w:sz w:val="21"/>
                <w:szCs w:val="21"/>
              </w:rPr>
            </w:pPr>
            <w:r>
              <w:rPr>
                <w:rFonts w:hint="eastAsia"/>
                <w:sz w:val="21"/>
                <w:szCs w:val="21"/>
              </w:rPr>
              <w:t>配建公交站场及其管理用房建成后产权归政府所有</w:t>
            </w:r>
          </w:p>
        </w:tc>
        <w:tc>
          <w:tcPr>
            <w:tcW w:w="2205" w:type="dxa"/>
            <w:vAlign w:val="center"/>
          </w:tcPr>
          <w:p>
            <w:pPr>
              <w:jc w:val="center"/>
              <w:rPr>
                <w:sz w:val="21"/>
                <w:szCs w:val="21"/>
              </w:rPr>
            </w:pPr>
            <w:r>
              <w:fldChar w:fldCharType="begin"/>
            </w:r>
            <w:r>
              <w:instrText xml:space="preserve"> REF _Ref464634746 \r \h  \* MERGEFORMAT </w:instrText>
            </w:r>
            <w:r>
              <w:fldChar w:fldCharType="separate"/>
            </w:r>
            <w:r>
              <w:rPr>
                <w:sz w:val="21"/>
                <w:szCs w:val="21"/>
              </w:rPr>
              <w:t>5.1.6.1</w:t>
            </w:r>
            <w:r>
              <w:rPr>
                <w:sz w:val="21"/>
                <w:szCs w:val="21"/>
              </w:rPr>
              <w:fldChar w:fldCharType="end"/>
            </w:r>
          </w:p>
        </w:tc>
      </w:tr>
    </w:tbl>
    <w:p>
      <w:pPr>
        <w:ind w:left="851"/>
        <w:rPr>
          <w:sz w:val="21"/>
        </w:rPr>
      </w:pPr>
      <w:r>
        <w:rPr>
          <w:rFonts w:hint="eastAsia"/>
          <w:sz w:val="21"/>
        </w:rPr>
        <w:t>注：下划线内容为举例说明，具体取值应依据相关条文及实际情况确定。</w:t>
      </w:r>
    </w:p>
    <w:p>
      <w:pPr>
        <w:pStyle w:val="3"/>
      </w:pPr>
      <w:bookmarkStart w:id="110" w:name="_Toc454207078"/>
      <w:bookmarkStart w:id="111" w:name="_Toc470624708"/>
      <w:r>
        <w:rPr>
          <w:rFonts w:hint="eastAsia"/>
        </w:rPr>
        <w:t>规划报建审查要点相关条文</w:t>
      </w:r>
      <w:bookmarkEnd w:id="110"/>
      <w:bookmarkEnd w:id="111"/>
    </w:p>
    <w:p>
      <w:pPr>
        <w:pStyle w:val="4"/>
      </w:pPr>
      <w:bookmarkStart w:id="112" w:name="_Ref454028431"/>
      <w:bookmarkStart w:id="113" w:name="_Ref454028786"/>
      <w:r>
        <w:rPr>
          <w:rFonts w:hint="eastAsia"/>
        </w:rPr>
        <w:t>核发《建设工程规划许可证》、《竣工验收备案表》时，可参考表</w:t>
      </w:r>
      <w:bookmarkEnd w:id="112"/>
      <w:r>
        <w:fldChar w:fldCharType="begin"/>
      </w:r>
      <w:r>
        <w:instrText xml:space="preserve"> REF _Ref454028431 \r \h </w:instrText>
      </w:r>
      <w:r>
        <w:fldChar w:fldCharType="separate"/>
      </w:r>
      <w:r>
        <w:t>5.3.1</w:t>
      </w:r>
      <w:r>
        <w:fldChar w:fldCharType="end"/>
      </w:r>
      <w:r>
        <w:rPr>
          <w:rFonts w:hint="eastAsia"/>
        </w:rPr>
        <w:t>核查配建公交站场建设工程的方案设计与建筑要求，亦可作为配建公交站场验收通过标准。</w:t>
      </w:r>
      <w:bookmarkEnd w:id="113"/>
    </w:p>
    <w:p>
      <w:pPr>
        <w:ind w:left="851"/>
        <w:jc w:val="center"/>
        <w:rPr>
          <w:sz w:val="21"/>
        </w:rPr>
      </w:pPr>
      <w:r>
        <w:rPr>
          <w:rFonts w:hint="eastAsia"/>
          <w:sz w:val="21"/>
        </w:rPr>
        <w:t>表</w:t>
      </w:r>
      <w:r>
        <w:fldChar w:fldCharType="begin"/>
      </w:r>
      <w:r>
        <w:instrText xml:space="preserve"> REF _Ref454028786 \r \h  \* MERGEFORMAT </w:instrText>
      </w:r>
      <w:r>
        <w:fldChar w:fldCharType="separate"/>
      </w:r>
      <w:r>
        <w:rPr>
          <w:sz w:val="21"/>
        </w:rPr>
        <w:t>5.3.1</w:t>
      </w:r>
      <w:r>
        <w:rPr>
          <w:sz w:val="21"/>
        </w:rPr>
        <w:fldChar w:fldCharType="end"/>
      </w:r>
      <w:r>
        <w:rPr>
          <w:rFonts w:hint="eastAsia"/>
          <w:sz w:val="21"/>
        </w:rPr>
        <w:t>配建公交站场审查要点（验收表）参考范例</w:t>
      </w:r>
    </w:p>
    <w:tbl>
      <w:tblPr>
        <w:tblStyle w:val="21"/>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326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jc w:val="center"/>
              <w:rPr>
                <w:sz w:val="21"/>
                <w:szCs w:val="21"/>
              </w:rPr>
            </w:pPr>
            <w:r>
              <w:rPr>
                <w:rFonts w:hint="eastAsia"/>
                <w:sz w:val="21"/>
                <w:szCs w:val="21"/>
              </w:rPr>
              <w:t>审查要点</w:t>
            </w:r>
          </w:p>
        </w:tc>
        <w:tc>
          <w:tcPr>
            <w:tcW w:w="3260" w:type="dxa"/>
          </w:tcPr>
          <w:p>
            <w:pPr>
              <w:jc w:val="center"/>
              <w:rPr>
                <w:sz w:val="21"/>
                <w:szCs w:val="21"/>
              </w:rPr>
            </w:pPr>
            <w:r>
              <w:rPr>
                <w:rFonts w:hint="eastAsia"/>
                <w:sz w:val="21"/>
                <w:szCs w:val="21"/>
              </w:rPr>
              <w:t>要求范例</w:t>
            </w:r>
          </w:p>
        </w:tc>
        <w:tc>
          <w:tcPr>
            <w:tcW w:w="1780" w:type="dxa"/>
          </w:tcPr>
          <w:p>
            <w:pPr>
              <w:jc w:val="center"/>
              <w:rPr>
                <w:sz w:val="21"/>
                <w:szCs w:val="21"/>
              </w:rPr>
            </w:pPr>
            <w:r>
              <w:rPr>
                <w:rFonts w:hint="eastAsia"/>
                <w:sz w:val="21"/>
                <w:szCs w:val="21"/>
              </w:rPr>
              <w:t>相关条文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站场占地面积</w:t>
            </w:r>
          </w:p>
        </w:tc>
        <w:tc>
          <w:tcPr>
            <w:tcW w:w="3260" w:type="dxa"/>
            <w:vAlign w:val="center"/>
          </w:tcPr>
          <w:p>
            <w:pPr>
              <w:spacing w:line="240" w:lineRule="auto"/>
              <w:jc w:val="left"/>
              <w:rPr>
                <w:sz w:val="21"/>
                <w:szCs w:val="21"/>
                <w:u w:val="single"/>
              </w:rPr>
            </w:pPr>
            <w:r>
              <w:rPr>
                <w:rFonts w:cs="Arial"/>
                <w:color w:val="000000"/>
                <w:kern w:val="24"/>
                <w:sz w:val="21"/>
                <w:szCs w:val="21"/>
              </w:rPr>
              <w:t>≥</w:t>
            </w:r>
            <w:r>
              <w:rPr>
                <w:rFonts w:cs="Arial"/>
                <w:color w:val="000000"/>
                <w:kern w:val="24"/>
                <w:sz w:val="21"/>
                <w:szCs w:val="21"/>
                <w:u w:val="single"/>
              </w:rPr>
              <w:t>1500</w:t>
            </w:r>
            <w:r>
              <w:rPr>
                <w:rFonts w:hint="eastAsia" w:cs="Arial"/>
                <w:color w:val="000000"/>
                <w:kern w:val="24"/>
                <w:sz w:val="21"/>
                <w:szCs w:val="21"/>
              </w:rPr>
              <w:t>平方米</w:t>
            </w:r>
          </w:p>
        </w:tc>
        <w:tc>
          <w:tcPr>
            <w:tcW w:w="1780" w:type="dxa"/>
          </w:tcPr>
          <w:p>
            <w:pPr>
              <w:jc w:val="center"/>
              <w:rPr>
                <w:sz w:val="21"/>
                <w:szCs w:val="21"/>
              </w:rPr>
            </w:pPr>
            <w:r>
              <w:fldChar w:fldCharType="begin"/>
            </w:r>
            <w:r>
              <w:instrText xml:space="preserve"> REF _Ref453949489 \r \h  \* MERGEFORMAT </w:instrText>
            </w:r>
            <w:r>
              <w:fldChar w:fldCharType="separate"/>
            </w:r>
            <w:r>
              <w:rPr>
                <w:sz w:val="21"/>
                <w:szCs w:val="21"/>
              </w:rPr>
              <w:t>3.2</w:t>
            </w:r>
            <w:r>
              <w:rPr>
                <w:sz w:val="21"/>
                <w:szCs w:val="21"/>
              </w:rPr>
              <w:fldChar w:fldCharType="end"/>
            </w:r>
            <w:r>
              <w:rPr>
                <w:rFonts w:hint="eastAsia"/>
                <w:sz w:val="21"/>
                <w:szCs w:val="21"/>
              </w:rPr>
              <w:t>、</w:t>
            </w:r>
            <w:r>
              <w:fldChar w:fldCharType="begin"/>
            </w:r>
            <w:r>
              <w:instrText xml:space="preserve"> REF _Ref453949499 \r \h  \* MERGEFORMAT </w:instrText>
            </w:r>
            <w:r>
              <w:fldChar w:fldCharType="separate"/>
            </w:r>
            <w:r>
              <w:rPr>
                <w:sz w:val="21"/>
                <w:szCs w:val="21"/>
              </w:rPr>
              <w:t>3.3</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站务用房面积</w:t>
            </w:r>
          </w:p>
        </w:tc>
        <w:tc>
          <w:tcPr>
            <w:tcW w:w="3260" w:type="dxa"/>
            <w:vAlign w:val="center"/>
          </w:tcPr>
          <w:p>
            <w:pPr>
              <w:spacing w:line="240" w:lineRule="auto"/>
              <w:jc w:val="left"/>
              <w:rPr>
                <w:sz w:val="21"/>
                <w:szCs w:val="21"/>
                <w:u w:val="single"/>
              </w:rPr>
            </w:pPr>
            <w:r>
              <w:rPr>
                <w:rFonts w:cs="Arial"/>
                <w:color w:val="000000"/>
                <w:kern w:val="24"/>
                <w:sz w:val="21"/>
                <w:szCs w:val="21"/>
              </w:rPr>
              <w:t>≥</w:t>
            </w:r>
            <w:r>
              <w:rPr>
                <w:rFonts w:cs="Arial"/>
                <w:color w:val="000000"/>
                <w:kern w:val="24"/>
                <w:sz w:val="21"/>
                <w:szCs w:val="21"/>
                <w:u w:val="single"/>
              </w:rPr>
              <w:t>80</w:t>
            </w:r>
            <w:r>
              <w:rPr>
                <w:rFonts w:hint="eastAsia" w:cs="Arial"/>
                <w:color w:val="000000"/>
                <w:kern w:val="24"/>
                <w:sz w:val="21"/>
                <w:szCs w:val="21"/>
              </w:rPr>
              <w:t>平方米</w:t>
            </w:r>
          </w:p>
        </w:tc>
        <w:tc>
          <w:tcPr>
            <w:tcW w:w="1780" w:type="dxa"/>
            <w:vAlign w:val="center"/>
          </w:tcPr>
          <w:p>
            <w:pPr>
              <w:jc w:val="center"/>
              <w:rPr>
                <w:sz w:val="21"/>
                <w:szCs w:val="21"/>
              </w:rPr>
            </w:pPr>
            <w:r>
              <w:fldChar w:fldCharType="begin"/>
            </w:r>
            <w:r>
              <w:instrText xml:space="preserve"> REF _Ref454031177 \r \h  \* MERGEFORMAT </w:instrText>
            </w:r>
            <w:r>
              <w:fldChar w:fldCharType="separate"/>
            </w:r>
            <w:r>
              <w:rPr>
                <w:sz w:val="21"/>
                <w:szCs w:val="21"/>
              </w:rPr>
              <w:t>4.4.9</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停车坪面积</w:t>
            </w:r>
          </w:p>
        </w:tc>
        <w:tc>
          <w:tcPr>
            <w:tcW w:w="3260" w:type="dxa"/>
            <w:vAlign w:val="center"/>
          </w:tcPr>
          <w:p>
            <w:pPr>
              <w:spacing w:line="240" w:lineRule="auto"/>
              <w:jc w:val="left"/>
              <w:rPr>
                <w:sz w:val="21"/>
                <w:szCs w:val="21"/>
                <w:u w:val="single"/>
              </w:rPr>
            </w:pPr>
            <w:r>
              <w:rPr>
                <w:rFonts w:cs="Arial"/>
                <w:color w:val="000000"/>
                <w:kern w:val="24"/>
                <w:sz w:val="21"/>
                <w:szCs w:val="21"/>
              </w:rPr>
              <w:t>≥</w:t>
            </w:r>
            <w:r>
              <w:rPr>
                <w:rFonts w:cs="Arial"/>
                <w:color w:val="000000"/>
                <w:kern w:val="24"/>
                <w:sz w:val="21"/>
                <w:szCs w:val="21"/>
                <w:u w:val="single"/>
              </w:rPr>
              <w:t>120</w:t>
            </w:r>
            <w:r>
              <w:rPr>
                <w:rFonts w:hint="eastAsia" w:cs="Arial"/>
                <w:color w:val="000000"/>
                <w:kern w:val="24"/>
                <w:sz w:val="21"/>
                <w:szCs w:val="21"/>
              </w:rPr>
              <w:t>平方米</w:t>
            </w:r>
          </w:p>
        </w:tc>
        <w:tc>
          <w:tcPr>
            <w:tcW w:w="1780" w:type="dxa"/>
          </w:tcPr>
          <w:p>
            <w:pPr>
              <w:jc w:val="center"/>
              <w:rPr>
                <w:sz w:val="21"/>
                <w:szCs w:val="21"/>
              </w:rPr>
            </w:pPr>
            <w:r>
              <w:fldChar w:fldCharType="begin"/>
            </w:r>
            <w:r>
              <w:instrText xml:space="preserve"> REF _Ref454031209 \r \h  \* MERGEFORMAT </w:instrText>
            </w:r>
            <w:r>
              <w:fldChar w:fldCharType="separate"/>
            </w:r>
            <w:r>
              <w:rPr>
                <w:sz w:val="21"/>
                <w:szCs w:val="21"/>
              </w:rPr>
              <w:t>4.4.3</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到发车位</w:t>
            </w:r>
          </w:p>
        </w:tc>
        <w:tc>
          <w:tcPr>
            <w:tcW w:w="3260" w:type="dxa"/>
            <w:vAlign w:val="center"/>
          </w:tcPr>
          <w:p>
            <w:pPr>
              <w:spacing w:line="240" w:lineRule="auto"/>
              <w:jc w:val="left"/>
              <w:rPr>
                <w:sz w:val="21"/>
                <w:szCs w:val="21"/>
                <w:u w:val="single"/>
              </w:rPr>
            </w:pPr>
            <w:r>
              <w:rPr>
                <w:rFonts w:hint="eastAsia" w:cs="Arial"/>
                <w:color w:val="000000"/>
                <w:kern w:val="24"/>
                <w:sz w:val="21"/>
                <w:szCs w:val="21"/>
              </w:rPr>
              <w:t>每条线路不宜少于</w:t>
            </w:r>
            <w:r>
              <w:rPr>
                <w:rFonts w:cs="Arial"/>
                <w:color w:val="000000"/>
                <w:kern w:val="24"/>
                <w:sz w:val="21"/>
                <w:szCs w:val="21"/>
              </w:rPr>
              <w:t>3</w:t>
            </w:r>
            <w:r>
              <w:rPr>
                <w:rFonts w:hint="eastAsia" w:cs="Arial"/>
                <w:color w:val="000000"/>
                <w:kern w:val="24"/>
                <w:sz w:val="21"/>
                <w:szCs w:val="21"/>
              </w:rPr>
              <w:t>个</w:t>
            </w:r>
          </w:p>
        </w:tc>
        <w:tc>
          <w:tcPr>
            <w:tcW w:w="1780" w:type="dxa"/>
          </w:tcPr>
          <w:p>
            <w:pPr>
              <w:jc w:val="center"/>
              <w:rPr>
                <w:sz w:val="21"/>
                <w:szCs w:val="21"/>
              </w:rPr>
            </w:pPr>
            <w:r>
              <w:fldChar w:fldCharType="begin"/>
            </w:r>
            <w:r>
              <w:instrText xml:space="preserve"> REF _Ref454031225 \r \h  \* MERGEFORMAT </w:instrText>
            </w:r>
            <w:r>
              <w:fldChar w:fldCharType="separate"/>
            </w:r>
            <w:r>
              <w:rPr>
                <w:sz w:val="21"/>
                <w:szCs w:val="21"/>
              </w:rPr>
              <w:t>4.4.2</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rFonts w:cs="Arial"/>
                <w:color w:val="000000"/>
                <w:kern w:val="24"/>
                <w:sz w:val="21"/>
                <w:szCs w:val="21"/>
              </w:rPr>
            </w:pPr>
            <w:r>
              <w:rPr>
                <w:rFonts w:hint="eastAsia" w:cs="Arial"/>
                <w:color w:val="000000"/>
                <w:kern w:val="24"/>
                <w:sz w:val="21"/>
                <w:szCs w:val="21"/>
              </w:rPr>
              <w:t>出口和入口宽度</w:t>
            </w:r>
          </w:p>
        </w:tc>
        <w:tc>
          <w:tcPr>
            <w:tcW w:w="3260" w:type="dxa"/>
            <w:vAlign w:val="center"/>
          </w:tcPr>
          <w:p>
            <w:pPr>
              <w:spacing w:line="240" w:lineRule="auto"/>
              <w:jc w:val="left"/>
              <w:rPr>
                <w:rFonts w:cs="Arial"/>
                <w:color w:val="000000"/>
                <w:kern w:val="24"/>
                <w:sz w:val="21"/>
                <w:szCs w:val="21"/>
              </w:rPr>
            </w:pPr>
            <w:r>
              <w:rPr>
                <w:rFonts w:cs="Arial"/>
                <w:color w:val="000000"/>
                <w:kern w:val="24"/>
                <w:sz w:val="21"/>
                <w:szCs w:val="21"/>
              </w:rPr>
              <w:t>7.5-10</w:t>
            </w:r>
            <w:r>
              <w:rPr>
                <w:rFonts w:hint="eastAsia" w:cs="Arial"/>
                <w:color w:val="000000"/>
                <w:kern w:val="24"/>
                <w:sz w:val="21"/>
                <w:szCs w:val="21"/>
              </w:rPr>
              <w:t>米，宜分开设置；合并时宽度不小于</w:t>
            </w:r>
            <w:r>
              <w:rPr>
                <w:rFonts w:cs="Arial"/>
                <w:color w:val="000000"/>
                <w:kern w:val="24"/>
                <w:sz w:val="21"/>
                <w:szCs w:val="21"/>
              </w:rPr>
              <w:t>12</w:t>
            </w:r>
            <w:r>
              <w:rPr>
                <w:rFonts w:hint="eastAsia" w:cs="Arial"/>
                <w:color w:val="000000"/>
                <w:kern w:val="24"/>
                <w:sz w:val="21"/>
                <w:szCs w:val="21"/>
              </w:rPr>
              <w:t>米</w:t>
            </w:r>
          </w:p>
        </w:tc>
        <w:tc>
          <w:tcPr>
            <w:tcW w:w="1780" w:type="dxa"/>
            <w:vAlign w:val="center"/>
          </w:tcPr>
          <w:p>
            <w:pPr>
              <w:jc w:val="center"/>
              <w:rPr>
                <w:sz w:val="21"/>
                <w:szCs w:val="21"/>
              </w:rPr>
            </w:pPr>
            <w:r>
              <w:fldChar w:fldCharType="begin"/>
            </w:r>
            <w:r>
              <w:instrText xml:space="preserve"> REF _Ref464508659 \r \h  \* MERGEFORMAT </w:instrText>
            </w:r>
            <w:r>
              <w:fldChar w:fldCharType="separate"/>
            </w:r>
            <w:r>
              <w:rPr>
                <w:sz w:val="21"/>
                <w:szCs w:val="21"/>
              </w:rPr>
              <w:t>4.4.4.1</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rFonts w:cs="Arial"/>
                <w:color w:val="000000"/>
                <w:kern w:val="24"/>
                <w:sz w:val="21"/>
                <w:szCs w:val="21"/>
              </w:rPr>
            </w:pPr>
            <w:r>
              <w:rPr>
                <w:rFonts w:hint="eastAsia" w:cs="Arial"/>
                <w:color w:val="000000"/>
                <w:kern w:val="24"/>
                <w:sz w:val="21"/>
                <w:szCs w:val="21"/>
              </w:rPr>
              <w:t>出入口转弯半径</w:t>
            </w:r>
          </w:p>
        </w:tc>
        <w:tc>
          <w:tcPr>
            <w:tcW w:w="3260" w:type="dxa"/>
            <w:vAlign w:val="center"/>
          </w:tcPr>
          <w:p>
            <w:pPr>
              <w:spacing w:line="240" w:lineRule="auto"/>
              <w:jc w:val="left"/>
              <w:rPr>
                <w:rFonts w:cs="Arial"/>
                <w:color w:val="000000"/>
                <w:kern w:val="24"/>
                <w:sz w:val="21"/>
                <w:szCs w:val="21"/>
              </w:rPr>
            </w:pPr>
            <w:r>
              <w:rPr>
                <w:rFonts w:cs="Arial"/>
                <w:color w:val="000000"/>
                <w:kern w:val="24"/>
                <w:sz w:val="21"/>
                <w:szCs w:val="21"/>
              </w:rPr>
              <w:t>≥12</w:t>
            </w:r>
            <w:r>
              <w:rPr>
                <w:rFonts w:hint="eastAsia" w:cs="Arial"/>
                <w:color w:val="000000"/>
                <w:kern w:val="24"/>
                <w:sz w:val="21"/>
                <w:szCs w:val="21"/>
              </w:rPr>
              <w:t>米</w:t>
            </w:r>
          </w:p>
        </w:tc>
        <w:tc>
          <w:tcPr>
            <w:tcW w:w="1780" w:type="dxa"/>
          </w:tcPr>
          <w:p>
            <w:pPr>
              <w:jc w:val="center"/>
              <w:rPr>
                <w:sz w:val="21"/>
                <w:szCs w:val="21"/>
              </w:rPr>
            </w:pPr>
            <w:r>
              <w:fldChar w:fldCharType="begin"/>
            </w:r>
            <w:r>
              <w:instrText xml:space="preserve"> REF _Ref464508659 \r \h  \* MERGEFORMAT </w:instrText>
            </w:r>
            <w:r>
              <w:fldChar w:fldCharType="separate"/>
            </w:r>
            <w:r>
              <w:rPr>
                <w:sz w:val="21"/>
                <w:szCs w:val="21"/>
              </w:rPr>
              <w:t>4.4.4.1</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rFonts w:cs="Arial"/>
                <w:color w:val="000000"/>
                <w:kern w:val="24"/>
                <w:sz w:val="21"/>
                <w:szCs w:val="21"/>
              </w:rPr>
            </w:pPr>
            <w:r>
              <w:rPr>
                <w:rFonts w:hint="eastAsia" w:cs="Arial"/>
                <w:color w:val="000000"/>
                <w:kern w:val="24"/>
                <w:sz w:val="21"/>
                <w:szCs w:val="21"/>
              </w:rPr>
              <w:t>出入口位置</w:t>
            </w:r>
          </w:p>
        </w:tc>
        <w:tc>
          <w:tcPr>
            <w:tcW w:w="3260" w:type="dxa"/>
            <w:vAlign w:val="center"/>
          </w:tcPr>
          <w:p>
            <w:pPr>
              <w:spacing w:line="240" w:lineRule="auto"/>
              <w:jc w:val="left"/>
              <w:rPr>
                <w:rFonts w:cs="Arial"/>
                <w:color w:val="000000"/>
                <w:kern w:val="24"/>
                <w:sz w:val="21"/>
                <w:szCs w:val="21"/>
              </w:rPr>
            </w:pPr>
            <w:r>
              <w:rPr>
                <w:rFonts w:hint="eastAsia" w:cs="Arial"/>
                <w:color w:val="000000"/>
                <w:kern w:val="24"/>
                <w:sz w:val="21"/>
                <w:szCs w:val="21"/>
              </w:rPr>
              <w:t>宜设置在次干道或支路；避免靠近平面交叉口</w:t>
            </w:r>
          </w:p>
        </w:tc>
        <w:tc>
          <w:tcPr>
            <w:tcW w:w="1780" w:type="dxa"/>
            <w:vAlign w:val="center"/>
          </w:tcPr>
          <w:p>
            <w:pPr>
              <w:jc w:val="center"/>
              <w:rPr>
                <w:sz w:val="21"/>
                <w:szCs w:val="21"/>
              </w:rPr>
            </w:pPr>
            <w:r>
              <w:fldChar w:fldCharType="begin"/>
            </w:r>
            <w:r>
              <w:instrText xml:space="preserve"> REF _Ref453949590 \r \h  \* MERGEFORMAT </w:instrText>
            </w:r>
            <w:r>
              <w:fldChar w:fldCharType="separate"/>
            </w:r>
            <w:r>
              <w:rPr>
                <w:sz w:val="21"/>
                <w:szCs w:val="21"/>
              </w:rPr>
              <w:t>4.4.4.3</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rFonts w:cs="Arial"/>
                <w:color w:val="000000"/>
                <w:kern w:val="24"/>
                <w:sz w:val="21"/>
                <w:szCs w:val="21"/>
              </w:rPr>
            </w:pPr>
            <w:r>
              <w:rPr>
                <w:rFonts w:hint="eastAsia" w:cs="Arial"/>
                <w:color w:val="000000"/>
                <w:kern w:val="24"/>
                <w:sz w:val="21"/>
                <w:szCs w:val="21"/>
              </w:rPr>
              <w:t>站场内道路权限</w:t>
            </w:r>
          </w:p>
        </w:tc>
        <w:tc>
          <w:tcPr>
            <w:tcW w:w="3260" w:type="dxa"/>
            <w:vAlign w:val="center"/>
          </w:tcPr>
          <w:p>
            <w:pPr>
              <w:spacing w:line="240" w:lineRule="auto"/>
              <w:jc w:val="left"/>
              <w:rPr>
                <w:rFonts w:cs="Arial"/>
                <w:color w:val="000000"/>
                <w:kern w:val="24"/>
                <w:sz w:val="21"/>
                <w:szCs w:val="21"/>
              </w:rPr>
            </w:pPr>
            <w:r>
              <w:rPr>
                <w:rFonts w:hint="eastAsia" w:cs="Arial"/>
                <w:color w:val="000000"/>
                <w:kern w:val="24"/>
                <w:sz w:val="21"/>
                <w:szCs w:val="21"/>
                <w:u w:val="single"/>
              </w:rPr>
              <w:t>禁止与其他机动车混用</w:t>
            </w:r>
          </w:p>
        </w:tc>
        <w:tc>
          <w:tcPr>
            <w:tcW w:w="1780" w:type="dxa"/>
          </w:tcPr>
          <w:p>
            <w:pPr>
              <w:jc w:val="center"/>
              <w:rPr>
                <w:sz w:val="21"/>
                <w:szCs w:val="21"/>
              </w:rPr>
            </w:pPr>
            <w:r>
              <w:fldChar w:fldCharType="begin"/>
            </w:r>
            <w:r>
              <w:instrText xml:space="preserve"> REF _Ref453949590 \r \h  \* MERGEFORMAT </w:instrText>
            </w:r>
            <w:r>
              <w:fldChar w:fldCharType="separate"/>
            </w:r>
            <w:r>
              <w:rPr>
                <w:sz w:val="21"/>
                <w:szCs w:val="21"/>
              </w:rPr>
              <w:t>4.4.4.3</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rFonts w:cs="Arial"/>
                <w:color w:val="000000"/>
                <w:kern w:val="24"/>
                <w:sz w:val="21"/>
                <w:szCs w:val="21"/>
              </w:rPr>
            </w:pPr>
            <w:r>
              <w:rPr>
                <w:rFonts w:hint="eastAsia" w:cs="Arial"/>
                <w:color w:val="000000"/>
                <w:kern w:val="24"/>
                <w:sz w:val="21"/>
                <w:szCs w:val="21"/>
              </w:rPr>
              <w:t>交通组织</w:t>
            </w:r>
          </w:p>
        </w:tc>
        <w:tc>
          <w:tcPr>
            <w:tcW w:w="3260" w:type="dxa"/>
            <w:vAlign w:val="center"/>
          </w:tcPr>
          <w:p>
            <w:pPr>
              <w:spacing w:line="240" w:lineRule="auto"/>
              <w:jc w:val="left"/>
              <w:rPr>
                <w:rFonts w:cs="Arial"/>
                <w:color w:val="000000"/>
                <w:kern w:val="24"/>
                <w:sz w:val="21"/>
                <w:szCs w:val="21"/>
              </w:rPr>
            </w:pPr>
            <w:r>
              <w:rPr>
                <w:rFonts w:hint="eastAsia" w:cs="Arial"/>
                <w:color w:val="000000"/>
                <w:kern w:val="24"/>
                <w:sz w:val="21"/>
                <w:szCs w:val="21"/>
              </w:rPr>
              <w:t>行人与机动车分离</w:t>
            </w:r>
          </w:p>
        </w:tc>
        <w:tc>
          <w:tcPr>
            <w:tcW w:w="1780" w:type="dxa"/>
          </w:tcPr>
          <w:p>
            <w:pPr>
              <w:jc w:val="center"/>
              <w:rPr>
                <w:sz w:val="21"/>
                <w:szCs w:val="21"/>
              </w:rPr>
            </w:pPr>
            <w:r>
              <w:fldChar w:fldCharType="begin"/>
            </w:r>
            <w:r>
              <w:instrText xml:space="preserve"> REF _Ref453949590 \r \h  \* MERGEFORMAT </w:instrText>
            </w:r>
            <w:r>
              <w:fldChar w:fldCharType="separate"/>
            </w:r>
            <w:r>
              <w:rPr>
                <w:sz w:val="21"/>
                <w:szCs w:val="21"/>
              </w:rPr>
              <w:t>4.4.4.3</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rFonts w:cs="Arial"/>
                <w:color w:val="000000"/>
                <w:kern w:val="24"/>
                <w:sz w:val="21"/>
                <w:szCs w:val="21"/>
              </w:rPr>
            </w:pPr>
            <w:r>
              <w:rPr>
                <w:rFonts w:hint="eastAsia" w:cs="Arial"/>
                <w:color w:val="000000"/>
                <w:kern w:val="24"/>
                <w:sz w:val="21"/>
                <w:szCs w:val="21"/>
              </w:rPr>
              <w:t>站务用房位置</w:t>
            </w:r>
          </w:p>
        </w:tc>
        <w:tc>
          <w:tcPr>
            <w:tcW w:w="3260" w:type="dxa"/>
            <w:vAlign w:val="center"/>
          </w:tcPr>
          <w:p>
            <w:pPr>
              <w:spacing w:line="240" w:lineRule="auto"/>
              <w:jc w:val="left"/>
              <w:rPr>
                <w:rFonts w:cs="Arial"/>
                <w:color w:val="000000"/>
                <w:kern w:val="24"/>
                <w:sz w:val="21"/>
                <w:szCs w:val="21"/>
              </w:rPr>
            </w:pPr>
            <w:r>
              <w:rPr>
                <w:rFonts w:hint="eastAsia" w:cs="Arial"/>
                <w:color w:val="000000"/>
                <w:kern w:val="24"/>
                <w:sz w:val="21"/>
                <w:szCs w:val="21"/>
              </w:rPr>
              <w:t>方便司乘人员进出</w:t>
            </w:r>
          </w:p>
        </w:tc>
        <w:tc>
          <w:tcPr>
            <w:tcW w:w="1780" w:type="dxa"/>
          </w:tcPr>
          <w:p>
            <w:pPr>
              <w:jc w:val="center"/>
              <w:rPr>
                <w:sz w:val="21"/>
                <w:szCs w:val="21"/>
              </w:rPr>
            </w:pPr>
            <w:r>
              <w:rPr>
                <w:sz w:val="21"/>
                <w:szCs w:val="21"/>
              </w:rPr>
              <w:fldChar w:fldCharType="begin"/>
            </w:r>
            <w:r>
              <w:rPr>
                <w:sz w:val="21"/>
                <w:szCs w:val="21"/>
              </w:rPr>
              <w:instrText xml:space="preserve"> REF _Ref464508696 \r \h </w:instrText>
            </w:r>
            <w:r>
              <w:rPr>
                <w:sz w:val="21"/>
                <w:szCs w:val="21"/>
              </w:rPr>
              <w:fldChar w:fldCharType="separate"/>
            </w:r>
            <w:r>
              <w:rPr>
                <w:sz w:val="21"/>
                <w:szCs w:val="21"/>
              </w:rPr>
              <w:t>4.4.9.2</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场地净高</w:t>
            </w:r>
          </w:p>
        </w:tc>
        <w:tc>
          <w:tcPr>
            <w:tcW w:w="3260" w:type="dxa"/>
            <w:vAlign w:val="center"/>
          </w:tcPr>
          <w:p>
            <w:pPr>
              <w:spacing w:line="240" w:lineRule="auto"/>
              <w:jc w:val="left"/>
              <w:rPr>
                <w:sz w:val="21"/>
                <w:szCs w:val="21"/>
                <w:u w:val="single"/>
              </w:rPr>
            </w:pPr>
            <w:r>
              <w:rPr>
                <w:rFonts w:cs="Arial"/>
                <w:color w:val="000000"/>
                <w:kern w:val="24"/>
                <w:sz w:val="21"/>
                <w:szCs w:val="21"/>
              </w:rPr>
              <w:t>≥3.8</w:t>
            </w:r>
            <w:r>
              <w:rPr>
                <w:rFonts w:hint="eastAsia" w:cs="Arial"/>
                <w:color w:val="000000"/>
                <w:kern w:val="24"/>
                <w:sz w:val="21"/>
                <w:szCs w:val="21"/>
              </w:rPr>
              <w:t>米</w:t>
            </w:r>
          </w:p>
        </w:tc>
        <w:tc>
          <w:tcPr>
            <w:tcW w:w="1780" w:type="dxa"/>
          </w:tcPr>
          <w:p>
            <w:pPr>
              <w:jc w:val="center"/>
              <w:rPr>
                <w:sz w:val="21"/>
                <w:szCs w:val="21"/>
              </w:rPr>
            </w:pPr>
            <w:r>
              <w:fldChar w:fldCharType="begin"/>
            </w:r>
            <w:r>
              <w:instrText xml:space="preserve"> REF _Ref454031437 \r \h  \* MERGEFORMAT </w:instrText>
            </w:r>
            <w:r>
              <w:fldChar w:fldCharType="separate"/>
            </w:r>
            <w:r>
              <w:rPr>
                <w:sz w:val="21"/>
                <w:szCs w:val="21"/>
              </w:rPr>
              <w:t>4.4.12.1</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坡道坡度</w:t>
            </w:r>
          </w:p>
        </w:tc>
        <w:tc>
          <w:tcPr>
            <w:tcW w:w="3260" w:type="dxa"/>
            <w:vAlign w:val="center"/>
          </w:tcPr>
          <w:p>
            <w:pPr>
              <w:spacing w:line="240" w:lineRule="auto"/>
              <w:jc w:val="left"/>
              <w:rPr>
                <w:sz w:val="21"/>
                <w:szCs w:val="21"/>
                <w:u w:val="single"/>
              </w:rPr>
            </w:pPr>
            <w:r>
              <w:rPr>
                <w:rFonts w:cs="Arial"/>
                <w:color w:val="000000"/>
                <w:kern w:val="24"/>
                <w:sz w:val="21"/>
                <w:szCs w:val="21"/>
              </w:rPr>
              <w:t>≤7%</w:t>
            </w:r>
          </w:p>
        </w:tc>
        <w:tc>
          <w:tcPr>
            <w:tcW w:w="1780" w:type="dxa"/>
          </w:tcPr>
          <w:p>
            <w:pPr>
              <w:jc w:val="center"/>
              <w:rPr>
                <w:sz w:val="21"/>
                <w:szCs w:val="21"/>
              </w:rPr>
            </w:pPr>
            <w:r>
              <w:fldChar w:fldCharType="begin"/>
            </w:r>
            <w:r>
              <w:instrText xml:space="preserve"> REF _Ref454031458 \r \h  \* MERGEFORMAT </w:instrText>
            </w:r>
            <w:r>
              <w:fldChar w:fldCharType="separate"/>
            </w:r>
            <w:r>
              <w:rPr>
                <w:sz w:val="21"/>
                <w:szCs w:val="21"/>
              </w:rPr>
              <w:t>4.4.12.2</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站台净宽</w:t>
            </w:r>
          </w:p>
        </w:tc>
        <w:tc>
          <w:tcPr>
            <w:tcW w:w="3260" w:type="dxa"/>
            <w:vAlign w:val="center"/>
          </w:tcPr>
          <w:p>
            <w:pPr>
              <w:spacing w:line="240" w:lineRule="auto"/>
              <w:jc w:val="left"/>
              <w:rPr>
                <w:sz w:val="21"/>
                <w:szCs w:val="21"/>
                <w:u w:val="single"/>
              </w:rPr>
            </w:pPr>
            <w:r>
              <w:rPr>
                <w:rFonts w:cs="Arial"/>
                <w:color w:val="000000"/>
                <w:kern w:val="24"/>
                <w:sz w:val="21"/>
                <w:szCs w:val="21"/>
              </w:rPr>
              <w:t>≥2</w:t>
            </w:r>
            <w:r>
              <w:rPr>
                <w:rFonts w:hint="eastAsia" w:cs="Arial"/>
                <w:color w:val="000000"/>
                <w:kern w:val="24"/>
                <w:sz w:val="21"/>
                <w:szCs w:val="21"/>
              </w:rPr>
              <w:t>米</w:t>
            </w:r>
          </w:p>
        </w:tc>
        <w:tc>
          <w:tcPr>
            <w:tcW w:w="1780" w:type="dxa"/>
          </w:tcPr>
          <w:p>
            <w:pPr>
              <w:jc w:val="center"/>
              <w:rPr>
                <w:sz w:val="21"/>
                <w:szCs w:val="21"/>
              </w:rPr>
            </w:pPr>
            <w:r>
              <w:fldChar w:fldCharType="begin"/>
            </w:r>
            <w:r>
              <w:instrText xml:space="preserve"> REF _Ref454031514 \r \h  \* MERGEFORMAT </w:instrText>
            </w:r>
            <w:r>
              <w:fldChar w:fldCharType="separate"/>
            </w:r>
            <w:r>
              <w:rPr>
                <w:sz w:val="21"/>
                <w:szCs w:val="21"/>
              </w:rPr>
              <w:t>4.4.5.3</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站台长度</w:t>
            </w:r>
          </w:p>
        </w:tc>
        <w:tc>
          <w:tcPr>
            <w:tcW w:w="3260" w:type="dxa"/>
            <w:vAlign w:val="center"/>
          </w:tcPr>
          <w:p>
            <w:pPr>
              <w:spacing w:line="240" w:lineRule="auto"/>
              <w:jc w:val="left"/>
              <w:rPr>
                <w:sz w:val="21"/>
                <w:szCs w:val="21"/>
                <w:u w:val="single"/>
              </w:rPr>
            </w:pPr>
            <w:r>
              <w:rPr>
                <w:rFonts w:cs="Arial"/>
                <w:color w:val="000000"/>
                <w:kern w:val="24"/>
                <w:sz w:val="21"/>
                <w:szCs w:val="21"/>
              </w:rPr>
              <w:t>≤39</w:t>
            </w:r>
            <w:r>
              <w:rPr>
                <w:rFonts w:hint="eastAsia" w:cs="Arial"/>
                <w:color w:val="000000"/>
                <w:kern w:val="24"/>
                <w:sz w:val="21"/>
                <w:szCs w:val="21"/>
              </w:rPr>
              <w:t>米</w:t>
            </w:r>
          </w:p>
        </w:tc>
        <w:tc>
          <w:tcPr>
            <w:tcW w:w="1780" w:type="dxa"/>
          </w:tcPr>
          <w:p>
            <w:pPr>
              <w:jc w:val="center"/>
              <w:rPr>
                <w:sz w:val="21"/>
                <w:szCs w:val="21"/>
              </w:rPr>
            </w:pPr>
            <w:r>
              <w:fldChar w:fldCharType="begin"/>
            </w:r>
            <w:r>
              <w:instrText xml:space="preserve"> REF _Ref454031657 \r \h  \* MERGEFORMAT </w:instrText>
            </w:r>
            <w:r>
              <w:fldChar w:fldCharType="separate"/>
            </w:r>
            <w:r>
              <w:rPr>
                <w:sz w:val="21"/>
                <w:szCs w:val="21"/>
              </w:rPr>
              <w:t>4.4.5.4</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候车廊净高</w:t>
            </w:r>
          </w:p>
        </w:tc>
        <w:tc>
          <w:tcPr>
            <w:tcW w:w="3260" w:type="dxa"/>
            <w:vAlign w:val="center"/>
          </w:tcPr>
          <w:p>
            <w:pPr>
              <w:spacing w:line="240" w:lineRule="auto"/>
              <w:jc w:val="left"/>
              <w:rPr>
                <w:sz w:val="21"/>
                <w:szCs w:val="21"/>
                <w:u w:val="single"/>
              </w:rPr>
            </w:pPr>
            <w:r>
              <w:rPr>
                <w:rFonts w:cs="Arial"/>
                <w:color w:val="000000"/>
                <w:kern w:val="24"/>
                <w:sz w:val="21"/>
                <w:szCs w:val="21"/>
              </w:rPr>
              <w:t>≥2.5</w:t>
            </w:r>
            <w:r>
              <w:rPr>
                <w:rFonts w:hint="eastAsia" w:cs="Arial"/>
                <w:color w:val="000000"/>
                <w:kern w:val="24"/>
                <w:sz w:val="21"/>
                <w:szCs w:val="21"/>
              </w:rPr>
              <w:t>米</w:t>
            </w:r>
          </w:p>
        </w:tc>
        <w:tc>
          <w:tcPr>
            <w:tcW w:w="1780" w:type="dxa"/>
          </w:tcPr>
          <w:p>
            <w:pPr>
              <w:jc w:val="center"/>
              <w:rPr>
                <w:sz w:val="21"/>
                <w:szCs w:val="21"/>
              </w:rPr>
            </w:pPr>
            <w:r>
              <w:fldChar w:fldCharType="begin"/>
            </w:r>
            <w:r>
              <w:instrText xml:space="preserve"> REF _Ref454031548 \r \h  \* MERGEFORMAT </w:instrText>
            </w:r>
            <w:r>
              <w:fldChar w:fldCharType="separate"/>
            </w:r>
            <w:r>
              <w:rPr>
                <w:sz w:val="21"/>
                <w:szCs w:val="21"/>
              </w:rPr>
              <w:t>4.4.6.3</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照明、通风</w:t>
            </w:r>
          </w:p>
        </w:tc>
        <w:tc>
          <w:tcPr>
            <w:tcW w:w="3260" w:type="dxa"/>
            <w:vAlign w:val="center"/>
          </w:tcPr>
          <w:p>
            <w:pPr>
              <w:spacing w:line="240" w:lineRule="auto"/>
              <w:jc w:val="left"/>
              <w:rPr>
                <w:sz w:val="21"/>
                <w:szCs w:val="21"/>
              </w:rPr>
            </w:pPr>
            <w:r>
              <w:rPr>
                <w:rFonts w:hint="eastAsia" w:cs="Arial"/>
                <w:color w:val="000000"/>
                <w:kern w:val="24"/>
                <w:sz w:val="21"/>
                <w:szCs w:val="21"/>
              </w:rPr>
              <w:t>设施完善</w:t>
            </w:r>
          </w:p>
        </w:tc>
        <w:tc>
          <w:tcPr>
            <w:tcW w:w="1780" w:type="dxa"/>
          </w:tcPr>
          <w:p>
            <w:pPr>
              <w:jc w:val="center"/>
              <w:rPr>
                <w:sz w:val="21"/>
                <w:szCs w:val="21"/>
              </w:rPr>
            </w:pPr>
            <w:r>
              <w:fldChar w:fldCharType="begin"/>
            </w:r>
            <w:r>
              <w:instrText xml:space="preserve"> REF _Ref454032329 \r \h  \* MERGEFORMAT </w:instrText>
            </w:r>
            <w:r>
              <w:fldChar w:fldCharType="separate"/>
            </w:r>
            <w:r>
              <w:rPr>
                <w:sz w:val="21"/>
                <w:szCs w:val="21"/>
              </w:rPr>
              <w:t>4.4.6.2</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人行道宽度</w:t>
            </w:r>
          </w:p>
        </w:tc>
        <w:tc>
          <w:tcPr>
            <w:tcW w:w="3260" w:type="dxa"/>
            <w:vAlign w:val="center"/>
          </w:tcPr>
          <w:p>
            <w:pPr>
              <w:spacing w:line="240" w:lineRule="auto"/>
              <w:jc w:val="left"/>
              <w:rPr>
                <w:sz w:val="21"/>
                <w:szCs w:val="21"/>
              </w:rPr>
            </w:pPr>
            <w:r>
              <w:rPr>
                <w:rFonts w:cs="Arial"/>
                <w:color w:val="000000"/>
                <w:kern w:val="24"/>
                <w:sz w:val="21"/>
                <w:szCs w:val="21"/>
              </w:rPr>
              <w:t>≥3</w:t>
            </w:r>
            <w:r>
              <w:rPr>
                <w:rFonts w:hint="eastAsia" w:cs="Arial"/>
                <w:color w:val="000000"/>
                <w:kern w:val="24"/>
                <w:sz w:val="21"/>
                <w:szCs w:val="21"/>
              </w:rPr>
              <w:t>米</w:t>
            </w:r>
          </w:p>
        </w:tc>
        <w:tc>
          <w:tcPr>
            <w:tcW w:w="1780" w:type="dxa"/>
          </w:tcPr>
          <w:p>
            <w:pPr>
              <w:jc w:val="center"/>
              <w:rPr>
                <w:sz w:val="21"/>
                <w:szCs w:val="21"/>
              </w:rPr>
            </w:pPr>
            <w:r>
              <w:fldChar w:fldCharType="begin"/>
            </w:r>
            <w:r>
              <w:instrText xml:space="preserve"> REF _Ref454032349 \r \h  \* MERGEFORMAT </w:instrText>
            </w:r>
            <w:r>
              <w:fldChar w:fldCharType="separate"/>
            </w:r>
            <w:r>
              <w:rPr>
                <w:sz w:val="21"/>
                <w:szCs w:val="21"/>
              </w:rPr>
              <w:t>4.4.7.1</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sz w:val="21"/>
                <w:szCs w:val="21"/>
              </w:rPr>
              <w:t>无障碍设施</w:t>
            </w:r>
          </w:p>
        </w:tc>
        <w:tc>
          <w:tcPr>
            <w:tcW w:w="3260" w:type="dxa"/>
            <w:vAlign w:val="center"/>
          </w:tcPr>
          <w:p>
            <w:pPr>
              <w:spacing w:line="240" w:lineRule="auto"/>
              <w:jc w:val="left"/>
              <w:rPr>
                <w:sz w:val="21"/>
                <w:szCs w:val="21"/>
              </w:rPr>
            </w:pPr>
            <w:r>
              <w:rPr>
                <w:rFonts w:hint="eastAsia"/>
                <w:sz w:val="21"/>
                <w:szCs w:val="21"/>
              </w:rPr>
              <w:t>为使用轮椅的乘客设置候车位和无障碍的连续通道</w:t>
            </w:r>
          </w:p>
        </w:tc>
        <w:tc>
          <w:tcPr>
            <w:tcW w:w="1780" w:type="dxa"/>
            <w:vAlign w:val="center"/>
          </w:tcPr>
          <w:p>
            <w:pPr>
              <w:jc w:val="center"/>
              <w:rPr>
                <w:sz w:val="21"/>
                <w:szCs w:val="21"/>
              </w:rPr>
            </w:pPr>
            <w:r>
              <w:fldChar w:fldCharType="begin"/>
            </w:r>
            <w:r>
              <w:instrText xml:space="preserve"> REF _Ref464508776 \r \h  \* MERGEFORMAT </w:instrText>
            </w:r>
            <w:r>
              <w:fldChar w:fldCharType="separate"/>
            </w:r>
            <w:r>
              <w:rPr>
                <w:sz w:val="21"/>
                <w:szCs w:val="21"/>
              </w:rPr>
              <w:t>4.4.8.3</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护栏</w:t>
            </w:r>
          </w:p>
        </w:tc>
        <w:tc>
          <w:tcPr>
            <w:tcW w:w="3260" w:type="dxa"/>
            <w:vAlign w:val="center"/>
          </w:tcPr>
          <w:p>
            <w:pPr>
              <w:spacing w:line="240" w:lineRule="auto"/>
              <w:jc w:val="left"/>
              <w:rPr>
                <w:sz w:val="21"/>
                <w:szCs w:val="21"/>
              </w:rPr>
            </w:pPr>
            <w:r>
              <w:rPr>
                <w:rFonts w:cs="Arial"/>
                <w:color w:val="000000"/>
                <w:kern w:val="24"/>
                <w:sz w:val="21"/>
                <w:szCs w:val="21"/>
              </w:rPr>
              <w:t>≥0.9</w:t>
            </w:r>
            <w:r>
              <w:rPr>
                <w:rFonts w:hint="eastAsia" w:cs="Arial"/>
                <w:color w:val="000000"/>
                <w:kern w:val="24"/>
                <w:sz w:val="21"/>
                <w:szCs w:val="21"/>
              </w:rPr>
              <w:t>米</w:t>
            </w:r>
          </w:p>
        </w:tc>
        <w:tc>
          <w:tcPr>
            <w:tcW w:w="1780" w:type="dxa"/>
          </w:tcPr>
          <w:p>
            <w:pPr>
              <w:jc w:val="center"/>
              <w:rPr>
                <w:sz w:val="21"/>
                <w:szCs w:val="21"/>
              </w:rPr>
            </w:pPr>
            <w:r>
              <w:fldChar w:fldCharType="begin"/>
            </w:r>
            <w:r>
              <w:instrText xml:space="preserve"> REF _Ref454032480 \r \h  \* MERGEFORMAT </w:instrText>
            </w:r>
            <w:r>
              <w:fldChar w:fldCharType="separate"/>
            </w:r>
            <w:r>
              <w:rPr>
                <w:sz w:val="21"/>
                <w:szCs w:val="21"/>
              </w:rPr>
              <w:t>4.4.7.3</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回车道转弯半径</w:t>
            </w:r>
          </w:p>
        </w:tc>
        <w:tc>
          <w:tcPr>
            <w:tcW w:w="3260" w:type="dxa"/>
            <w:vAlign w:val="center"/>
          </w:tcPr>
          <w:p>
            <w:pPr>
              <w:spacing w:line="240" w:lineRule="auto"/>
              <w:jc w:val="left"/>
              <w:rPr>
                <w:sz w:val="21"/>
                <w:szCs w:val="21"/>
              </w:rPr>
            </w:pPr>
            <w:r>
              <w:rPr>
                <w:rFonts w:cs="Arial"/>
                <w:color w:val="000000"/>
                <w:kern w:val="24"/>
                <w:sz w:val="21"/>
                <w:szCs w:val="21"/>
              </w:rPr>
              <w:t>≥13</w:t>
            </w:r>
            <w:r>
              <w:rPr>
                <w:rFonts w:hint="eastAsia" w:cs="Arial"/>
                <w:color w:val="000000"/>
                <w:kern w:val="24"/>
                <w:sz w:val="21"/>
                <w:szCs w:val="21"/>
              </w:rPr>
              <w:t>米</w:t>
            </w:r>
          </w:p>
        </w:tc>
        <w:tc>
          <w:tcPr>
            <w:tcW w:w="1780" w:type="dxa"/>
          </w:tcPr>
          <w:p>
            <w:pPr>
              <w:jc w:val="center"/>
              <w:rPr>
                <w:sz w:val="21"/>
                <w:szCs w:val="21"/>
              </w:rPr>
            </w:pPr>
            <w:r>
              <w:fldChar w:fldCharType="begin"/>
            </w:r>
            <w:r>
              <w:instrText xml:space="preserve"> REF _Ref454032520 \r \h  \* MERGEFORMAT </w:instrText>
            </w:r>
            <w:r>
              <w:fldChar w:fldCharType="separate"/>
            </w:r>
            <w:r>
              <w:rPr>
                <w:sz w:val="21"/>
                <w:szCs w:val="21"/>
              </w:rPr>
              <w:t>4.4.1.2</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回车道宽度</w:t>
            </w:r>
          </w:p>
        </w:tc>
        <w:tc>
          <w:tcPr>
            <w:tcW w:w="3260" w:type="dxa"/>
            <w:vAlign w:val="center"/>
          </w:tcPr>
          <w:p>
            <w:pPr>
              <w:spacing w:line="240" w:lineRule="auto"/>
              <w:jc w:val="left"/>
              <w:rPr>
                <w:sz w:val="21"/>
                <w:szCs w:val="21"/>
              </w:rPr>
            </w:pPr>
            <w:r>
              <w:rPr>
                <w:rFonts w:cs="Arial"/>
                <w:color w:val="000000"/>
                <w:kern w:val="24"/>
                <w:sz w:val="21"/>
                <w:szCs w:val="21"/>
              </w:rPr>
              <w:t>≥7</w:t>
            </w:r>
            <w:r>
              <w:rPr>
                <w:rFonts w:hint="eastAsia" w:cs="Arial"/>
                <w:color w:val="000000"/>
                <w:kern w:val="24"/>
                <w:sz w:val="21"/>
                <w:szCs w:val="21"/>
              </w:rPr>
              <w:t>米</w:t>
            </w:r>
          </w:p>
        </w:tc>
        <w:tc>
          <w:tcPr>
            <w:tcW w:w="1780" w:type="dxa"/>
          </w:tcPr>
          <w:p>
            <w:pPr>
              <w:jc w:val="center"/>
              <w:rPr>
                <w:sz w:val="21"/>
                <w:szCs w:val="21"/>
              </w:rPr>
            </w:pPr>
            <w:r>
              <w:fldChar w:fldCharType="begin"/>
            </w:r>
            <w:r>
              <w:instrText xml:space="preserve"> REF _Ref454032547 \r \h  \* MERGEFORMAT </w:instrText>
            </w:r>
            <w:r>
              <w:fldChar w:fldCharType="separate"/>
            </w:r>
            <w:r>
              <w:rPr>
                <w:sz w:val="21"/>
                <w:szCs w:val="21"/>
              </w:rPr>
              <w:t>4.4.1.1</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出入口设施设置</w:t>
            </w:r>
          </w:p>
        </w:tc>
        <w:tc>
          <w:tcPr>
            <w:tcW w:w="3260" w:type="dxa"/>
            <w:vAlign w:val="center"/>
          </w:tcPr>
          <w:p>
            <w:pPr>
              <w:spacing w:line="240" w:lineRule="auto"/>
              <w:jc w:val="left"/>
              <w:rPr>
                <w:sz w:val="21"/>
                <w:szCs w:val="21"/>
              </w:rPr>
            </w:pPr>
            <w:r>
              <w:rPr>
                <w:rFonts w:hint="eastAsia" w:cs="Arial"/>
                <w:color w:val="000000"/>
                <w:kern w:val="24"/>
                <w:sz w:val="21"/>
                <w:szCs w:val="21"/>
              </w:rPr>
              <w:t>设置明显的标志标线和指示牌</w:t>
            </w:r>
          </w:p>
        </w:tc>
        <w:tc>
          <w:tcPr>
            <w:tcW w:w="1780" w:type="dxa"/>
          </w:tcPr>
          <w:p>
            <w:pPr>
              <w:jc w:val="center"/>
              <w:rPr>
                <w:sz w:val="21"/>
                <w:szCs w:val="21"/>
              </w:rPr>
            </w:pPr>
            <w:r>
              <w:rPr>
                <w:sz w:val="21"/>
                <w:szCs w:val="21"/>
              </w:rPr>
              <w:fldChar w:fldCharType="begin"/>
            </w:r>
            <w:r>
              <w:rPr>
                <w:sz w:val="21"/>
                <w:szCs w:val="21"/>
              </w:rPr>
              <w:instrText xml:space="preserve"> REF _Ref454032591 \r \h </w:instrText>
            </w:r>
            <w:r>
              <w:rPr>
                <w:sz w:val="21"/>
                <w:szCs w:val="21"/>
              </w:rPr>
              <w:fldChar w:fldCharType="separate"/>
            </w:r>
            <w:r>
              <w:rPr>
                <w:sz w:val="21"/>
                <w:szCs w:val="21"/>
              </w:rPr>
              <w:t>4.4.4.6</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sz w:val="21"/>
                <w:szCs w:val="21"/>
              </w:rPr>
              <w:t>休息室（平方米）</w:t>
            </w:r>
          </w:p>
        </w:tc>
        <w:tc>
          <w:tcPr>
            <w:tcW w:w="3260" w:type="dxa"/>
            <w:vAlign w:val="center"/>
          </w:tcPr>
          <w:p>
            <w:pPr>
              <w:spacing w:line="240" w:lineRule="auto"/>
              <w:jc w:val="left"/>
              <w:rPr>
                <w:sz w:val="21"/>
                <w:szCs w:val="21"/>
                <w:u w:val="single"/>
              </w:rPr>
            </w:pPr>
            <w:r>
              <w:rPr>
                <w:sz w:val="21"/>
                <w:szCs w:val="21"/>
                <w:u w:val="single"/>
              </w:rPr>
              <w:t>6</w:t>
            </w:r>
          </w:p>
        </w:tc>
        <w:tc>
          <w:tcPr>
            <w:tcW w:w="1780" w:type="dxa"/>
          </w:tcPr>
          <w:p>
            <w:pPr>
              <w:jc w:val="center"/>
              <w:rPr>
                <w:sz w:val="21"/>
                <w:szCs w:val="21"/>
              </w:rPr>
            </w:pPr>
            <w:r>
              <w:rPr>
                <w:sz w:val="21"/>
                <w:szCs w:val="21"/>
              </w:rPr>
              <w:fldChar w:fldCharType="begin"/>
            </w:r>
            <w:r>
              <w:rPr>
                <w:sz w:val="21"/>
                <w:szCs w:val="21"/>
              </w:rPr>
              <w:instrText xml:space="preserve"> REF _Ref454032591 \r \h </w:instrText>
            </w:r>
            <w:r>
              <w:rPr>
                <w:sz w:val="21"/>
                <w:szCs w:val="21"/>
              </w:rPr>
              <w:fldChar w:fldCharType="separate"/>
            </w:r>
            <w:r>
              <w:rPr>
                <w:sz w:val="21"/>
                <w:szCs w:val="21"/>
              </w:rPr>
              <w:t>4.4.4.6</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卫生间（平方米）</w:t>
            </w:r>
          </w:p>
        </w:tc>
        <w:tc>
          <w:tcPr>
            <w:tcW w:w="3260" w:type="dxa"/>
            <w:vAlign w:val="center"/>
          </w:tcPr>
          <w:p>
            <w:pPr>
              <w:spacing w:line="240" w:lineRule="auto"/>
              <w:jc w:val="left"/>
              <w:rPr>
                <w:sz w:val="21"/>
                <w:szCs w:val="21"/>
                <w:u w:val="single"/>
              </w:rPr>
            </w:pPr>
            <w:r>
              <w:rPr>
                <w:rFonts w:cs="Arial"/>
                <w:color w:val="000000"/>
                <w:kern w:val="24"/>
                <w:sz w:val="21"/>
                <w:szCs w:val="21"/>
                <w:u w:val="single"/>
              </w:rPr>
              <w:t>5</w:t>
            </w:r>
          </w:p>
        </w:tc>
        <w:tc>
          <w:tcPr>
            <w:tcW w:w="1780" w:type="dxa"/>
          </w:tcPr>
          <w:p>
            <w:pPr>
              <w:jc w:val="center"/>
              <w:rPr>
                <w:sz w:val="21"/>
                <w:szCs w:val="21"/>
              </w:rPr>
            </w:pPr>
            <w:r>
              <w:rPr>
                <w:sz w:val="21"/>
                <w:szCs w:val="21"/>
              </w:rPr>
              <w:fldChar w:fldCharType="begin"/>
            </w:r>
            <w:r>
              <w:rPr>
                <w:sz w:val="21"/>
                <w:szCs w:val="21"/>
              </w:rPr>
              <w:instrText xml:space="preserve"> REF _Ref454032591 \r \h </w:instrText>
            </w:r>
            <w:r>
              <w:rPr>
                <w:sz w:val="21"/>
                <w:szCs w:val="21"/>
              </w:rPr>
              <w:fldChar w:fldCharType="separate"/>
            </w:r>
            <w:r>
              <w:rPr>
                <w:sz w:val="21"/>
                <w:szCs w:val="21"/>
              </w:rPr>
              <w:t>4.4.4.6</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sz w:val="21"/>
                <w:szCs w:val="21"/>
              </w:rPr>
              <w:t>调度管理用房</w:t>
            </w:r>
          </w:p>
        </w:tc>
        <w:tc>
          <w:tcPr>
            <w:tcW w:w="3260" w:type="dxa"/>
            <w:vAlign w:val="center"/>
          </w:tcPr>
          <w:p>
            <w:pPr>
              <w:spacing w:line="240" w:lineRule="auto"/>
              <w:jc w:val="left"/>
              <w:rPr>
                <w:sz w:val="21"/>
                <w:szCs w:val="21"/>
                <w:u w:val="single"/>
              </w:rPr>
            </w:pPr>
            <w:r>
              <w:rPr>
                <w:rFonts w:cs="Arial"/>
                <w:color w:val="000000"/>
                <w:kern w:val="24"/>
                <w:sz w:val="21"/>
                <w:szCs w:val="21"/>
              </w:rPr>
              <w:t>≥</w:t>
            </w:r>
            <w:r>
              <w:rPr>
                <w:sz w:val="21"/>
                <w:szCs w:val="21"/>
              </w:rPr>
              <w:t>20</w:t>
            </w:r>
            <w:r>
              <w:rPr>
                <w:rFonts w:hint="eastAsia"/>
                <w:sz w:val="21"/>
                <w:szCs w:val="21"/>
              </w:rPr>
              <w:t>平方米</w:t>
            </w:r>
          </w:p>
        </w:tc>
        <w:tc>
          <w:tcPr>
            <w:tcW w:w="1780" w:type="dxa"/>
          </w:tcPr>
          <w:p>
            <w:pPr>
              <w:jc w:val="center"/>
              <w:rPr>
                <w:sz w:val="21"/>
                <w:szCs w:val="21"/>
              </w:rPr>
            </w:pPr>
            <w:r>
              <w:rPr>
                <w:sz w:val="21"/>
                <w:szCs w:val="21"/>
              </w:rPr>
              <w:fldChar w:fldCharType="begin"/>
            </w:r>
            <w:r>
              <w:rPr>
                <w:sz w:val="21"/>
                <w:szCs w:val="21"/>
              </w:rPr>
              <w:instrText xml:space="preserve"> REF _Ref464508883 \r \h </w:instrText>
            </w:r>
            <w:r>
              <w:rPr>
                <w:sz w:val="21"/>
                <w:szCs w:val="21"/>
              </w:rPr>
              <w:fldChar w:fldCharType="separate"/>
            </w:r>
            <w:r>
              <w:rPr>
                <w:sz w:val="21"/>
                <w:szCs w:val="21"/>
              </w:rPr>
              <w:t>4.4.9.4</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标牌</w:t>
            </w:r>
          </w:p>
        </w:tc>
        <w:tc>
          <w:tcPr>
            <w:tcW w:w="3260" w:type="dxa"/>
            <w:vAlign w:val="center"/>
          </w:tcPr>
          <w:p>
            <w:pPr>
              <w:spacing w:line="240" w:lineRule="auto"/>
              <w:jc w:val="left"/>
              <w:rPr>
                <w:sz w:val="21"/>
                <w:szCs w:val="21"/>
              </w:rPr>
            </w:pPr>
            <w:r>
              <w:rPr>
                <w:rFonts w:hint="eastAsia" w:cs="Arial"/>
                <w:color w:val="000000"/>
                <w:kern w:val="24"/>
                <w:sz w:val="21"/>
                <w:szCs w:val="21"/>
                <w:u w:val="single"/>
              </w:rPr>
              <w:t>一套单柱式单牌标志牌</w:t>
            </w:r>
          </w:p>
        </w:tc>
        <w:tc>
          <w:tcPr>
            <w:tcW w:w="1780" w:type="dxa"/>
          </w:tcPr>
          <w:p>
            <w:pPr>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标志</w:t>
            </w:r>
          </w:p>
        </w:tc>
        <w:tc>
          <w:tcPr>
            <w:tcW w:w="3260" w:type="dxa"/>
            <w:vAlign w:val="center"/>
          </w:tcPr>
          <w:p>
            <w:pPr>
              <w:spacing w:line="240" w:lineRule="auto"/>
              <w:jc w:val="left"/>
              <w:rPr>
                <w:sz w:val="21"/>
                <w:szCs w:val="21"/>
              </w:rPr>
            </w:pPr>
            <w:r>
              <w:rPr>
                <w:rFonts w:hint="eastAsia" w:cs="Arial"/>
                <w:color w:val="000000"/>
                <w:kern w:val="24"/>
                <w:sz w:val="21"/>
                <w:szCs w:val="21"/>
              </w:rPr>
              <w:t>营运标志、出入口标志、行人导向标志完备</w:t>
            </w:r>
          </w:p>
        </w:tc>
        <w:tc>
          <w:tcPr>
            <w:tcW w:w="1780" w:type="dxa"/>
            <w:vAlign w:val="center"/>
          </w:tcPr>
          <w:p>
            <w:pPr>
              <w:jc w:val="center"/>
              <w:rPr>
                <w:sz w:val="21"/>
                <w:szCs w:val="21"/>
              </w:rPr>
            </w:pPr>
            <w:r>
              <w:rPr>
                <w:sz w:val="21"/>
                <w:szCs w:val="21"/>
              </w:rPr>
              <w:fldChar w:fldCharType="begin"/>
            </w:r>
            <w:r>
              <w:rPr>
                <w:sz w:val="21"/>
                <w:szCs w:val="21"/>
              </w:rPr>
              <w:instrText xml:space="preserve"> REF _Ref454118599 \r \h </w:instrText>
            </w:r>
            <w:r>
              <w:rPr>
                <w:sz w:val="21"/>
                <w:szCs w:val="21"/>
              </w:rPr>
              <w:fldChar w:fldCharType="separate"/>
            </w:r>
            <w:r>
              <w:rPr>
                <w:sz w:val="21"/>
                <w:szCs w:val="21"/>
              </w:rPr>
              <w:t>4.4.3.4</w:t>
            </w:r>
            <w:r>
              <w:rPr>
                <w:sz w:val="21"/>
                <w:szCs w:val="21"/>
              </w:rPr>
              <w:fldChar w:fldCharType="end"/>
            </w:r>
            <w:r>
              <w:rPr>
                <w:rFonts w:hint="eastAsia"/>
                <w:sz w:val="21"/>
                <w:szCs w:val="21"/>
              </w:rPr>
              <w:t>、</w:t>
            </w:r>
            <w:r>
              <w:fldChar w:fldCharType="begin"/>
            </w:r>
            <w:r>
              <w:instrText xml:space="preserve"> REF _Ref454032591 \r \h  \* MERGEFORMAT </w:instrText>
            </w:r>
            <w:r>
              <w:fldChar w:fldCharType="separate"/>
            </w:r>
            <w:r>
              <w:rPr>
                <w:sz w:val="21"/>
                <w:szCs w:val="21"/>
              </w:rPr>
              <w:t>4.4.4.6</w:t>
            </w:r>
            <w:r>
              <w:rPr>
                <w:sz w:val="21"/>
                <w:szCs w:val="21"/>
              </w:rPr>
              <w:fldChar w:fldCharType="end"/>
            </w:r>
            <w:r>
              <w:rPr>
                <w:rFonts w:hint="eastAsia"/>
                <w:sz w:val="21"/>
                <w:szCs w:val="21"/>
              </w:rPr>
              <w:t>、</w:t>
            </w:r>
            <w:r>
              <w:rPr>
                <w:sz w:val="21"/>
                <w:szCs w:val="21"/>
              </w:rPr>
              <w:fldChar w:fldCharType="begin"/>
            </w:r>
            <w:r>
              <w:rPr>
                <w:sz w:val="21"/>
                <w:szCs w:val="21"/>
              </w:rPr>
              <w:instrText xml:space="preserve"> REF _Ref464509152 \r \h </w:instrText>
            </w:r>
            <w:r>
              <w:rPr>
                <w:sz w:val="21"/>
                <w:szCs w:val="21"/>
              </w:rPr>
              <w:fldChar w:fldCharType="separate"/>
            </w:r>
            <w:r>
              <w:rPr>
                <w:sz w:val="21"/>
                <w:szCs w:val="21"/>
              </w:rPr>
              <w:t>4.4.6.5</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标线</w:t>
            </w:r>
          </w:p>
        </w:tc>
        <w:tc>
          <w:tcPr>
            <w:tcW w:w="3260" w:type="dxa"/>
            <w:vAlign w:val="center"/>
          </w:tcPr>
          <w:p>
            <w:pPr>
              <w:spacing w:line="240" w:lineRule="auto"/>
              <w:jc w:val="left"/>
              <w:rPr>
                <w:sz w:val="21"/>
                <w:szCs w:val="21"/>
                <w:u w:val="single"/>
              </w:rPr>
            </w:pPr>
            <w:r>
              <w:rPr>
                <w:rFonts w:hint="eastAsia" w:cs="Arial"/>
                <w:color w:val="000000"/>
                <w:kern w:val="24"/>
                <w:sz w:val="21"/>
                <w:szCs w:val="21"/>
                <w:u w:val="single"/>
              </w:rPr>
              <w:t>出入口标线、回车道标线等标线完备</w:t>
            </w:r>
          </w:p>
        </w:tc>
        <w:tc>
          <w:tcPr>
            <w:tcW w:w="1780" w:type="dxa"/>
            <w:vAlign w:val="center"/>
          </w:tcPr>
          <w:p>
            <w:pPr>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sz w:val="21"/>
                <w:szCs w:val="21"/>
              </w:rPr>
              <w:t>非机动车存放点</w:t>
            </w:r>
          </w:p>
        </w:tc>
        <w:tc>
          <w:tcPr>
            <w:tcW w:w="3260" w:type="dxa"/>
            <w:vAlign w:val="center"/>
          </w:tcPr>
          <w:p>
            <w:pPr>
              <w:spacing w:line="240" w:lineRule="auto"/>
              <w:jc w:val="left"/>
              <w:rPr>
                <w:sz w:val="21"/>
                <w:szCs w:val="21"/>
                <w:u w:val="single"/>
              </w:rPr>
            </w:pPr>
            <w:r>
              <w:rPr>
                <w:rFonts w:hint="eastAsia"/>
                <w:sz w:val="21"/>
                <w:szCs w:val="21"/>
                <w:u w:val="single"/>
              </w:rPr>
              <w:t>可供</w:t>
            </w:r>
            <w:r>
              <w:rPr>
                <w:sz w:val="21"/>
                <w:szCs w:val="21"/>
                <w:u w:val="single"/>
              </w:rPr>
              <w:t>10</w:t>
            </w:r>
            <w:r>
              <w:rPr>
                <w:rFonts w:hint="eastAsia"/>
                <w:sz w:val="21"/>
                <w:szCs w:val="21"/>
                <w:u w:val="single"/>
              </w:rPr>
              <w:t>辆非机动车停放</w:t>
            </w:r>
          </w:p>
        </w:tc>
        <w:tc>
          <w:tcPr>
            <w:tcW w:w="1780" w:type="dxa"/>
          </w:tcPr>
          <w:p>
            <w:pPr>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sz w:val="21"/>
                <w:szCs w:val="21"/>
              </w:rPr>
              <w:t>绿化</w:t>
            </w:r>
          </w:p>
        </w:tc>
        <w:tc>
          <w:tcPr>
            <w:tcW w:w="3260" w:type="dxa"/>
            <w:vAlign w:val="center"/>
          </w:tcPr>
          <w:p>
            <w:pPr>
              <w:spacing w:line="240" w:lineRule="auto"/>
              <w:jc w:val="left"/>
              <w:rPr>
                <w:sz w:val="21"/>
                <w:szCs w:val="21"/>
              </w:rPr>
            </w:pPr>
            <w:r>
              <w:rPr>
                <w:rFonts w:hint="eastAsia"/>
                <w:sz w:val="21"/>
                <w:szCs w:val="21"/>
              </w:rPr>
              <w:t>不宜低于站场面积的</w:t>
            </w:r>
            <w:r>
              <w:rPr>
                <w:sz w:val="21"/>
                <w:szCs w:val="21"/>
              </w:rPr>
              <w:t>20%</w:t>
            </w:r>
          </w:p>
        </w:tc>
        <w:tc>
          <w:tcPr>
            <w:tcW w:w="1780" w:type="dxa"/>
          </w:tcPr>
          <w:p>
            <w:pPr>
              <w:jc w:val="center"/>
              <w:rPr>
                <w:sz w:val="21"/>
                <w:szCs w:val="21"/>
              </w:rPr>
            </w:pPr>
            <w:r>
              <w:rPr>
                <w:sz w:val="21"/>
                <w:szCs w:val="21"/>
              </w:rPr>
              <w:fldChar w:fldCharType="begin"/>
            </w:r>
            <w:r>
              <w:rPr>
                <w:sz w:val="21"/>
                <w:szCs w:val="21"/>
              </w:rPr>
              <w:instrText xml:space="preserve"> REF _Ref454120391 \r \h </w:instrText>
            </w:r>
            <w:r>
              <w:rPr>
                <w:sz w:val="21"/>
                <w:szCs w:val="21"/>
              </w:rPr>
              <w:fldChar w:fldCharType="separate"/>
            </w:r>
            <w:r>
              <w:rPr>
                <w:sz w:val="21"/>
                <w:szCs w:val="21"/>
              </w:rPr>
              <w:t>4.4.11</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防火及通风要求</w:t>
            </w:r>
          </w:p>
        </w:tc>
        <w:tc>
          <w:tcPr>
            <w:tcW w:w="3260" w:type="dxa"/>
            <w:vAlign w:val="center"/>
          </w:tcPr>
          <w:p>
            <w:pPr>
              <w:spacing w:line="240" w:lineRule="auto"/>
              <w:jc w:val="left"/>
              <w:rPr>
                <w:sz w:val="21"/>
                <w:szCs w:val="21"/>
              </w:rPr>
            </w:pPr>
            <w:r>
              <w:rPr>
                <w:rFonts w:hint="eastAsia" w:cs="Arial"/>
                <w:color w:val="000000"/>
                <w:kern w:val="24"/>
                <w:sz w:val="21"/>
                <w:szCs w:val="21"/>
              </w:rPr>
              <w:t>满足《建筑设计防火规范》</w:t>
            </w:r>
          </w:p>
        </w:tc>
        <w:tc>
          <w:tcPr>
            <w:tcW w:w="1780" w:type="dxa"/>
          </w:tcPr>
          <w:p>
            <w:pPr>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应急照明系统</w:t>
            </w:r>
          </w:p>
        </w:tc>
        <w:tc>
          <w:tcPr>
            <w:tcW w:w="3260" w:type="dxa"/>
            <w:vAlign w:val="center"/>
          </w:tcPr>
          <w:p>
            <w:pPr>
              <w:spacing w:line="240" w:lineRule="auto"/>
              <w:jc w:val="left"/>
              <w:rPr>
                <w:sz w:val="21"/>
                <w:szCs w:val="21"/>
              </w:rPr>
            </w:pPr>
            <w:r>
              <w:rPr>
                <w:rFonts w:hint="eastAsia" w:cs="Arial"/>
                <w:color w:val="000000"/>
                <w:kern w:val="24"/>
                <w:sz w:val="21"/>
                <w:szCs w:val="21"/>
              </w:rPr>
              <w:t>满足《建筑照明设计标准》</w:t>
            </w:r>
          </w:p>
        </w:tc>
        <w:tc>
          <w:tcPr>
            <w:tcW w:w="1780" w:type="dxa"/>
          </w:tcPr>
          <w:p>
            <w:pPr>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实体防护</w:t>
            </w:r>
          </w:p>
        </w:tc>
        <w:tc>
          <w:tcPr>
            <w:tcW w:w="3260" w:type="dxa"/>
            <w:vAlign w:val="center"/>
          </w:tcPr>
          <w:p>
            <w:pPr>
              <w:spacing w:line="240" w:lineRule="auto"/>
              <w:jc w:val="left"/>
              <w:rPr>
                <w:sz w:val="21"/>
                <w:szCs w:val="21"/>
                <w:u w:val="single"/>
              </w:rPr>
            </w:pPr>
            <w:r>
              <w:rPr>
                <w:rFonts w:hint="eastAsia" w:cs="Arial"/>
                <w:color w:val="000000"/>
                <w:kern w:val="24"/>
                <w:sz w:val="21"/>
                <w:szCs w:val="21"/>
              </w:rPr>
              <w:t>封闭围墙高度不低于</w:t>
            </w:r>
            <w:r>
              <w:rPr>
                <w:rFonts w:cs="Arial"/>
                <w:color w:val="000000"/>
                <w:kern w:val="24"/>
                <w:sz w:val="21"/>
                <w:szCs w:val="21"/>
              </w:rPr>
              <w:t>1.8m</w:t>
            </w:r>
            <w:r>
              <w:rPr>
                <w:rFonts w:hint="eastAsia" w:cs="Arial"/>
                <w:color w:val="000000"/>
                <w:kern w:val="24"/>
                <w:sz w:val="21"/>
                <w:szCs w:val="21"/>
              </w:rPr>
              <w:t>；使用栅栏时，栅栏的竖栏间距应不大于</w:t>
            </w:r>
            <w:r>
              <w:rPr>
                <w:rFonts w:cs="Arial"/>
                <w:color w:val="000000"/>
                <w:kern w:val="24"/>
                <w:sz w:val="21"/>
                <w:szCs w:val="21"/>
              </w:rPr>
              <w:t>150mm</w:t>
            </w:r>
            <w:r>
              <w:rPr>
                <w:rFonts w:hint="eastAsia" w:cs="Arial"/>
                <w:color w:val="000000"/>
                <w:kern w:val="24"/>
                <w:sz w:val="21"/>
                <w:szCs w:val="21"/>
              </w:rPr>
              <w:t>。</w:t>
            </w:r>
          </w:p>
        </w:tc>
        <w:tc>
          <w:tcPr>
            <w:tcW w:w="1780" w:type="dxa"/>
            <w:vAlign w:val="center"/>
          </w:tcPr>
          <w:p>
            <w:pPr>
              <w:jc w:val="center"/>
              <w:rPr>
                <w:sz w:val="21"/>
                <w:szCs w:val="21"/>
              </w:rPr>
            </w:pPr>
            <w:r>
              <w:fldChar w:fldCharType="begin"/>
            </w:r>
            <w:r>
              <w:instrText xml:space="preserve"> REF _Ref454033110 \r \h  \* MERGEFORMAT </w:instrText>
            </w:r>
            <w:r>
              <w:fldChar w:fldCharType="separate"/>
            </w:r>
            <w:r>
              <w:rPr>
                <w:sz w:val="21"/>
                <w:szCs w:val="21"/>
              </w:rPr>
              <w:t>4.4.11.4</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监控系统</w:t>
            </w:r>
          </w:p>
        </w:tc>
        <w:tc>
          <w:tcPr>
            <w:tcW w:w="3260" w:type="dxa"/>
            <w:vAlign w:val="center"/>
          </w:tcPr>
          <w:p>
            <w:pPr>
              <w:spacing w:line="240" w:lineRule="auto"/>
              <w:jc w:val="left"/>
              <w:rPr>
                <w:sz w:val="21"/>
                <w:szCs w:val="21"/>
                <w:u w:val="single"/>
              </w:rPr>
            </w:pPr>
            <w:r>
              <w:rPr>
                <w:rFonts w:hint="eastAsia" w:cs="Arial"/>
                <w:color w:val="000000"/>
                <w:kern w:val="24"/>
                <w:sz w:val="21"/>
                <w:szCs w:val="21"/>
                <w:u w:val="single"/>
              </w:rPr>
              <w:t>无盲区、与上级平台联系畅通</w:t>
            </w:r>
          </w:p>
        </w:tc>
        <w:tc>
          <w:tcPr>
            <w:tcW w:w="1780" w:type="dxa"/>
            <w:vAlign w:val="center"/>
          </w:tcPr>
          <w:p>
            <w:pPr>
              <w:jc w:val="center"/>
              <w:rPr>
                <w:sz w:val="21"/>
                <w:szCs w:val="21"/>
              </w:rPr>
            </w:pPr>
            <w:r>
              <w:rPr>
                <w:sz w:val="21"/>
                <w:szCs w:val="21"/>
              </w:rPr>
              <w:fldChar w:fldCharType="begin"/>
            </w:r>
            <w:r>
              <w:rPr>
                <w:sz w:val="21"/>
                <w:szCs w:val="21"/>
              </w:rPr>
              <w:instrText xml:space="preserve"> REF _Ref454120391 \r \h </w:instrText>
            </w:r>
            <w:r>
              <w:rPr>
                <w:sz w:val="21"/>
                <w:szCs w:val="21"/>
              </w:rPr>
              <w:fldChar w:fldCharType="separate"/>
            </w:r>
            <w:r>
              <w:rPr>
                <w:sz w:val="21"/>
                <w:szCs w:val="21"/>
              </w:rPr>
              <w:t>4.4.11</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入侵报警设施</w:t>
            </w:r>
          </w:p>
        </w:tc>
        <w:tc>
          <w:tcPr>
            <w:tcW w:w="3260" w:type="dxa"/>
            <w:vAlign w:val="center"/>
          </w:tcPr>
          <w:p>
            <w:pPr>
              <w:spacing w:line="240" w:lineRule="auto"/>
              <w:jc w:val="left"/>
              <w:rPr>
                <w:sz w:val="21"/>
                <w:szCs w:val="21"/>
                <w:u w:val="single"/>
              </w:rPr>
            </w:pPr>
            <w:r>
              <w:rPr>
                <w:rFonts w:hint="eastAsia" w:cs="Arial"/>
                <w:color w:val="000000"/>
                <w:kern w:val="24"/>
                <w:sz w:val="21"/>
                <w:szCs w:val="21"/>
                <w:u w:val="single"/>
              </w:rPr>
              <w:t>设施完备</w:t>
            </w:r>
          </w:p>
        </w:tc>
        <w:tc>
          <w:tcPr>
            <w:tcW w:w="1780" w:type="dxa"/>
            <w:vAlign w:val="center"/>
          </w:tcPr>
          <w:p>
            <w:pPr>
              <w:jc w:val="center"/>
              <w:rPr>
                <w:sz w:val="21"/>
                <w:szCs w:val="21"/>
              </w:rPr>
            </w:pPr>
            <w:r>
              <w:rPr>
                <w:sz w:val="21"/>
                <w:szCs w:val="21"/>
              </w:rPr>
              <w:fldChar w:fldCharType="begin"/>
            </w:r>
            <w:r>
              <w:rPr>
                <w:sz w:val="21"/>
                <w:szCs w:val="21"/>
              </w:rPr>
              <w:instrText xml:space="preserve"> REF _Ref454120391 \r \h </w:instrText>
            </w:r>
            <w:r>
              <w:rPr>
                <w:sz w:val="21"/>
                <w:szCs w:val="21"/>
              </w:rPr>
              <w:fldChar w:fldCharType="separate"/>
            </w:r>
            <w:r>
              <w:rPr>
                <w:sz w:val="21"/>
                <w:szCs w:val="21"/>
              </w:rPr>
              <w:t>4.4.11</w:t>
            </w:r>
            <w:r>
              <w:rPr>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1"/>
                <w:szCs w:val="21"/>
              </w:rPr>
            </w:pPr>
            <w:r>
              <w:rPr>
                <w:rFonts w:hint="eastAsia" w:cs="Arial"/>
                <w:color w:val="000000"/>
                <w:kern w:val="24"/>
                <w:sz w:val="21"/>
                <w:szCs w:val="21"/>
              </w:rPr>
              <w:t>充电设施</w:t>
            </w:r>
          </w:p>
        </w:tc>
        <w:tc>
          <w:tcPr>
            <w:tcW w:w="3260" w:type="dxa"/>
            <w:vAlign w:val="center"/>
          </w:tcPr>
          <w:p>
            <w:pPr>
              <w:spacing w:line="240" w:lineRule="auto"/>
              <w:jc w:val="left"/>
              <w:rPr>
                <w:sz w:val="21"/>
                <w:szCs w:val="21"/>
                <w:u w:val="single"/>
              </w:rPr>
            </w:pPr>
            <w:r>
              <w:rPr>
                <w:rFonts w:hint="eastAsia" w:cs="Arial"/>
                <w:color w:val="000000"/>
                <w:kern w:val="24"/>
                <w:sz w:val="21"/>
                <w:szCs w:val="21"/>
              </w:rPr>
              <w:t>已预留（或建设）配电设施、变压器、充电桩、管线等建设安装条件，符合相关技术标准要求</w:t>
            </w:r>
          </w:p>
        </w:tc>
        <w:tc>
          <w:tcPr>
            <w:tcW w:w="1780" w:type="dxa"/>
            <w:vAlign w:val="center"/>
          </w:tcPr>
          <w:p>
            <w:pPr>
              <w:jc w:val="center"/>
              <w:rPr>
                <w:sz w:val="21"/>
                <w:szCs w:val="21"/>
              </w:rPr>
            </w:pPr>
            <w:r>
              <w:fldChar w:fldCharType="begin"/>
            </w:r>
            <w:r>
              <w:instrText xml:space="preserve"> REF _Ref454033022 \r \h  \* MERGEFORMAT </w:instrText>
            </w:r>
            <w:r>
              <w:fldChar w:fldCharType="separate"/>
            </w:r>
            <w:r>
              <w:rPr>
                <w:sz w:val="21"/>
                <w:szCs w:val="21"/>
              </w:rPr>
              <w:t>4.4.10.1</w:t>
            </w:r>
            <w:r>
              <w:rPr>
                <w:sz w:val="21"/>
                <w:szCs w:val="21"/>
              </w:rPr>
              <w:fldChar w:fldCharType="end"/>
            </w:r>
            <w:r>
              <w:rPr>
                <w:sz w:val="21"/>
                <w:szCs w:val="21"/>
              </w:rPr>
              <w:t xml:space="preserve"> </w:t>
            </w:r>
          </w:p>
        </w:tc>
      </w:tr>
    </w:tbl>
    <w:p>
      <w:pPr>
        <w:ind w:left="851"/>
        <w:rPr>
          <w:sz w:val="21"/>
        </w:rPr>
      </w:pPr>
      <w:r>
        <w:rPr>
          <w:rFonts w:hint="eastAsia"/>
          <w:sz w:val="21"/>
        </w:rPr>
        <w:t>注：下划线内容为举例说明，具体取值和条款应依据相关规范及实际情况确定。</w:t>
      </w:r>
    </w:p>
    <w:p>
      <w:pPr>
        <w:ind w:left="851"/>
        <w:rPr>
          <w:sz w:val="21"/>
        </w:rPr>
        <w:sectPr>
          <w:pgSz w:w="11906" w:h="16838"/>
          <w:pgMar w:top="1440" w:right="1800" w:bottom="1440" w:left="1800" w:header="851" w:footer="992" w:gutter="0"/>
          <w:cols w:space="425" w:num="1"/>
          <w:docGrid w:type="lines" w:linePitch="312" w:charSpace="0"/>
        </w:sectPr>
      </w:pPr>
    </w:p>
    <w:p>
      <w:pPr>
        <w:pStyle w:val="2"/>
        <w:numPr>
          <w:ilvl w:val="0"/>
          <w:numId w:val="0"/>
        </w:numPr>
        <w:ind w:left="851" w:hanging="851"/>
        <w:jc w:val="left"/>
      </w:pPr>
      <w:bookmarkStart w:id="114" w:name="_Toc470624709"/>
      <w:bookmarkStart w:id="115" w:name="_Toc454207079"/>
      <w:r>
        <w:rPr>
          <w:rFonts w:hint="eastAsia"/>
        </w:rPr>
        <w:t>附</w:t>
      </w:r>
      <w:r>
        <w:t xml:space="preserve"> </w:t>
      </w:r>
      <w:r>
        <w:rPr>
          <w:rFonts w:hint="eastAsia"/>
        </w:rPr>
        <w:t>图</w:t>
      </w:r>
      <w:bookmarkEnd w:id="114"/>
      <w:bookmarkEnd w:id="115"/>
    </w:p>
    <w:p>
      <w:pPr>
        <w:spacing w:before="340" w:after="330" w:line="578" w:lineRule="auto"/>
        <w:jc w:val="left"/>
      </w:pPr>
      <w:r>
        <w:rPr>
          <w:rFonts w:hint="eastAsia" w:ascii="宋体" w:hAnsi="宋体"/>
          <w:b/>
          <w:sz w:val="32"/>
          <w:szCs w:val="32"/>
        </w:rPr>
        <w:t>附图</w:t>
      </w:r>
      <w:r>
        <w:rPr>
          <w:rFonts w:ascii="宋体" w:hAnsi="宋体"/>
          <w:b/>
          <w:sz w:val="32"/>
          <w:szCs w:val="32"/>
        </w:rPr>
        <w:t>1</w:t>
      </w:r>
      <w:r>
        <w:rPr>
          <w:rFonts w:hint="eastAsia" w:ascii="宋体" w:hAnsi="宋体"/>
          <w:b/>
          <w:sz w:val="32"/>
          <w:szCs w:val="32"/>
        </w:rPr>
        <w:t>：配建公交站场基本形式</w:t>
      </w:r>
    </w:p>
    <w:p>
      <w:pPr>
        <w:jc w:val="center"/>
      </w:pPr>
      <w:r>
        <w:pict>
          <v:shape id="_x0000_i1029" o:spt="75" type="#_x0000_t75" style="height:372pt;width:134.25pt;rotation:5898240f;" filled="f" o:preferrelative="t" stroked="f" coordsize="21600,21600">
            <v:path/>
            <v:fill on="f" focussize="0,0"/>
            <v:stroke on="f" joinstyle="miter"/>
            <v:imagedata r:id="rId28" o:title=""/>
            <o:lock v:ext="edit" aspectratio="t"/>
            <w10:wrap type="none"/>
            <w10:anchorlock/>
          </v:shape>
        </w:pict>
      </w:r>
    </w:p>
    <w:p>
      <w:pPr>
        <w:ind w:firstLine="420" w:firstLineChars="200"/>
        <w:jc w:val="center"/>
      </w:pPr>
      <w:r>
        <w:rPr>
          <w:rFonts w:hint="eastAsia"/>
          <w:sz w:val="21"/>
        </w:rPr>
        <w:t>港湾式</w:t>
      </w:r>
    </w:p>
    <w:p>
      <w:pPr>
        <w:ind w:firstLine="480" w:firstLineChars="200"/>
      </w:pPr>
      <w:r>
        <w:t xml:space="preserve">        </w:t>
      </w:r>
      <w:r>
        <w:pict>
          <v:shape id="_x0000_i1030" o:spt="75" type="#_x0000_t75" style="height:282pt;width:292.5pt;" filled="f" o:preferrelative="t" stroked="f" coordsize="21600,21600">
            <v:path/>
            <v:fill on="f" focussize="0,0"/>
            <v:stroke on="f" joinstyle="miter"/>
            <v:imagedata r:id="rId29" o:title=""/>
            <o:lock v:ext="edit" aspectratio="t"/>
            <w10:wrap type="none"/>
            <w10:anchorlock/>
          </v:shape>
        </w:pict>
      </w:r>
    </w:p>
    <w:p>
      <w:pPr>
        <w:jc w:val="center"/>
        <w:rPr>
          <w:sz w:val="21"/>
        </w:rPr>
      </w:pPr>
      <w:r>
        <w:rPr>
          <w:rFonts w:hint="eastAsia"/>
          <w:sz w:val="21"/>
        </w:rPr>
        <w:t>环绕式</w:t>
      </w:r>
    </w:p>
    <w:p>
      <w:pPr>
        <w:jc w:val="center"/>
      </w:pPr>
      <w:r>
        <w:pict>
          <v:shape id="_x0000_i1031" o:spt="75" type="#_x0000_t75" style="height:298.5pt;width:251.25pt;" filled="f" o:preferrelative="t" stroked="f" coordsize="21600,21600">
            <v:path/>
            <v:fill on="f" focussize="0,0"/>
            <v:stroke on="f" joinstyle="miter"/>
            <v:imagedata r:id="rId30" o:title=""/>
            <o:lock v:ext="edit" aspectratio="t"/>
            <w10:wrap type="none"/>
            <w10:anchorlock/>
          </v:shape>
        </w:pict>
      </w:r>
    </w:p>
    <w:p>
      <w:pPr>
        <w:jc w:val="center"/>
        <w:rPr>
          <w:sz w:val="21"/>
        </w:rPr>
      </w:pPr>
      <w:r>
        <w:rPr>
          <w:rFonts w:hint="eastAsia"/>
          <w:sz w:val="21"/>
        </w:rPr>
        <w:t>通道式</w:t>
      </w:r>
    </w:p>
    <w:p>
      <w:pPr>
        <w:spacing w:before="340" w:after="330" w:line="578" w:lineRule="auto"/>
        <w:jc w:val="left"/>
        <w:rPr>
          <w:rFonts w:ascii="宋体"/>
          <w:b/>
          <w:sz w:val="32"/>
          <w:szCs w:val="32"/>
        </w:rPr>
      </w:pPr>
      <w:r>
        <w:rPr>
          <w:rFonts w:hint="eastAsia" w:ascii="宋体" w:hAnsi="宋体"/>
          <w:b/>
          <w:sz w:val="32"/>
          <w:szCs w:val="32"/>
        </w:rPr>
        <w:t>附图</w:t>
      </w:r>
      <w:r>
        <w:rPr>
          <w:rFonts w:ascii="宋体" w:hAnsi="宋体"/>
          <w:b/>
          <w:sz w:val="32"/>
          <w:szCs w:val="32"/>
        </w:rPr>
        <w:t>2</w:t>
      </w:r>
      <w:r>
        <w:rPr>
          <w:rFonts w:hint="eastAsia" w:ascii="宋体" w:hAnsi="宋体"/>
          <w:b/>
          <w:sz w:val="32"/>
          <w:szCs w:val="32"/>
        </w:rPr>
        <w:t>：到发车位基本形式与尺寸（单位：米）</w:t>
      </w:r>
    </w:p>
    <w:p>
      <w:pPr>
        <w:jc w:val="center"/>
      </w:pPr>
      <w:r>
        <w:pict>
          <v:shape id="_x0000_i1032" o:spt="75" type="#_x0000_t75" style="height:92.25pt;width:291.75pt;" filled="f" o:preferrelative="t" stroked="f" coordsize="21600,21600">
            <v:path/>
            <v:fill on="f" focussize="0,0"/>
            <v:stroke on="f" joinstyle="miter"/>
            <v:imagedata r:id="rId31" o:title=""/>
            <o:lock v:ext="edit" aspectratio="t"/>
            <w10:wrap type="none"/>
            <w10:anchorlock/>
          </v:shape>
        </w:pict>
      </w:r>
    </w:p>
    <w:p>
      <w:pPr>
        <w:jc w:val="center"/>
      </w:pPr>
      <w:r>
        <w:rPr>
          <w:rFonts w:hint="eastAsia"/>
          <w:sz w:val="21"/>
        </w:rPr>
        <w:t>直列式</w:t>
      </w:r>
    </w:p>
    <w:p>
      <w:pPr>
        <w:jc w:val="center"/>
      </w:pPr>
      <w:r>
        <w:pict>
          <v:shape id="_x0000_i1033" o:spt="75" type="#_x0000_t75" style="height:89.25pt;width:345.75pt;" filled="f" o:preferrelative="t" stroked="f" coordsize="21600,21600">
            <v:path/>
            <v:fill on="f" focussize="0,0"/>
            <v:stroke on="f" joinstyle="miter"/>
            <v:imagedata r:id="rId32" o:title=""/>
            <o:lock v:ext="edit" aspectratio="t"/>
            <w10:wrap type="none"/>
            <w10:anchorlock/>
          </v:shape>
        </w:pict>
      </w:r>
    </w:p>
    <w:p>
      <w:pPr>
        <w:jc w:val="center"/>
      </w:pPr>
      <w:r>
        <w:rPr>
          <w:rFonts w:hint="eastAsia"/>
          <w:sz w:val="21"/>
        </w:rPr>
        <w:t>锯齿式</w:t>
      </w:r>
    </w:p>
    <w:p>
      <w:pPr>
        <w:spacing w:before="340" w:after="330" w:line="578" w:lineRule="auto"/>
        <w:jc w:val="left"/>
        <w:rPr>
          <w:rFonts w:ascii="宋体"/>
          <w:b/>
          <w:sz w:val="32"/>
          <w:szCs w:val="32"/>
        </w:rPr>
      </w:pPr>
      <w:r>
        <w:rPr>
          <w:rFonts w:hint="eastAsia" w:ascii="宋体" w:hAnsi="宋体"/>
          <w:b/>
          <w:sz w:val="32"/>
          <w:szCs w:val="32"/>
        </w:rPr>
        <w:t>附图</w:t>
      </w:r>
      <w:r>
        <w:rPr>
          <w:rFonts w:ascii="宋体" w:hAnsi="宋体"/>
          <w:b/>
          <w:sz w:val="32"/>
          <w:szCs w:val="32"/>
        </w:rPr>
        <w:t>3</w:t>
      </w:r>
      <w:r>
        <w:rPr>
          <w:rFonts w:hint="eastAsia" w:ascii="宋体" w:hAnsi="宋体"/>
          <w:b/>
          <w:sz w:val="32"/>
          <w:szCs w:val="32"/>
        </w:rPr>
        <w:t>：站台行人设施设置示意图</w:t>
      </w:r>
    </w:p>
    <w:p>
      <w:pPr>
        <w:jc w:val="center"/>
      </w:pPr>
      <w:r>
        <w:pict>
          <v:shape id="_x0000_i1034" o:spt="75" type="#_x0000_t75" style="height:52.5pt;width:409.5pt;" filled="f" o:preferrelative="t" stroked="f" coordsize="21600,21600">
            <v:path/>
            <v:fill on="f" focussize="0,0"/>
            <v:stroke on="f" joinstyle="miter"/>
            <v:imagedata r:id="rId33" o:title=""/>
            <o:lock v:ext="edit" aspectratio="t"/>
            <w10:wrap type="none"/>
            <w10:anchorlock/>
          </v:shape>
        </w:pict>
      </w:r>
    </w:p>
    <w:p>
      <w:pPr>
        <w:sectPr>
          <w:pgSz w:w="11906" w:h="16838"/>
          <w:pgMar w:top="1440" w:right="1800" w:bottom="1440" w:left="1800" w:header="851" w:footer="992" w:gutter="0"/>
          <w:cols w:space="425" w:num="1"/>
          <w:docGrid w:type="lines" w:linePitch="312" w:charSpace="0"/>
        </w:sectPr>
      </w:pPr>
    </w:p>
    <w:p>
      <w:pPr>
        <w:pStyle w:val="2"/>
        <w:numPr>
          <w:ilvl w:val="0"/>
          <w:numId w:val="0"/>
        </w:numPr>
        <w:ind w:left="851" w:hanging="851"/>
        <w:jc w:val="left"/>
      </w:pPr>
      <w:bookmarkStart w:id="116" w:name="_Toc454207080"/>
      <w:bookmarkStart w:id="117" w:name="_Toc470624710"/>
      <w:r>
        <w:rPr>
          <w:rFonts w:hint="eastAsia"/>
        </w:rPr>
        <w:t>附</w:t>
      </w:r>
      <w:r>
        <w:t xml:space="preserve"> </w:t>
      </w:r>
      <w:r>
        <w:rPr>
          <w:rFonts w:hint="eastAsia"/>
        </w:rPr>
        <w:t>录</w:t>
      </w:r>
      <w:bookmarkEnd w:id="116"/>
      <w:bookmarkEnd w:id="117"/>
    </w:p>
    <w:p>
      <w:pPr>
        <w:spacing w:before="340" w:after="330" w:line="578" w:lineRule="auto"/>
        <w:jc w:val="left"/>
        <w:rPr>
          <w:rFonts w:ascii="宋体"/>
          <w:b/>
          <w:sz w:val="32"/>
          <w:szCs w:val="32"/>
        </w:rPr>
      </w:pPr>
      <w:r>
        <w:rPr>
          <w:rFonts w:hint="eastAsia" w:ascii="宋体" w:hAnsi="宋体"/>
          <w:b/>
          <w:sz w:val="32"/>
          <w:szCs w:val="32"/>
        </w:rPr>
        <w:t>附录</w:t>
      </w:r>
      <w:r>
        <w:rPr>
          <w:rFonts w:ascii="宋体" w:hAnsi="宋体"/>
          <w:b/>
          <w:sz w:val="32"/>
          <w:szCs w:val="32"/>
        </w:rPr>
        <w:t>1</w:t>
      </w:r>
      <w:r>
        <w:rPr>
          <w:rFonts w:hint="eastAsia" w:ascii="宋体" w:hAnsi="宋体"/>
          <w:b/>
          <w:sz w:val="32"/>
          <w:szCs w:val="32"/>
        </w:rPr>
        <w:t>名词解析</w:t>
      </w:r>
    </w:p>
    <w:p>
      <w:pPr>
        <w:pStyle w:val="35"/>
        <w:numPr>
          <w:ilvl w:val="0"/>
          <w:numId w:val="2"/>
        </w:numPr>
        <w:ind w:left="31680" w:hanging="852" w:hangingChars="355"/>
      </w:pPr>
      <w:r>
        <w:rPr>
          <w:rFonts w:hint="eastAsia"/>
        </w:rPr>
        <w:t>【公交站场】南沙区未来公交站场建设模式将公交站场的分类调整为两类：运营型公交站场与保障型公交站场。其中，运营服务型公交站场包括独立建设公交站场和配建公交站场；支持保障型公交站场包括停保场与综合车场。</w:t>
      </w:r>
    </w:p>
    <w:p>
      <w:pPr>
        <w:pStyle w:val="35"/>
        <w:numPr>
          <w:ilvl w:val="0"/>
          <w:numId w:val="2"/>
        </w:numPr>
        <w:ind w:left="31680" w:hanging="852" w:hangingChars="355"/>
      </w:pPr>
      <w:r>
        <w:rPr>
          <w:rFonts w:hint="eastAsia"/>
        </w:rPr>
        <w:t>【配建公交站场】是根据建筑客流需求附设于建筑（地块）的公交站场，其包括公交线路掉头、发车、上下客、乘等候以及首班夜间停放等功能。</w:t>
      </w:r>
    </w:p>
    <w:p>
      <w:pPr>
        <w:pStyle w:val="35"/>
        <w:numPr>
          <w:ilvl w:val="0"/>
          <w:numId w:val="2"/>
        </w:numPr>
        <w:ind w:left="31680" w:hanging="852" w:hangingChars="355"/>
      </w:pPr>
      <w:r>
        <w:rPr>
          <w:rFonts w:hint="eastAsia"/>
        </w:rPr>
        <w:t>【综合车场】是提供公交车辆的夜间停放，运营车辆的维修、保养、充电，以及公交线路运营与站场管理等功能的公交站场。</w:t>
      </w:r>
    </w:p>
    <w:p>
      <w:pPr>
        <w:pStyle w:val="35"/>
        <w:numPr>
          <w:ilvl w:val="0"/>
          <w:numId w:val="2"/>
        </w:numPr>
        <w:ind w:left="31680" w:hanging="852" w:hangingChars="355"/>
        <w:sectPr>
          <w:pgSz w:w="11906" w:h="16838"/>
          <w:pgMar w:top="1440" w:right="1800" w:bottom="1440" w:left="1800" w:header="851" w:footer="992" w:gutter="0"/>
          <w:cols w:space="425" w:num="1"/>
          <w:docGrid w:type="lines" w:linePitch="312" w:charSpace="0"/>
        </w:sectPr>
      </w:pPr>
      <w:r>
        <w:rPr>
          <w:rFonts w:hint="eastAsia"/>
        </w:rPr>
        <w:t>【回车道】是指公交站场内供车辆进出、移位、回转方向使用的道路。</w:t>
      </w:r>
    </w:p>
    <w:p>
      <w:pPr>
        <w:spacing w:before="340" w:after="330" w:line="578" w:lineRule="auto"/>
        <w:jc w:val="left"/>
        <w:rPr>
          <w:rFonts w:ascii="宋体"/>
          <w:b/>
          <w:sz w:val="32"/>
          <w:szCs w:val="32"/>
        </w:rPr>
      </w:pPr>
      <w:r>
        <w:rPr>
          <w:rFonts w:hint="eastAsia" w:ascii="宋体" w:hAnsi="宋体"/>
          <w:b/>
          <w:sz w:val="32"/>
          <w:szCs w:val="32"/>
        </w:rPr>
        <w:t>附录</w:t>
      </w:r>
      <w:r>
        <w:rPr>
          <w:rFonts w:ascii="宋体" w:hAnsi="宋体"/>
          <w:b/>
          <w:sz w:val="32"/>
          <w:szCs w:val="32"/>
        </w:rPr>
        <w:t xml:space="preserve">2 </w:t>
      </w:r>
      <w:r>
        <w:rPr>
          <w:rFonts w:hint="eastAsia" w:ascii="宋体" w:hAnsi="宋体"/>
          <w:b/>
          <w:sz w:val="32"/>
          <w:szCs w:val="32"/>
        </w:rPr>
        <w:t>本指引用词说明</w:t>
      </w:r>
    </w:p>
    <w:p>
      <w:pPr>
        <w:pStyle w:val="35"/>
        <w:numPr>
          <w:ilvl w:val="0"/>
          <w:numId w:val="3"/>
        </w:numPr>
        <w:ind w:left="31680" w:hanging="852" w:hangingChars="355"/>
      </w:pPr>
      <w:r>
        <w:rPr>
          <w:rFonts w:hint="eastAsia"/>
        </w:rPr>
        <w:t>为便于在执行本指引条文时区别对待，对于要求严格程度不同的用词说明如下：</w:t>
      </w:r>
    </w:p>
    <w:p>
      <w:pPr>
        <w:pStyle w:val="35"/>
        <w:ind w:left="360" w:firstLine="0" w:firstLineChars="0"/>
      </w:pPr>
      <w:r>
        <w:t xml:space="preserve">1.   </w:t>
      </w:r>
      <w:r>
        <w:rPr>
          <w:rFonts w:hint="eastAsia"/>
        </w:rPr>
        <w:t>表示很严格，非这样做不可的用词：</w:t>
      </w:r>
    </w:p>
    <w:p>
      <w:pPr>
        <w:pStyle w:val="35"/>
        <w:ind w:left="852" w:firstLine="0" w:firstLineChars="0"/>
      </w:pPr>
      <w:r>
        <w:rPr>
          <w:rFonts w:hint="eastAsia"/>
        </w:rPr>
        <w:t>正面词采用“必须”；反面词采用“严禁”。</w:t>
      </w:r>
    </w:p>
    <w:p>
      <w:pPr>
        <w:ind w:firstLine="360" w:firstLineChars="150"/>
      </w:pPr>
      <w:r>
        <w:t xml:space="preserve">2.   </w:t>
      </w:r>
      <w:r>
        <w:rPr>
          <w:rFonts w:hint="eastAsia"/>
        </w:rPr>
        <w:t>表示严格，在正常情况下均应这样做的用词：</w:t>
      </w:r>
    </w:p>
    <w:p>
      <w:pPr>
        <w:pStyle w:val="35"/>
        <w:ind w:left="852" w:firstLine="0" w:firstLineChars="0"/>
      </w:pPr>
      <w:r>
        <w:rPr>
          <w:rFonts w:hint="eastAsia"/>
        </w:rPr>
        <w:t>正面词采用“应”；反面词采用“不应”或“不得”。</w:t>
      </w:r>
    </w:p>
    <w:p>
      <w:pPr>
        <w:ind w:firstLine="360" w:firstLineChars="150"/>
      </w:pPr>
      <w:r>
        <w:t xml:space="preserve">3.   </w:t>
      </w:r>
      <w:r>
        <w:rPr>
          <w:rFonts w:hint="eastAsia"/>
        </w:rPr>
        <w:t>表示允许稍有选择，在条件许可时，首先应这样做的用词：</w:t>
      </w:r>
    </w:p>
    <w:p>
      <w:pPr>
        <w:pStyle w:val="35"/>
        <w:ind w:left="852" w:firstLine="0" w:firstLineChars="0"/>
      </w:pPr>
      <w:r>
        <w:rPr>
          <w:rFonts w:hint="eastAsia"/>
        </w:rPr>
        <w:t>正面词采用“宜”或“可”；反面词采用“不宜”。</w:t>
      </w:r>
    </w:p>
    <w:p>
      <w:pPr>
        <w:pStyle w:val="35"/>
        <w:numPr>
          <w:ilvl w:val="0"/>
          <w:numId w:val="3"/>
        </w:numPr>
        <w:ind w:left="31680" w:hanging="852" w:hangingChars="355"/>
      </w:pPr>
      <w:r>
        <w:rPr>
          <w:rFonts w:hint="eastAsia"/>
        </w:rPr>
        <w:t>条文中指明必须按其他有关规范</w:t>
      </w:r>
      <w:r>
        <w:t>/</w:t>
      </w:r>
      <w:r>
        <w:rPr>
          <w:rFonts w:hint="eastAsia"/>
        </w:rPr>
        <w:t>标准执行的写法为：“应按……执行”</w:t>
      </w:r>
      <w:r>
        <w:t xml:space="preserve"> </w:t>
      </w:r>
      <w:r>
        <w:rPr>
          <w:rFonts w:hint="eastAsia"/>
        </w:rPr>
        <w:t>或“应符合……的要求（或规定）”。</w:t>
      </w:r>
    </w:p>
    <w:p>
      <w:pPr>
        <w:pStyle w:val="35"/>
        <w:numPr>
          <w:ilvl w:val="0"/>
          <w:numId w:val="3"/>
        </w:numPr>
        <w:ind w:left="31680" w:hanging="852" w:hangingChars="355"/>
      </w:pPr>
      <w:r>
        <w:rPr>
          <w:rFonts w:hint="eastAsia"/>
        </w:rPr>
        <w:t>条文中非必须按所指定的规范</w:t>
      </w:r>
      <w:r>
        <w:t>/</w:t>
      </w:r>
      <w:r>
        <w:rPr>
          <w:rFonts w:hint="eastAsia"/>
        </w:rPr>
        <w:t>标准执行的写法为：“可参照……的要求（或规定）”。</w:t>
      </w:r>
    </w:p>
    <w:p>
      <w:pPr>
        <w:sectPr>
          <w:pgSz w:w="11906" w:h="16838"/>
          <w:pgMar w:top="1440" w:right="1800" w:bottom="1440" w:left="1800" w:header="851" w:footer="992" w:gutter="0"/>
          <w:cols w:space="425" w:num="1"/>
          <w:docGrid w:type="lines" w:linePitch="312" w:charSpace="0"/>
        </w:sectPr>
      </w:pPr>
    </w:p>
    <w:p>
      <w:pPr>
        <w:spacing w:before="340" w:after="330" w:line="578" w:lineRule="auto"/>
        <w:jc w:val="left"/>
        <w:rPr>
          <w:rFonts w:ascii="宋体"/>
          <w:b/>
          <w:sz w:val="32"/>
          <w:szCs w:val="32"/>
        </w:rPr>
      </w:pPr>
      <w:r>
        <w:rPr>
          <w:rFonts w:hint="eastAsia" w:ascii="宋体" w:hAnsi="宋体"/>
          <w:b/>
          <w:sz w:val="32"/>
          <w:szCs w:val="32"/>
        </w:rPr>
        <w:t>附录</w:t>
      </w:r>
      <w:r>
        <w:rPr>
          <w:rFonts w:ascii="宋体" w:hAnsi="宋体"/>
          <w:b/>
          <w:sz w:val="32"/>
          <w:szCs w:val="32"/>
        </w:rPr>
        <w:t xml:space="preserve">3 </w:t>
      </w:r>
      <w:r>
        <w:rPr>
          <w:rFonts w:hint="eastAsia" w:ascii="宋体" w:hAnsi="宋体"/>
          <w:b/>
          <w:sz w:val="32"/>
          <w:szCs w:val="32"/>
        </w:rPr>
        <w:t>相关规范参考</w:t>
      </w:r>
    </w:p>
    <w:p>
      <w:pPr>
        <w:pStyle w:val="35"/>
        <w:numPr>
          <w:ilvl w:val="0"/>
          <w:numId w:val="4"/>
        </w:numPr>
        <w:ind w:left="31680" w:hanging="852" w:hangingChars="355"/>
      </w:pPr>
      <w:r>
        <w:rPr>
          <w:rFonts w:hint="eastAsia"/>
        </w:rPr>
        <w:t>本指引编制过程中参考了以下文件：</w:t>
      </w:r>
    </w:p>
    <w:p>
      <w:pPr>
        <w:pStyle w:val="35"/>
        <w:ind w:left="360" w:firstLine="0" w:firstLineChars="0"/>
      </w:pPr>
      <w:r>
        <w:t xml:space="preserve">1.   </w:t>
      </w:r>
      <w:r>
        <w:rPr>
          <w:rFonts w:hint="eastAsia"/>
        </w:rPr>
        <w:t>国家相关标准规范文件</w:t>
      </w:r>
    </w:p>
    <w:p>
      <w:pPr>
        <w:ind w:firstLine="851"/>
      </w:pPr>
      <w:r>
        <w:rPr>
          <w:rFonts w:hint="eastAsia"/>
        </w:rPr>
        <w:t>《城市道路交通规划设计规范》</w:t>
      </w:r>
      <w:r>
        <w:t xml:space="preserve"> GB50220-95</w:t>
      </w:r>
    </w:p>
    <w:p>
      <w:pPr>
        <w:ind w:firstLine="851"/>
      </w:pPr>
      <w:r>
        <w:rPr>
          <w:rFonts w:hint="eastAsia"/>
        </w:rPr>
        <w:t>《城市道路工程设计规范》</w:t>
      </w:r>
      <w:r>
        <w:t xml:space="preserve"> CJJ37-2012</w:t>
      </w:r>
    </w:p>
    <w:p>
      <w:pPr>
        <w:ind w:firstLine="851"/>
      </w:pPr>
      <w:r>
        <w:rPr>
          <w:rFonts w:hint="eastAsia"/>
        </w:rPr>
        <w:t>《城市道路公共交通站、场、厂工程设计规范》</w:t>
      </w:r>
      <w:r>
        <w:t xml:space="preserve"> CJJ/T15-2011</w:t>
      </w:r>
    </w:p>
    <w:p>
      <w:pPr>
        <w:ind w:firstLine="851"/>
      </w:pPr>
      <w:r>
        <w:rPr>
          <w:rFonts w:hint="eastAsia"/>
        </w:rPr>
        <w:t>《城市公共汽车和无轨电车工程项目建设标准》</w:t>
      </w:r>
      <w:r>
        <w:t xml:space="preserve"> B99-104</w:t>
      </w:r>
    </w:p>
    <w:p>
      <w:pPr>
        <w:ind w:firstLine="851"/>
      </w:pPr>
      <w:r>
        <w:rPr>
          <w:rFonts w:hint="eastAsia"/>
        </w:rPr>
        <w:t>《城市公共交通标志》</w:t>
      </w:r>
      <w:r>
        <w:t xml:space="preserve"> GB/T5845.4-2008</w:t>
      </w:r>
    </w:p>
    <w:p>
      <w:pPr>
        <w:ind w:firstLine="851"/>
      </w:pPr>
      <w:r>
        <w:rPr>
          <w:rFonts w:hint="eastAsia"/>
        </w:rPr>
        <w:t>《城市公共交通工程术语标准》</w:t>
      </w:r>
      <w:r>
        <w:t xml:space="preserve"> CJJ/T119-2008</w:t>
      </w:r>
    </w:p>
    <w:p>
      <w:pPr>
        <w:ind w:firstLine="851"/>
      </w:pPr>
      <w:r>
        <w:rPr>
          <w:rFonts w:hint="eastAsia"/>
        </w:rPr>
        <w:t>《道路交通标志和标线》</w:t>
      </w:r>
      <w:r>
        <w:t xml:space="preserve"> GB5768-2009</w:t>
      </w:r>
    </w:p>
    <w:p>
      <w:pPr>
        <w:ind w:firstLine="851"/>
      </w:pPr>
      <w:r>
        <w:rPr>
          <w:rFonts w:hint="eastAsia"/>
        </w:rPr>
        <w:t>《城市道路和建筑物无障碍设计规范》</w:t>
      </w:r>
      <w:r>
        <w:t xml:space="preserve"> JGJ50-2001</w:t>
      </w:r>
    </w:p>
    <w:p>
      <w:pPr>
        <w:ind w:firstLine="851"/>
      </w:pPr>
      <w:r>
        <w:rPr>
          <w:rFonts w:hint="eastAsia"/>
        </w:rPr>
        <w:t>《城市道路照明设计标准》</w:t>
      </w:r>
      <w:r>
        <w:t xml:space="preserve"> CJJ45-2015</w:t>
      </w:r>
    </w:p>
    <w:p>
      <w:pPr>
        <w:ind w:firstLine="851"/>
      </w:pPr>
      <w:r>
        <w:rPr>
          <w:rFonts w:hint="eastAsia"/>
        </w:rPr>
        <w:t>《汽车库、修车库、停车场设计防火规范》</w:t>
      </w:r>
      <w:r>
        <w:t xml:space="preserve"> GB50067-2014</w:t>
      </w:r>
    </w:p>
    <w:p>
      <w:pPr>
        <w:ind w:firstLine="851"/>
      </w:pPr>
      <w:r>
        <w:rPr>
          <w:rFonts w:hint="eastAsia"/>
        </w:rPr>
        <w:t>《汽车库建筑设计规范》</w:t>
      </w:r>
      <w:r>
        <w:t xml:space="preserve"> JGJ100-98</w:t>
      </w:r>
    </w:p>
    <w:p>
      <w:pPr>
        <w:ind w:firstLine="851"/>
      </w:pPr>
      <w:r>
        <w:rPr>
          <w:rFonts w:hint="eastAsia"/>
        </w:rPr>
        <w:t>《民用建筑设计通则》</w:t>
      </w:r>
      <w:r>
        <w:t xml:space="preserve"> GB50352-2005</w:t>
      </w:r>
    </w:p>
    <w:p>
      <w:pPr>
        <w:ind w:firstLine="851"/>
      </w:pPr>
      <w:r>
        <w:rPr>
          <w:rFonts w:hint="eastAsia"/>
        </w:rPr>
        <w:t>《建筑设计防火规范》</w:t>
      </w:r>
      <w:r>
        <w:t xml:space="preserve"> GB50016-2014</w:t>
      </w:r>
    </w:p>
    <w:p>
      <w:pPr>
        <w:ind w:firstLine="851"/>
      </w:pPr>
      <w:r>
        <w:rPr>
          <w:rFonts w:hint="eastAsia"/>
        </w:rPr>
        <w:t>《城市公共交通标志</w:t>
      </w:r>
      <w:r>
        <w:t xml:space="preserve"> </w:t>
      </w:r>
      <w:r>
        <w:rPr>
          <w:rFonts w:hint="eastAsia"/>
        </w:rPr>
        <w:t>第</w:t>
      </w:r>
      <w:r>
        <w:t>3</w:t>
      </w:r>
      <w:r>
        <w:rPr>
          <w:rFonts w:hint="eastAsia"/>
        </w:rPr>
        <w:t>部分：公共汽电车站牌和路牌》</w:t>
      </w:r>
      <w:r>
        <w:t xml:space="preserve"> GB/T5845.3</w:t>
      </w:r>
    </w:p>
    <w:p>
      <w:pPr>
        <w:ind w:left="851"/>
      </w:pPr>
      <w:r>
        <w:rPr>
          <w:rFonts w:hint="eastAsia"/>
        </w:rPr>
        <w:t>《公共信息导向系统设置原则与要求第</w:t>
      </w:r>
      <w:r>
        <w:t>4</w:t>
      </w:r>
      <w:r>
        <w:rPr>
          <w:rFonts w:hint="eastAsia"/>
        </w:rPr>
        <w:t>部分：公共交通车站》</w:t>
      </w:r>
      <w:r>
        <w:t xml:space="preserve"> GB/T 15566.4</w:t>
      </w:r>
    </w:p>
    <w:p>
      <w:pPr>
        <w:ind w:left="851"/>
      </w:pPr>
      <w:r>
        <w:rPr>
          <w:rFonts w:hint="eastAsia"/>
        </w:rPr>
        <w:t>《无障碍设计规范》</w:t>
      </w:r>
      <w:r>
        <w:t xml:space="preserve"> GB 50763-2012</w:t>
      </w:r>
    </w:p>
    <w:p>
      <w:pPr>
        <w:ind w:left="851"/>
      </w:pPr>
      <w:r>
        <w:rPr>
          <w:rFonts w:hint="eastAsia"/>
        </w:rPr>
        <w:t>《电动汽车传导充电系统</w:t>
      </w:r>
      <w:r>
        <w:t xml:space="preserve"> </w:t>
      </w:r>
      <w:r>
        <w:rPr>
          <w:rFonts w:hint="eastAsia"/>
        </w:rPr>
        <w:t>第</w:t>
      </w:r>
      <w:r>
        <w:t>1</w:t>
      </w:r>
      <w:r>
        <w:rPr>
          <w:rFonts w:hint="eastAsia"/>
        </w:rPr>
        <w:t>部分：通用要求》</w:t>
      </w:r>
      <w:r>
        <w:t xml:space="preserve"> GB/T 18487.1-2015</w:t>
      </w:r>
    </w:p>
    <w:p>
      <w:pPr>
        <w:ind w:left="851"/>
      </w:pPr>
      <w:r>
        <w:rPr>
          <w:rFonts w:hint="eastAsia"/>
        </w:rPr>
        <w:t>《电动汽车充电站及充电桩设计规范》</w:t>
      </w:r>
      <w:r>
        <w:t xml:space="preserve"> Q/CSG 11516.2-2010</w:t>
      </w:r>
    </w:p>
    <w:p>
      <w:pPr>
        <w:ind w:left="851"/>
      </w:pPr>
      <w:r>
        <w:rPr>
          <w:rFonts w:hint="eastAsia"/>
        </w:rPr>
        <w:t>《安全防范工程技术规范》</w:t>
      </w:r>
      <w:r>
        <w:t xml:space="preserve"> GB50348-2004</w:t>
      </w:r>
    </w:p>
    <w:p>
      <w:pPr>
        <w:ind w:left="851"/>
      </w:pPr>
      <w:r>
        <w:rPr>
          <w:rFonts w:hint="eastAsia"/>
        </w:rPr>
        <w:t>《入侵报警系统工程设计规范》</w:t>
      </w:r>
      <w:r>
        <w:t xml:space="preserve"> GB50394-2007</w:t>
      </w:r>
    </w:p>
    <w:p>
      <w:pPr>
        <w:ind w:left="851"/>
      </w:pPr>
      <w:r>
        <w:rPr>
          <w:rFonts w:hint="eastAsia"/>
        </w:rPr>
        <w:t>《视频安防监控系统工程设计规范》</w:t>
      </w:r>
      <w:r>
        <w:t xml:space="preserve"> GB50395-2007</w:t>
      </w:r>
    </w:p>
    <w:p>
      <w:pPr>
        <w:pStyle w:val="35"/>
        <w:ind w:left="360" w:firstLine="0" w:firstLineChars="0"/>
      </w:pPr>
      <w:r>
        <w:t xml:space="preserve">2.   </w:t>
      </w:r>
      <w:r>
        <w:rPr>
          <w:rFonts w:hint="eastAsia"/>
        </w:rPr>
        <w:t>广州市相关标准规范文件</w:t>
      </w:r>
    </w:p>
    <w:p>
      <w:pPr>
        <w:ind w:firstLine="851"/>
      </w:pPr>
      <w:r>
        <w:rPr>
          <w:rFonts w:hint="eastAsia"/>
        </w:rPr>
        <w:t>《广州市社区公共服务设施设置规范（修订）》</w:t>
      </w:r>
    </w:p>
    <w:p>
      <w:pPr>
        <w:ind w:firstLine="851"/>
      </w:pPr>
      <w:r>
        <w:rPr>
          <w:rFonts w:hint="eastAsia"/>
        </w:rPr>
        <w:t>《广州市公共汽车电车客运管理条例（</w:t>
      </w:r>
      <w:r>
        <w:t>2009</w:t>
      </w:r>
      <w:r>
        <w:rPr>
          <w:rFonts w:hint="eastAsia"/>
        </w:rPr>
        <w:t>年修正本）》</w:t>
      </w:r>
    </w:p>
    <w:p>
      <w:pPr>
        <w:ind w:firstLine="851"/>
      </w:pPr>
      <w:r>
        <w:rPr>
          <w:rFonts w:hint="eastAsia"/>
        </w:rPr>
        <w:t>《广州市房地产开发项目配套公交站场建设移交管理工作指引》</w:t>
      </w:r>
    </w:p>
    <w:p>
      <w:pPr>
        <w:ind w:firstLine="851"/>
      </w:pPr>
      <w:r>
        <w:rPr>
          <w:rFonts w:hint="eastAsia"/>
        </w:rPr>
        <w:t>《广州市公共租赁住房保障制度实施办法（试行）》</w:t>
      </w:r>
    </w:p>
    <w:p>
      <w:pPr>
        <w:pStyle w:val="35"/>
        <w:ind w:left="360" w:firstLine="0" w:firstLineChars="0"/>
      </w:pPr>
      <w:r>
        <w:t xml:space="preserve">3.   </w:t>
      </w:r>
      <w:r>
        <w:rPr>
          <w:rFonts w:hint="eastAsia"/>
        </w:rPr>
        <w:t>地方相关标准规范文件</w:t>
      </w:r>
    </w:p>
    <w:p>
      <w:pPr>
        <w:ind w:firstLine="851"/>
      </w:pPr>
      <w:r>
        <w:rPr>
          <w:rFonts w:hint="eastAsia"/>
        </w:rPr>
        <w:t>《香港规划标准与准则》（</w:t>
      </w:r>
      <w:r>
        <w:t>2011</w:t>
      </w:r>
      <w:r>
        <w:rPr>
          <w:rFonts w:hint="eastAsia"/>
        </w:rPr>
        <w:t>版）</w:t>
      </w:r>
    </w:p>
    <w:p>
      <w:pPr>
        <w:ind w:firstLine="851"/>
      </w:pPr>
      <w:r>
        <w:rPr>
          <w:rFonts w:hint="eastAsia"/>
        </w:rPr>
        <w:t>《香港运输策划及设计手册》（</w:t>
      </w:r>
      <w:r>
        <w:t>1999</w:t>
      </w:r>
      <w:r>
        <w:rPr>
          <w:rFonts w:hint="eastAsia"/>
        </w:rPr>
        <w:t>版）</w:t>
      </w:r>
    </w:p>
    <w:p>
      <w:pPr>
        <w:ind w:firstLine="851"/>
      </w:pPr>
      <w:r>
        <w:rPr>
          <w:rFonts w:hint="eastAsia"/>
        </w:rPr>
        <w:t>《北京市公共汽电车站场功能设计要求》</w:t>
      </w:r>
      <w:r>
        <w:t xml:space="preserve"> DB11/T715-2010</w:t>
      </w:r>
    </w:p>
    <w:p>
      <w:pPr>
        <w:ind w:firstLine="851"/>
      </w:pPr>
      <w:r>
        <w:rPr>
          <w:rFonts w:hint="eastAsia"/>
        </w:rPr>
        <w:t>《上海市公共汽车和电车首末站、枢纽站建设标准》</w:t>
      </w:r>
      <w:r>
        <w:t xml:space="preserve"> DG/TJ08-2057-2009</w:t>
      </w:r>
    </w:p>
    <w:p>
      <w:pPr>
        <w:ind w:firstLine="851"/>
      </w:pPr>
      <w:r>
        <w:rPr>
          <w:rFonts w:hint="eastAsia"/>
        </w:rPr>
        <w:t>《深圳市大型建筑公交站场配建指引》</w:t>
      </w:r>
    </w:p>
    <w:p>
      <w:pPr>
        <w:ind w:firstLine="851"/>
      </w:pPr>
      <w:r>
        <w:rPr>
          <w:rFonts w:hint="eastAsia"/>
        </w:rPr>
        <w:t>《深圳市民用建筑配建公交站场设计导则》</w:t>
      </w:r>
    </w:p>
    <w:p>
      <w:pPr>
        <w:ind w:firstLine="851"/>
      </w:pPr>
      <w:r>
        <w:rPr>
          <w:rFonts w:hint="eastAsia"/>
        </w:rPr>
        <w:t>《佛山市公交站场配建技术指引》</w:t>
      </w:r>
    </w:p>
    <w:p>
      <w:pPr>
        <w:ind w:firstLine="851"/>
      </w:pPr>
      <w:r>
        <w:rPr>
          <w:rFonts w:hint="eastAsia"/>
        </w:rPr>
        <w:t>《上海市公共汽车和电车客运管理条例》（</w:t>
      </w:r>
      <w:r>
        <w:t>2010</w:t>
      </w:r>
      <w:r>
        <w:rPr>
          <w:rFonts w:hint="eastAsia"/>
        </w:rPr>
        <w:t>）</w:t>
      </w:r>
    </w:p>
    <w:p>
      <w:pPr>
        <w:ind w:firstLine="851"/>
      </w:pPr>
      <w:r>
        <w:rPr>
          <w:rFonts w:hint="eastAsia"/>
        </w:rPr>
        <w:t>《哈尔滨市公共汽车交通基础设施规范》（</w:t>
      </w:r>
      <w:r>
        <w:t>2012</w:t>
      </w:r>
      <w:r>
        <w:rPr>
          <w:rFonts w:hint="eastAsia"/>
        </w:rPr>
        <w:t>）</w:t>
      </w:r>
    </w:p>
    <w:p>
      <w:pPr>
        <w:ind w:firstLine="851"/>
      </w:pPr>
      <w:r>
        <w:rPr>
          <w:rFonts w:hint="eastAsia"/>
        </w:rPr>
        <w:t>《哈尔滨市城市公共交通基础设施规划建设管理规定》（</w:t>
      </w:r>
      <w:r>
        <w:t>2010</w:t>
      </w:r>
      <w:r>
        <w:rPr>
          <w:rFonts w:hint="eastAsia"/>
        </w:rPr>
        <w:t>）</w:t>
      </w:r>
    </w:p>
    <w:p>
      <w:pPr>
        <w:ind w:firstLine="851"/>
      </w:pPr>
      <w:r>
        <w:rPr>
          <w:rFonts w:hint="eastAsia"/>
        </w:rPr>
        <w:t>《武汉市城市公共客运交通管理条例》（</w:t>
      </w:r>
      <w:r>
        <w:t>2004</w:t>
      </w:r>
      <w:r>
        <w:rPr>
          <w:rFonts w:hint="eastAsia"/>
        </w:rPr>
        <w:t>）</w:t>
      </w:r>
    </w:p>
    <w:p>
      <w:pPr>
        <w:ind w:firstLine="851"/>
      </w:pPr>
      <w:r>
        <w:rPr>
          <w:rFonts w:hint="eastAsia"/>
        </w:rPr>
        <w:t>《长春市城市公共汽电车客运管理条例》（</w:t>
      </w:r>
      <w:r>
        <w:t>2008</w:t>
      </w:r>
      <w:r>
        <w:rPr>
          <w:rFonts w:hint="eastAsia"/>
        </w:rPr>
        <w:t>）</w:t>
      </w:r>
    </w:p>
    <w:p>
      <w:pPr>
        <w:ind w:left="851"/>
      </w:pPr>
      <w:r>
        <w:rPr>
          <w:rFonts w:hint="eastAsia"/>
        </w:rPr>
        <w:t>《公共交通安全防范技术要求</w:t>
      </w:r>
      <w:r>
        <w:t xml:space="preserve"> </w:t>
      </w:r>
      <w:r>
        <w:rPr>
          <w:rFonts w:hint="eastAsia"/>
        </w:rPr>
        <w:t>第</w:t>
      </w:r>
      <w:r>
        <w:t>2</w:t>
      </w:r>
      <w:r>
        <w:rPr>
          <w:rFonts w:hint="eastAsia"/>
        </w:rPr>
        <w:t>部分：公交站场安全防范系统》</w:t>
      </w:r>
      <w:r>
        <w:t>DB11/T 1162.2-2015</w:t>
      </w:r>
    </w:p>
    <w:p>
      <w:pPr>
        <w:ind w:firstLine="851"/>
        <w:sectPr>
          <w:pgSz w:w="11906" w:h="16838"/>
          <w:pgMar w:top="1440" w:right="1800" w:bottom="1440" w:left="1800" w:header="851" w:footer="992" w:gutter="0"/>
          <w:cols w:space="425" w:num="1"/>
          <w:docGrid w:type="lines" w:linePitch="312" w:charSpace="0"/>
        </w:sect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ascii="黑体" w:hAnsi="黑体" w:eastAsia="黑体"/>
          <w:b/>
          <w:sz w:val="44"/>
          <w:szCs w:val="44"/>
        </w:rPr>
      </w:pPr>
      <w:r>
        <w:rPr>
          <w:rFonts w:hint="eastAsia" w:ascii="黑体" w:hAnsi="黑体" w:eastAsia="黑体"/>
          <w:b/>
          <w:sz w:val="44"/>
          <w:szCs w:val="44"/>
        </w:rPr>
        <w:t>南沙区公交站场配建技术指引</w:t>
      </w:r>
    </w:p>
    <w:p>
      <w:pPr>
        <w:jc w:val="center"/>
        <w:rPr>
          <w:b/>
          <w:sz w:val="44"/>
          <w:szCs w:val="44"/>
        </w:rPr>
      </w:pPr>
    </w:p>
    <w:p>
      <w:pPr>
        <w:jc w:val="center"/>
        <w:rPr>
          <w:b/>
          <w:sz w:val="44"/>
          <w:szCs w:val="44"/>
        </w:rPr>
      </w:pPr>
    </w:p>
    <w:p>
      <w:pPr>
        <w:jc w:val="center"/>
        <w:rPr>
          <w:b/>
          <w:sz w:val="44"/>
          <w:szCs w:val="44"/>
        </w:rPr>
        <w:sectPr>
          <w:headerReference r:id="rId18" w:type="first"/>
          <w:headerReference r:id="rId16" w:type="default"/>
          <w:headerReference r:id="rId17" w:type="even"/>
          <w:pgSz w:w="11906" w:h="16838"/>
          <w:pgMar w:top="1440" w:right="1800" w:bottom="1440" w:left="1800" w:header="851" w:footer="992" w:gutter="0"/>
          <w:cols w:space="425" w:num="1"/>
          <w:docGrid w:type="lines" w:linePitch="312" w:charSpace="0"/>
        </w:sectPr>
      </w:pPr>
      <w:r>
        <w:rPr>
          <w:rFonts w:hint="eastAsia"/>
          <w:b/>
          <w:sz w:val="44"/>
          <w:szCs w:val="44"/>
        </w:rPr>
        <w:t>条</w:t>
      </w:r>
      <w:r>
        <w:rPr>
          <w:b/>
          <w:sz w:val="44"/>
          <w:szCs w:val="44"/>
        </w:rPr>
        <w:t xml:space="preserve"> </w:t>
      </w:r>
      <w:r>
        <w:rPr>
          <w:rFonts w:hint="eastAsia"/>
          <w:b/>
          <w:sz w:val="44"/>
          <w:szCs w:val="44"/>
        </w:rPr>
        <w:t>文</w:t>
      </w:r>
      <w:r>
        <w:rPr>
          <w:b/>
          <w:sz w:val="44"/>
          <w:szCs w:val="44"/>
        </w:rPr>
        <w:t xml:space="preserve"> </w:t>
      </w:r>
      <w:r>
        <w:rPr>
          <w:rFonts w:hint="eastAsia"/>
          <w:b/>
          <w:sz w:val="44"/>
          <w:szCs w:val="44"/>
        </w:rPr>
        <w:t>说</w:t>
      </w:r>
      <w:r>
        <w:rPr>
          <w:b/>
          <w:sz w:val="44"/>
          <w:szCs w:val="44"/>
        </w:rPr>
        <w:t xml:space="preserve"> </w:t>
      </w:r>
      <w:r>
        <w:rPr>
          <w:rFonts w:hint="eastAsia"/>
          <w:b/>
          <w:sz w:val="44"/>
          <w:szCs w:val="44"/>
        </w:rPr>
        <w:t>明</w:t>
      </w:r>
    </w:p>
    <w:p>
      <w:pPr>
        <w:spacing w:before="340" w:after="330"/>
        <w:jc w:val="center"/>
        <w:rPr>
          <w:b/>
          <w:sz w:val="36"/>
        </w:rPr>
      </w:pPr>
      <w:r>
        <w:rPr>
          <w:rFonts w:hint="eastAsia"/>
          <w:b/>
          <w:sz w:val="36"/>
        </w:rPr>
        <w:t>目</w:t>
      </w:r>
      <w:r>
        <w:rPr>
          <w:b/>
          <w:sz w:val="36"/>
        </w:rPr>
        <w:t xml:space="preserve"> </w:t>
      </w:r>
      <w:r>
        <w:rPr>
          <w:rFonts w:hint="eastAsia"/>
          <w:b/>
          <w:sz w:val="36"/>
        </w:rPr>
        <w:t>录</w:t>
      </w:r>
    </w:p>
    <w:p>
      <w:pPr>
        <w:pStyle w:val="14"/>
        <w:rPr>
          <w:rFonts w:ascii="Calibri" w:hAnsi="Calibri"/>
          <w:b w:val="0"/>
          <w:sz w:val="21"/>
        </w:rPr>
      </w:pPr>
      <w:r>
        <w:fldChar w:fldCharType="begin"/>
      </w:r>
      <w:r>
        <w:instrText xml:space="preserve"> HYPERLINK \l "_Toc470624711" </w:instrText>
      </w:r>
      <w:r>
        <w:fldChar w:fldCharType="separate"/>
      </w:r>
      <w:r>
        <w:rPr>
          <w:rStyle w:val="24"/>
          <w:color w:val="auto"/>
          <w:u w:val="none"/>
        </w:rPr>
        <w:t>1</w:t>
      </w:r>
      <w:r>
        <w:rPr>
          <w:rFonts w:ascii="Calibri" w:hAnsi="Calibri"/>
          <w:b w:val="0"/>
          <w:sz w:val="21"/>
        </w:rPr>
        <w:tab/>
      </w:r>
      <w:r>
        <w:rPr>
          <w:rStyle w:val="24"/>
          <w:rFonts w:hint="eastAsia"/>
          <w:color w:val="auto"/>
          <w:u w:val="none"/>
        </w:rPr>
        <w:t>总则</w:t>
      </w:r>
      <w:r>
        <w:tab/>
      </w:r>
      <w:r>
        <w:t>34</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"_Toc470624712" </w:instrText>
      </w:r>
      <w:r>
        <w:fldChar w:fldCharType="separate"/>
      </w:r>
      <w:r>
        <w:rPr>
          <w:rStyle w:val="24"/>
          <w:color w:val="auto"/>
          <w:u w:val="none"/>
        </w:rPr>
        <w:t>1.1</w:t>
      </w:r>
      <w:r>
        <w:rPr>
          <w:rFonts w:ascii="Calibri" w:hAnsi="Calibri"/>
          <w:sz w:val="21"/>
        </w:rPr>
        <w:tab/>
      </w:r>
      <w:r>
        <w:rPr>
          <w:rStyle w:val="24"/>
          <w:rFonts w:hint="eastAsia"/>
          <w:color w:val="auto"/>
          <w:u w:val="none"/>
        </w:rPr>
        <w:t>编制背景</w:t>
      </w:r>
      <w:r>
        <w:tab/>
      </w:r>
      <w:r>
        <w:t>34</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"_Toc470624713" </w:instrText>
      </w:r>
      <w:r>
        <w:fldChar w:fldCharType="separate"/>
      </w:r>
      <w:r>
        <w:rPr>
          <w:rStyle w:val="24"/>
          <w:color w:val="auto"/>
          <w:u w:val="none"/>
        </w:rPr>
        <w:t>1.2</w:t>
      </w:r>
      <w:r>
        <w:rPr>
          <w:rFonts w:ascii="Calibri" w:hAnsi="Calibri"/>
          <w:sz w:val="21"/>
        </w:rPr>
        <w:tab/>
      </w:r>
      <w:r>
        <w:rPr>
          <w:rStyle w:val="24"/>
          <w:rFonts w:hint="eastAsia"/>
          <w:color w:val="auto"/>
          <w:u w:val="none"/>
        </w:rPr>
        <w:t>编制目的</w:t>
      </w:r>
      <w:r>
        <w:tab/>
      </w:r>
      <w:r>
        <w:t>36</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"_Toc470624714" </w:instrText>
      </w:r>
      <w:r>
        <w:fldChar w:fldCharType="separate"/>
      </w:r>
      <w:r>
        <w:rPr>
          <w:rStyle w:val="24"/>
          <w:color w:val="auto"/>
          <w:u w:val="none"/>
        </w:rPr>
        <w:t>1.3</w:t>
      </w:r>
      <w:r>
        <w:rPr>
          <w:rFonts w:ascii="Calibri" w:hAnsi="Calibri"/>
          <w:sz w:val="21"/>
        </w:rPr>
        <w:tab/>
      </w:r>
      <w:r>
        <w:rPr>
          <w:rStyle w:val="24"/>
          <w:rFonts w:hint="eastAsia"/>
          <w:color w:val="auto"/>
          <w:u w:val="none"/>
        </w:rPr>
        <w:t>编制依据</w:t>
      </w:r>
      <w:r>
        <w:tab/>
      </w:r>
      <w:r>
        <w:t>36</w:t>
      </w:r>
      <w:r>
        <w:fldChar w:fldCharType="end"/>
      </w:r>
    </w:p>
    <w:p>
      <w:pPr>
        <w:pStyle w:val="14"/>
        <w:rPr>
          <w:rFonts w:ascii="Calibri" w:hAnsi="Calibri"/>
          <w:b w:val="0"/>
          <w:sz w:val="21"/>
        </w:rPr>
      </w:pPr>
      <w:r>
        <w:fldChar w:fldCharType="begin"/>
      </w:r>
      <w:r>
        <w:instrText xml:space="preserve"> HYPERLINK \l "_Toc470624715" </w:instrText>
      </w:r>
      <w:r>
        <w:fldChar w:fldCharType="separate"/>
      </w:r>
      <w:r>
        <w:rPr>
          <w:rStyle w:val="24"/>
          <w:color w:val="auto"/>
          <w:u w:val="none"/>
        </w:rPr>
        <w:t>2</w:t>
      </w:r>
      <w:r>
        <w:rPr>
          <w:rFonts w:ascii="Calibri" w:hAnsi="Calibri"/>
          <w:b w:val="0"/>
          <w:sz w:val="21"/>
        </w:rPr>
        <w:tab/>
      </w:r>
      <w:r>
        <w:rPr>
          <w:rStyle w:val="24"/>
          <w:rFonts w:hint="eastAsia"/>
          <w:color w:val="auto"/>
          <w:u w:val="none"/>
        </w:rPr>
        <w:t>站场功能定位</w:t>
      </w:r>
      <w:r>
        <w:tab/>
      </w:r>
      <w:r>
        <w:t>36</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"_Toc470624716" </w:instrText>
      </w:r>
      <w:r>
        <w:fldChar w:fldCharType="separate"/>
      </w:r>
      <w:r>
        <w:rPr>
          <w:rStyle w:val="24"/>
          <w:color w:val="auto"/>
          <w:u w:val="none"/>
        </w:rPr>
        <w:t>2.1</w:t>
      </w:r>
      <w:r>
        <w:rPr>
          <w:rFonts w:ascii="Calibri" w:hAnsi="Calibri"/>
          <w:sz w:val="21"/>
        </w:rPr>
        <w:tab/>
      </w:r>
      <w:r>
        <w:rPr>
          <w:rStyle w:val="24"/>
          <w:rFonts w:hint="eastAsia"/>
          <w:color w:val="auto"/>
          <w:u w:val="none"/>
        </w:rPr>
        <w:t>公交站场体系</w:t>
      </w:r>
      <w:r>
        <w:tab/>
      </w:r>
      <w:r>
        <w:t>36</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"_Toc470624717" </w:instrText>
      </w:r>
      <w:r>
        <w:fldChar w:fldCharType="separate"/>
      </w:r>
      <w:r>
        <w:rPr>
          <w:rStyle w:val="24"/>
          <w:color w:val="auto"/>
          <w:u w:val="none"/>
        </w:rPr>
        <w:t>2.2</w:t>
      </w:r>
      <w:r>
        <w:rPr>
          <w:rFonts w:ascii="Calibri" w:hAnsi="Calibri"/>
          <w:sz w:val="21"/>
        </w:rPr>
        <w:tab/>
      </w:r>
      <w:r>
        <w:rPr>
          <w:rStyle w:val="24"/>
          <w:rFonts w:hint="eastAsia"/>
          <w:color w:val="auto"/>
          <w:u w:val="none"/>
        </w:rPr>
        <w:t>公交站场建设模式</w:t>
      </w:r>
      <w:r>
        <w:tab/>
      </w:r>
      <w:r>
        <w:t>37</w:t>
      </w:r>
      <w:r>
        <w:fldChar w:fldCharType="end"/>
      </w:r>
    </w:p>
    <w:p>
      <w:pPr>
        <w:pStyle w:val="14"/>
        <w:rPr>
          <w:rFonts w:ascii="Calibri" w:hAnsi="Calibri"/>
          <w:b w:val="0"/>
          <w:sz w:val="21"/>
        </w:rPr>
      </w:pPr>
      <w:r>
        <w:fldChar w:fldCharType="begin"/>
      </w:r>
      <w:r>
        <w:instrText xml:space="preserve"> HYPERLINK \l "_Toc470624718" </w:instrText>
      </w:r>
      <w:r>
        <w:fldChar w:fldCharType="separate"/>
      </w:r>
      <w:r>
        <w:rPr>
          <w:rStyle w:val="24"/>
          <w:color w:val="auto"/>
          <w:u w:val="none"/>
        </w:rPr>
        <w:t>3</w:t>
      </w:r>
      <w:r>
        <w:rPr>
          <w:rFonts w:ascii="Calibri" w:hAnsi="Calibri"/>
          <w:b w:val="0"/>
          <w:sz w:val="21"/>
        </w:rPr>
        <w:tab/>
      </w:r>
      <w:r>
        <w:rPr>
          <w:rStyle w:val="24"/>
          <w:rFonts w:hint="eastAsia"/>
          <w:color w:val="auto"/>
          <w:u w:val="none"/>
        </w:rPr>
        <w:t>规划指引</w:t>
      </w:r>
      <w:r>
        <w:tab/>
      </w:r>
      <w:r>
        <w:t>38</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"_Toc470624719" </w:instrText>
      </w:r>
      <w:r>
        <w:fldChar w:fldCharType="separate"/>
      </w:r>
      <w:r>
        <w:rPr>
          <w:rStyle w:val="24"/>
          <w:color w:val="auto"/>
          <w:u w:val="none"/>
        </w:rPr>
        <w:t>3.1</w:t>
      </w:r>
      <w:r>
        <w:rPr>
          <w:rFonts w:ascii="Calibri" w:hAnsi="Calibri"/>
          <w:sz w:val="21"/>
        </w:rPr>
        <w:tab/>
      </w:r>
      <w:r>
        <w:rPr>
          <w:rStyle w:val="24"/>
          <w:rFonts w:hint="eastAsia"/>
          <w:color w:val="auto"/>
          <w:u w:val="none"/>
        </w:rPr>
        <w:t>站场配建原则</w:t>
      </w:r>
      <w:r>
        <w:tab/>
      </w:r>
      <w:r>
        <w:t>38</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"_Toc470624720" </w:instrText>
      </w:r>
      <w:r>
        <w:fldChar w:fldCharType="separate"/>
      </w:r>
      <w:r>
        <w:rPr>
          <w:rStyle w:val="24"/>
          <w:color w:val="auto"/>
          <w:u w:val="none"/>
        </w:rPr>
        <w:t>3.2</w:t>
      </w:r>
      <w:r>
        <w:rPr>
          <w:rFonts w:ascii="Calibri" w:hAnsi="Calibri"/>
          <w:sz w:val="21"/>
        </w:rPr>
        <w:tab/>
      </w:r>
      <w:r>
        <w:rPr>
          <w:rStyle w:val="24"/>
          <w:rFonts w:hint="eastAsia"/>
          <w:color w:val="auto"/>
          <w:u w:val="none"/>
        </w:rPr>
        <w:t>站场配建标准</w:t>
      </w:r>
      <w:r>
        <w:tab/>
      </w:r>
      <w:r>
        <w:t>39</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"_Toc470624721" </w:instrText>
      </w:r>
      <w:r>
        <w:fldChar w:fldCharType="separate"/>
      </w:r>
      <w:r>
        <w:rPr>
          <w:rStyle w:val="24"/>
          <w:color w:val="auto"/>
          <w:u w:val="none"/>
        </w:rPr>
        <w:t>3.3</w:t>
      </w:r>
      <w:r>
        <w:rPr>
          <w:rFonts w:ascii="Calibri" w:hAnsi="Calibri"/>
          <w:sz w:val="21"/>
        </w:rPr>
        <w:tab/>
      </w:r>
      <w:r>
        <w:rPr>
          <w:rStyle w:val="24"/>
          <w:rFonts w:hint="eastAsia"/>
          <w:color w:val="auto"/>
          <w:u w:val="none"/>
        </w:rPr>
        <w:t>站场最小规模控制指标</w:t>
      </w:r>
      <w:r>
        <w:tab/>
      </w:r>
      <w:r>
        <w:fldChar w:fldCharType="begin"/>
      </w:r>
      <w:r>
        <w:instrText xml:space="preserve"> PAGEREF _Toc470624721 \h </w:instrText>
      </w:r>
      <w:r>
        <w:fldChar w:fldCharType="separate"/>
      </w:r>
      <w:r>
        <w:t>42</w:t>
      </w:r>
      <w:r>
        <w:fldChar w:fldCharType="end"/>
      </w:r>
      <w:r>
        <w:fldChar w:fldCharType="end"/>
      </w:r>
    </w:p>
    <w:p>
      <w:pPr>
        <w:pStyle w:val="14"/>
        <w:rPr>
          <w:rFonts w:ascii="Calibri" w:hAnsi="Calibri"/>
          <w:b w:val="0"/>
          <w:sz w:val="21"/>
        </w:rPr>
      </w:pPr>
      <w:r>
        <w:fldChar w:fldCharType="begin"/>
      </w:r>
      <w:r>
        <w:instrText xml:space="preserve"> HYPERLINK \l "_Toc470624722" </w:instrText>
      </w:r>
      <w:r>
        <w:fldChar w:fldCharType="separate"/>
      </w:r>
      <w:r>
        <w:rPr>
          <w:rStyle w:val="24"/>
          <w:color w:val="auto"/>
          <w:u w:val="none"/>
        </w:rPr>
        <w:t>4</w:t>
      </w:r>
      <w:r>
        <w:rPr>
          <w:rFonts w:ascii="Calibri" w:hAnsi="Calibri"/>
          <w:b w:val="0"/>
          <w:sz w:val="21"/>
        </w:rPr>
        <w:tab/>
      </w:r>
      <w:r>
        <w:rPr>
          <w:rStyle w:val="24"/>
          <w:rFonts w:hint="eastAsia"/>
          <w:color w:val="auto"/>
          <w:u w:val="none"/>
        </w:rPr>
        <w:t>设计指引</w:t>
      </w:r>
      <w:r>
        <w:tab/>
      </w:r>
      <w:r>
        <w:t>45</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"_Toc470624723" </w:instrText>
      </w:r>
      <w:r>
        <w:fldChar w:fldCharType="separate"/>
      </w:r>
      <w:r>
        <w:rPr>
          <w:rStyle w:val="24"/>
          <w:color w:val="auto"/>
          <w:u w:val="none"/>
        </w:rPr>
        <w:t>4.1</w:t>
      </w:r>
      <w:r>
        <w:rPr>
          <w:rFonts w:ascii="Calibri" w:hAnsi="Calibri"/>
          <w:sz w:val="21"/>
        </w:rPr>
        <w:tab/>
      </w:r>
      <w:r>
        <w:rPr>
          <w:rStyle w:val="24"/>
          <w:rFonts w:hint="eastAsia"/>
          <w:color w:val="auto"/>
          <w:u w:val="none"/>
        </w:rPr>
        <w:t>通则</w:t>
      </w:r>
      <w:r>
        <w:tab/>
      </w:r>
      <w:r>
        <w:t>45</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"_Toc470624724" </w:instrText>
      </w:r>
      <w:r>
        <w:fldChar w:fldCharType="separate"/>
      </w:r>
      <w:r>
        <w:rPr>
          <w:rStyle w:val="24"/>
          <w:color w:val="auto"/>
          <w:u w:val="none"/>
        </w:rPr>
        <w:t>4.2</w:t>
      </w:r>
      <w:r>
        <w:rPr>
          <w:rFonts w:ascii="Calibri" w:hAnsi="Calibri"/>
          <w:sz w:val="21"/>
        </w:rPr>
        <w:tab/>
      </w:r>
      <w:r>
        <w:rPr>
          <w:rStyle w:val="24"/>
          <w:rFonts w:hint="eastAsia"/>
          <w:color w:val="auto"/>
          <w:u w:val="none"/>
        </w:rPr>
        <w:t>平面布局</w:t>
      </w:r>
      <w:r>
        <w:tab/>
      </w:r>
      <w:r>
        <w:t>45</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"_Toc470624725" </w:instrText>
      </w:r>
      <w:r>
        <w:fldChar w:fldCharType="separate"/>
      </w:r>
      <w:r>
        <w:rPr>
          <w:rStyle w:val="24"/>
          <w:color w:val="auto"/>
          <w:u w:val="none"/>
        </w:rPr>
        <w:t>4.3</w:t>
      </w:r>
      <w:r>
        <w:rPr>
          <w:rFonts w:ascii="Calibri" w:hAnsi="Calibri"/>
          <w:sz w:val="21"/>
        </w:rPr>
        <w:tab/>
      </w:r>
      <w:r>
        <w:rPr>
          <w:rStyle w:val="24"/>
          <w:rFonts w:hint="eastAsia"/>
          <w:color w:val="auto"/>
          <w:u w:val="none"/>
        </w:rPr>
        <w:t>设计内容</w:t>
      </w:r>
      <w:r>
        <w:tab/>
      </w:r>
      <w:r>
        <w:t>45</w:t>
      </w:r>
      <w:r>
        <w:fldChar w:fldCharType="end"/>
      </w:r>
    </w:p>
    <w:p>
      <w:pPr>
        <w:pStyle w:val="17"/>
        <w:tabs>
          <w:tab w:val="left" w:pos="1050"/>
          <w:tab w:val="right" w:leader="dot" w:pos="8296"/>
        </w:tabs>
        <w:ind w:left="31680"/>
        <w:rPr>
          <w:rFonts w:ascii="Calibri" w:hAnsi="Calibri"/>
          <w:sz w:val="21"/>
        </w:rPr>
      </w:pPr>
      <w:r>
        <w:fldChar w:fldCharType="begin"/>
      </w:r>
      <w:r>
        <w:instrText xml:space="preserve"> HYPERLINK \l "_Toc470624726" </w:instrText>
      </w:r>
      <w:r>
        <w:fldChar w:fldCharType="separate"/>
      </w:r>
      <w:r>
        <w:rPr>
          <w:rStyle w:val="24"/>
          <w:color w:val="auto"/>
          <w:u w:val="none"/>
        </w:rPr>
        <w:t>4.4</w:t>
      </w:r>
      <w:r>
        <w:rPr>
          <w:rFonts w:ascii="Calibri" w:hAnsi="Calibri"/>
          <w:sz w:val="21"/>
        </w:rPr>
        <w:tab/>
      </w:r>
      <w:r>
        <w:rPr>
          <w:rStyle w:val="24"/>
          <w:rFonts w:hint="eastAsia"/>
          <w:color w:val="auto"/>
          <w:u w:val="none"/>
        </w:rPr>
        <w:t>功能设施设计要求</w:t>
      </w:r>
      <w:r>
        <w:tab/>
      </w:r>
      <w:r>
        <w:t>45</w:t>
      </w:r>
      <w:r>
        <w:fldChar w:fldCharType="end"/>
      </w:r>
    </w:p>
    <w:p>
      <w:pPr>
        <w:pStyle w:val="17"/>
        <w:tabs>
          <w:tab w:val="right" w:leader="dot" w:pos="8296"/>
        </w:tabs>
        <w:ind w:left="31680"/>
        <w:rPr>
          <w:rFonts w:ascii="Calibri" w:hAnsi="Calibri"/>
          <w:sz w:val="21"/>
        </w:rPr>
      </w:pPr>
      <w:r>
        <w:fldChar w:fldCharType="begin"/>
      </w:r>
      <w:r>
        <w:instrText xml:space="preserve"> HYPERLINK \l "_Toc470624727" </w:instrText>
      </w:r>
      <w:r>
        <w:fldChar w:fldCharType="separate"/>
      </w:r>
      <w:r>
        <w:rPr>
          <w:rStyle w:val="24"/>
          <w:color w:val="auto"/>
          <w:u w:val="none"/>
        </w:rPr>
        <w:t xml:space="preserve">4.5   </w:t>
      </w:r>
      <w:r>
        <w:rPr>
          <w:rStyle w:val="24"/>
          <w:rFonts w:hint="eastAsia"/>
          <w:color w:val="auto"/>
          <w:u w:val="none"/>
        </w:rPr>
        <w:t>消防要求</w:t>
      </w:r>
      <w:r>
        <w:tab/>
      </w:r>
      <w:r>
        <w:t>48</w:t>
      </w:r>
      <w:r>
        <w:fldChar w:fldCharType="end"/>
      </w:r>
    </w:p>
    <w:p>
      <w:pPr>
        <w:pStyle w:val="17"/>
        <w:tabs>
          <w:tab w:val="right" w:leader="dot" w:pos="8296"/>
        </w:tabs>
        <w:ind w:left="31680"/>
        <w:rPr>
          <w:rFonts w:ascii="Calibri" w:hAnsi="Calibri"/>
          <w:sz w:val="21"/>
        </w:rPr>
      </w:pPr>
      <w:r>
        <w:fldChar w:fldCharType="begin"/>
      </w:r>
      <w:r>
        <w:instrText xml:space="preserve"> HYPERLINK \l "_Toc470624728" </w:instrText>
      </w:r>
      <w:r>
        <w:fldChar w:fldCharType="separate"/>
      </w:r>
      <w:r>
        <w:rPr>
          <w:rStyle w:val="24"/>
          <w:color w:val="auto"/>
          <w:u w:val="none"/>
        </w:rPr>
        <w:t xml:space="preserve">4.6   </w:t>
      </w:r>
      <w:r>
        <w:rPr>
          <w:rStyle w:val="24"/>
          <w:rFonts w:hint="eastAsia"/>
          <w:color w:val="auto"/>
          <w:u w:val="none"/>
        </w:rPr>
        <w:t>环保要求</w:t>
      </w:r>
      <w:r>
        <w:tab/>
      </w:r>
      <w:r>
        <w:t>48</w:t>
      </w:r>
      <w:r>
        <w:fldChar w:fldCharType="end"/>
      </w:r>
    </w:p>
    <w:p>
      <w:pPr>
        <w:pStyle w:val="14"/>
        <w:rPr>
          <w:rFonts w:ascii="Calibri" w:hAnsi="Calibri"/>
          <w:b w:val="0"/>
          <w:sz w:val="21"/>
        </w:rPr>
      </w:pPr>
      <w:r>
        <w:fldChar w:fldCharType="begin"/>
      </w:r>
      <w:r>
        <w:instrText xml:space="preserve"> HYPERLINK \l "_Toc470624729" </w:instrText>
      </w:r>
      <w:r>
        <w:fldChar w:fldCharType="separate"/>
      </w:r>
      <w:r>
        <w:rPr>
          <w:rStyle w:val="24"/>
          <w:color w:val="auto"/>
          <w:u w:val="none"/>
        </w:rPr>
        <w:t>5</w:t>
      </w:r>
      <w:r>
        <w:rPr>
          <w:rFonts w:ascii="Calibri" w:hAnsi="Calibri"/>
          <w:b w:val="0"/>
          <w:sz w:val="21"/>
        </w:rPr>
        <w:tab/>
      </w:r>
      <w:r>
        <w:rPr>
          <w:rStyle w:val="24"/>
          <w:rFonts w:hint="eastAsia"/>
          <w:color w:val="auto"/>
          <w:u w:val="none"/>
        </w:rPr>
        <w:t>实施机制</w:t>
      </w:r>
      <w:r>
        <w:tab/>
      </w:r>
      <w:r>
        <w:t>49</w:t>
      </w:r>
      <w:r>
        <w:fldChar w:fldCharType="end"/>
      </w:r>
    </w:p>
    <w:p>
      <w:pPr>
        <w:jc w:val="center"/>
        <w:rPr>
          <w:b/>
          <w:sz w:val="44"/>
          <w:szCs w:val="44"/>
        </w:rPr>
      </w:pPr>
    </w:p>
    <w:p>
      <w:pPr>
        <w:sectPr>
          <w:pgSz w:w="11906" w:h="16838"/>
          <w:pgMar w:top="1440" w:right="1800" w:bottom="1440" w:left="1800" w:header="851" w:footer="992" w:gutter="0"/>
          <w:cols w:space="425" w:num="1"/>
          <w:docGrid w:type="lines" w:linePitch="312" w:charSpace="0"/>
        </w:sectPr>
      </w:pPr>
    </w:p>
    <w:p>
      <w:pPr>
        <w:pStyle w:val="2"/>
        <w:numPr>
          <w:ilvl w:val="0"/>
          <w:numId w:val="5"/>
        </w:numPr>
      </w:pPr>
      <w:bookmarkStart w:id="118" w:name="_Toc454207081"/>
      <w:bookmarkStart w:id="119" w:name="_Toc470624711"/>
      <w:bookmarkStart w:id="120" w:name="_Toc454204993"/>
      <w:r>
        <w:rPr>
          <w:rFonts w:hint="eastAsia"/>
        </w:rPr>
        <w:t>总则</w:t>
      </w:r>
      <w:bookmarkEnd w:id="118"/>
      <w:bookmarkEnd w:id="119"/>
      <w:bookmarkEnd w:id="120"/>
    </w:p>
    <w:p>
      <w:pPr>
        <w:pStyle w:val="3"/>
      </w:pPr>
      <w:bookmarkStart w:id="121" w:name="_Toc470624712"/>
      <w:bookmarkStart w:id="122" w:name="_Toc454204994"/>
      <w:bookmarkStart w:id="123" w:name="_Toc454206047"/>
      <w:bookmarkStart w:id="124" w:name="_Toc470273285"/>
      <w:bookmarkStart w:id="125" w:name="_Toc454207082"/>
      <w:r>
        <w:rPr>
          <w:rFonts w:hint="eastAsia"/>
        </w:rPr>
        <w:t>编制背景</w:t>
      </w:r>
      <w:bookmarkEnd w:id="121"/>
      <w:bookmarkEnd w:id="122"/>
      <w:bookmarkEnd w:id="123"/>
      <w:bookmarkEnd w:id="124"/>
      <w:bookmarkEnd w:id="125"/>
    </w:p>
    <w:p>
      <w:pPr>
        <w:ind w:left="851"/>
        <w:rPr>
          <w:szCs w:val="24"/>
        </w:rPr>
      </w:pPr>
      <w:r>
        <w:rPr>
          <w:rFonts w:hint="eastAsia"/>
          <w:szCs w:val="24"/>
        </w:rPr>
        <w:t>广州市委十届九次全会提出：“要加快建设广州南沙新区城市副中心，打造高水平对外开放门户枢纽”。但南沙中心区受黄鲁山森林公园、蕉门河道等山体水系的限制，城市交通有效供给存在瓶颈，随着城市功能提升，未来人口、就业进一步集中，中心区道路交通压力将持续增加，“公交优先”是解决中心区交通问题的必然选择。</w:t>
      </w:r>
    </w:p>
    <w:p>
      <w:pPr>
        <w:ind w:left="851"/>
        <w:rPr>
          <w:szCs w:val="24"/>
        </w:rPr>
      </w:pPr>
      <w:r>
        <w:rPr>
          <w:rFonts w:hint="eastAsia"/>
          <w:szCs w:val="24"/>
        </w:rPr>
        <w:t>南沙公交站场的短缺由来已久。目前，规划公交站场</w:t>
      </w:r>
      <w:r>
        <w:rPr>
          <w:szCs w:val="24"/>
        </w:rPr>
        <w:t>10%</w:t>
      </w:r>
      <w:r>
        <w:rPr>
          <w:rFonts w:hint="eastAsia"/>
          <w:szCs w:val="24"/>
        </w:rPr>
        <w:t>得到落实，自有用地的公交站场用地面积总和约</w:t>
      </w:r>
      <w:r>
        <w:rPr>
          <w:szCs w:val="24"/>
        </w:rPr>
        <w:t>3</w:t>
      </w:r>
      <w:r>
        <w:rPr>
          <w:rFonts w:hint="eastAsia"/>
          <w:szCs w:val="24"/>
        </w:rPr>
        <w:t>万</w:t>
      </w:r>
      <w:r>
        <w:rPr>
          <w:szCs w:val="24"/>
        </w:rPr>
        <w:t>m</w:t>
      </w:r>
      <w:r>
        <w:rPr>
          <w:szCs w:val="24"/>
          <w:vertAlign w:val="superscript"/>
        </w:rPr>
        <w:t>2</w:t>
      </w:r>
      <w:r>
        <w:rPr>
          <w:rFonts w:hint="eastAsia"/>
          <w:szCs w:val="24"/>
        </w:rPr>
        <w:t>，仅为公交站场用地需求的</w:t>
      </w:r>
      <w:r>
        <w:rPr>
          <w:szCs w:val="24"/>
        </w:rPr>
        <w:t>30%</w:t>
      </w:r>
      <w:r>
        <w:rPr>
          <w:rFonts w:hint="eastAsia"/>
          <w:szCs w:val="24"/>
        </w:rPr>
        <w:t>。公交站场历史“欠账”较多，制约了南沙公共交通的发展。随着城市发展扩容提速，城市用地将更为紧张，独立占地的公交站场建设模式难以适应城市发展要求，亟需探索一套符合南沙实际、可持续发展的公交站场规划建设模式。</w:t>
      </w:r>
    </w:p>
    <w:p>
      <w:pPr>
        <w:ind w:left="851"/>
        <w:rPr>
          <w:szCs w:val="24"/>
        </w:rPr>
      </w:pPr>
      <w:r>
        <w:rPr>
          <w:szCs w:val="24"/>
        </w:rPr>
        <w:t>2005</w:t>
      </w:r>
      <w:r>
        <w:rPr>
          <w:rFonts w:hint="eastAsia"/>
          <w:szCs w:val="24"/>
        </w:rPr>
        <w:t>年，建设部等六个部委联合发布《关于优先发展城市公共交通的意见》，要求“公共交通站场是城市公共交通的基础性设施，要按照‘统一规划，统一管理，政府主导，市场运作’的方式，加大政府投资建设的力度，加强公共交通站场的建设”，“居住小区、开发区、大型公共活动场所等重大城建项目，应将公共交通站场建设作为项目的配套设施，同步设计、同步建设、同步竣工”，对配建公交站场制度及其市场化运营提出了初步设想。</w:t>
      </w:r>
    </w:p>
    <w:p>
      <w:pPr>
        <w:ind w:left="851"/>
        <w:rPr>
          <w:szCs w:val="24"/>
        </w:rPr>
      </w:pPr>
      <w:r>
        <w:rPr>
          <w:szCs w:val="24"/>
        </w:rPr>
        <w:t>2012</w:t>
      </w:r>
      <w:r>
        <w:rPr>
          <w:rFonts w:hint="eastAsia"/>
          <w:szCs w:val="24"/>
        </w:rPr>
        <w:t>年，为缓解全国范围城市内逐步蔓延的交通拥堵问题，国务院发布了《国务院关于城市优先发展公共交通的指导意见》，对公交基础设施建设提出了新的要求。首先，要求加强公共交通用地综合开发</w:t>
      </w:r>
      <w:r>
        <w:rPr>
          <w:szCs w:val="24"/>
        </w:rPr>
        <w:t>——</w:t>
      </w:r>
      <w:r>
        <w:rPr>
          <w:rFonts w:hint="eastAsia"/>
          <w:szCs w:val="24"/>
        </w:rPr>
        <w:t>“对新建公共交通设施用地的地上、地下空间，按照市场化原则实施土地综合开发；对现有公共交通设施用地，支持原土地使用者在符合规划且不改变用途的前提下进行立体开发；对现有公共交通设施用地，支持原土地使用者在符合规划且不改变用途的前提下进行立体开发；公共交通用地综合开发的收益用于公共交通基础设施建设和弥补运营亏损”。然后，要求拓宽融资渠道</w:t>
      </w:r>
      <w:r>
        <w:rPr>
          <w:szCs w:val="24"/>
        </w:rPr>
        <w:t>——</w:t>
      </w:r>
      <w:r>
        <w:rPr>
          <w:rFonts w:hint="eastAsia"/>
          <w:szCs w:val="24"/>
        </w:rPr>
        <w:t>“吸引和鼓励社会资金参与公共交通基础设施建设和运营，在市场准入标准和优惠扶持政策方面，对各类投资主体同等对待”。接着，要求健全技术标准体系</w:t>
      </w:r>
      <w:r>
        <w:rPr>
          <w:szCs w:val="24"/>
        </w:rPr>
        <w:t>——</w:t>
      </w:r>
      <w:r>
        <w:rPr>
          <w:rFonts w:hint="eastAsia"/>
          <w:szCs w:val="24"/>
        </w:rPr>
        <w:t>“修订和完善公共交通基础设施的建设标准”。最后，再度强调“落实城市城建项目交通影响评价制度，并作为项目实施的前置性条件，严格落实公共交通配建标准，实现同步设计、同步建设、同步验收；大力加强公共交通和绿色出行的宣传和引导”。在要求推行配建公交站场制度，实现土地综合开发的同时，也要求通过吸引社会资金、明确配建标准等手段，保证配建公交站场的施行。</w:t>
      </w:r>
    </w:p>
    <w:p>
      <w:pPr>
        <w:ind w:left="851"/>
        <w:rPr>
          <w:szCs w:val="24"/>
        </w:rPr>
      </w:pPr>
      <w:r>
        <w:rPr>
          <w:rFonts w:hint="eastAsia"/>
          <w:szCs w:val="24"/>
        </w:rPr>
        <w:t>近年来，受制于用地难以保证、专项资金缺乏、政策倾向不均衡等诸多因素影响，南沙区公交站场的建设进度缓慢，规划的公交站场也没有及时落到实处，严重制约了城市公共交通的发展。公交站场设施的有效供给是保障公共交通高水平服务的重要因素，目前，国内大部分城市都在积极探索和实践利用住宅、商业、办公等建筑配套建设公交站场的建设模式，在集约用地的基础上，对加快推进公交站场的建设也有着积极的作用。</w:t>
      </w:r>
    </w:p>
    <w:p>
      <w:pPr>
        <w:ind w:left="851"/>
        <w:rPr>
          <w:szCs w:val="24"/>
        </w:rPr>
      </w:pPr>
      <w:r>
        <w:rPr>
          <w:rFonts w:hint="eastAsia"/>
          <w:szCs w:val="24"/>
        </w:rPr>
        <w:t>针对南沙区公交站场的发展现状，迫切需要从规划、管理方面等探索适合南沙区城市特色的配建公交站场发展政策，并通过相关技术标准的制定引导和规范新政策的顺利实施。</w:t>
      </w:r>
    </w:p>
    <w:p>
      <w:pPr>
        <w:ind w:left="851"/>
        <w:rPr>
          <w:szCs w:val="24"/>
        </w:rPr>
      </w:pPr>
      <w:r>
        <w:rPr>
          <w:rFonts w:hint="eastAsia"/>
          <w:szCs w:val="24"/>
        </w:rPr>
        <w:t>在上述背景下，为了加快推进公交站场建设，提高公交站场供给水平，促进南沙区公交站场设施的可持续发展，特制订本指引，指导城市公交站场规划建设，促进城市土地集约利用，为各部门在决策公交站场配建规模、标准等方面提供依据，实现南沙区公交站场设施的可持续发展，有效提升公共交通服务水平。</w:t>
      </w:r>
    </w:p>
    <w:p>
      <w:pPr>
        <w:pStyle w:val="3"/>
      </w:pPr>
      <w:bookmarkStart w:id="126" w:name="_Toc454207083"/>
      <w:bookmarkStart w:id="127" w:name="_Toc454204995"/>
      <w:bookmarkStart w:id="128" w:name="_Toc470624713"/>
      <w:bookmarkStart w:id="129" w:name="_Toc470273286"/>
      <w:bookmarkStart w:id="130" w:name="_Toc454206048"/>
      <w:r>
        <w:rPr>
          <w:rFonts w:hint="eastAsia"/>
        </w:rPr>
        <w:t>编制目的</w:t>
      </w:r>
      <w:bookmarkEnd w:id="126"/>
      <w:bookmarkEnd w:id="127"/>
      <w:bookmarkEnd w:id="128"/>
      <w:bookmarkEnd w:id="129"/>
      <w:bookmarkEnd w:id="130"/>
    </w:p>
    <w:p>
      <w:pPr>
        <w:pStyle w:val="4"/>
      </w:pPr>
      <w:r>
        <w:rPr>
          <w:rFonts w:hint="eastAsia"/>
        </w:rPr>
        <w:t>本指引作为技术性指引，解决配建公交站场功能定位和布局设计等技术规范问题是首要目的。因此，本指引要从技术上明确配建公交站场配建条件、站场类型及相关控制指标与要求，提出不同站场配套功能及要素布局，提高站场设计和建设质量，提升公共交通运作效率和服务水平。</w:t>
      </w:r>
    </w:p>
    <w:p>
      <w:pPr>
        <w:pStyle w:val="4"/>
      </w:pPr>
      <w:r>
        <w:rPr>
          <w:rFonts w:hint="eastAsia"/>
        </w:rPr>
        <w:t>鉴于目前南沙新区公交场站规划和实施管理机制不明确，导致各部门对公交场站建设不重视，很大程度上限制了公交场站的建设。因此，本指引还需要从制度上梳理各相关部门职能，规范城建项目配建公交站场在规划、土地出让、报建以及移交、运维等环节的流程，明确部门职责，保障南沙区配建公交站场制度的落实。</w:t>
      </w:r>
    </w:p>
    <w:p>
      <w:pPr>
        <w:pStyle w:val="3"/>
      </w:pPr>
      <w:bookmarkStart w:id="131" w:name="_Toc454206049"/>
      <w:bookmarkStart w:id="132" w:name="_Toc470624714"/>
      <w:bookmarkStart w:id="133" w:name="_Toc454204996"/>
      <w:bookmarkStart w:id="134" w:name="_Toc470273287"/>
      <w:bookmarkStart w:id="135" w:name="_Toc454207084"/>
      <w:r>
        <w:rPr>
          <w:rFonts w:hint="eastAsia"/>
        </w:rPr>
        <w:t>编制依据</w:t>
      </w:r>
      <w:bookmarkEnd w:id="131"/>
      <w:bookmarkEnd w:id="132"/>
      <w:bookmarkEnd w:id="133"/>
      <w:bookmarkEnd w:id="134"/>
      <w:bookmarkEnd w:id="135"/>
    </w:p>
    <w:p>
      <w:pPr>
        <w:pStyle w:val="4"/>
      </w:pPr>
      <w:r>
        <w:rPr>
          <w:rFonts w:hint="eastAsia"/>
        </w:rPr>
        <w:t>本指引的编制，首先参照国家及行业相关规范及广州市相关标准的有关内容；其次，在借鉴香港、深圳、佛山和上海等其他城市经验基础上，针对南沙区的城市发展目标与实际情况，编制适合南沙区的配建公交站场技术指引。</w:t>
      </w:r>
    </w:p>
    <w:p>
      <w:pPr>
        <w:pStyle w:val="2"/>
      </w:pPr>
      <w:bookmarkStart w:id="136" w:name="_Toc470273288"/>
      <w:bookmarkStart w:id="137" w:name="_Toc470624715"/>
      <w:bookmarkStart w:id="138" w:name="_Toc454207085"/>
      <w:bookmarkStart w:id="139" w:name="_Toc454204997"/>
      <w:bookmarkStart w:id="140" w:name="_Toc454206050"/>
      <w:r>
        <w:rPr>
          <w:rFonts w:hint="eastAsia"/>
        </w:rPr>
        <w:t>站场功能定位</w:t>
      </w:r>
      <w:bookmarkEnd w:id="136"/>
      <w:bookmarkEnd w:id="137"/>
      <w:bookmarkEnd w:id="138"/>
      <w:bookmarkEnd w:id="139"/>
      <w:bookmarkEnd w:id="140"/>
    </w:p>
    <w:p>
      <w:pPr>
        <w:pStyle w:val="3"/>
      </w:pPr>
      <w:bookmarkStart w:id="141" w:name="_Toc470624716"/>
      <w:r>
        <w:rPr>
          <w:rFonts w:hint="eastAsia"/>
        </w:rPr>
        <w:t>公交站场体系</w:t>
      </w:r>
      <w:bookmarkEnd w:id="141"/>
    </w:p>
    <w:p>
      <w:pPr>
        <w:pStyle w:val="4"/>
      </w:pPr>
      <w:r>
        <w:rPr>
          <w:rFonts w:hint="eastAsia"/>
        </w:rPr>
        <w:t>来南沙区将形成以公交枢纽站、首末站为支点，以综合车场为保障的公交站场体系，其中，公交枢纽站为公交客流转换节点，公交首末站未公交线路的始末站，综合车场未公交车停车、维修和保养综合服务基地。新体系主要体现两个方面的调整：一方面，简化了公交站场类型划分，将功能更为简化的配建公交站场作为运营服务支点之一，将与线路运营关系不是非常密切的功能（维修、大规模夜间停车等）剥离至支持保障型站场集中解决；另一方面，拓宽了公交站场的选址选项，公交站场不一定需独立占地，可以附设于建筑（地块）。</w:t>
      </w:r>
    </w:p>
    <w:p>
      <w:pPr>
        <w:pStyle w:val="3"/>
      </w:pPr>
      <w:bookmarkStart w:id="142" w:name="_Toc470624717"/>
      <w:r>
        <w:rPr>
          <w:rFonts w:hint="eastAsia"/>
        </w:rPr>
        <w:t>公交站场建设模式</w:t>
      </w:r>
      <w:bookmarkEnd w:id="142"/>
    </w:p>
    <w:p>
      <w:pPr>
        <w:pStyle w:val="4"/>
      </w:pPr>
      <w:r>
        <w:rPr>
          <w:rFonts w:hint="eastAsia"/>
        </w:rPr>
        <w:t>根据《建设部等部门关于优先发展城市公共交通意见的通知》，公交站场纳入城市旧城改造和新城建设计划，作为新建居住小区、开发区、大型公共活动场所等工程项目配套建设的一项内容，实行同步设计、同步建设、同步竣工、同步交付使用。目前，城市建设已进入土地二次开发的转型时期，既有独立用地公交站场模式缺乏动力，用地难落实，将公交站场的建设与城市土地二次开发相结合存在重要的现实意义。参考国内其他城市经验，以及广州市中心区多年来的实践，配建公交站场的方式已成为发展趋势，因此，南沙新区未来也应形成以配建公交为主体，独立用地站场为辅的建设模式。其中，无独立用地条件的区域，新建公交枢纽站、首末站原则上采用配建模式；有独立用地条件的区域，新建公交枢纽站、首末站可以独立用地建设；但是，鉴于综合车场的特殊性，难以通过配建的方式解决，因此原则上要独立用地。</w:t>
      </w:r>
    </w:p>
    <w:p>
      <w:pPr>
        <w:pStyle w:val="4"/>
      </w:pPr>
      <w:r>
        <w:rPr>
          <w:rFonts w:hint="eastAsia"/>
        </w:rPr>
        <w:t>本指引对配建公交站场的内涵主要是参考国内其他城市的相关内容，将配建站场分为配建首末站和配建枢纽站两类。其中，配建首末站是一条或两条公交线路的起终点，主要服务于车辆到发；配建枢纽站是三条及三条以上公交线路的起终点，能为乘客提供集中的换乘服务，具备一定的管理调度功能。</w:t>
      </w:r>
    </w:p>
    <w:p>
      <w:pPr>
        <w:pStyle w:val="4"/>
      </w:pPr>
      <w:r>
        <w:rPr>
          <w:rFonts w:hint="eastAsia"/>
        </w:rPr>
        <w:t>本指引对独立用地站场的内涵主要是参考国内其他城市的相关内容，并结合《城市道路公共交通站、场、厂工程设计规范》（</w:t>
      </w:r>
      <w:r>
        <w:t>CJJ/T15-2011</w:t>
      </w:r>
      <w:r>
        <w:rPr>
          <w:rFonts w:hint="eastAsia"/>
        </w:rPr>
        <w:t>）中关于公交停车场、保养厂和维修厂的定义，统一将此类配套服务功能的站场统称为综合车场。未来的综合车场鼓励采用多层立体开发的建设形式，以集约利用土地。</w:t>
      </w:r>
    </w:p>
    <w:p>
      <w:pPr>
        <w:pStyle w:val="2"/>
        <w:pageBreakBefore/>
      </w:pPr>
      <w:bookmarkStart w:id="143" w:name="_Toc454207086"/>
      <w:bookmarkStart w:id="144" w:name="_Toc470624718"/>
      <w:bookmarkStart w:id="145" w:name="_Toc470273289"/>
      <w:bookmarkStart w:id="146" w:name="_Toc454206051"/>
      <w:bookmarkStart w:id="147" w:name="_Toc454204998"/>
      <w:r>
        <w:rPr>
          <w:rFonts w:hint="eastAsia"/>
        </w:rPr>
        <w:t>规划指引</w:t>
      </w:r>
      <w:bookmarkEnd w:id="143"/>
      <w:bookmarkEnd w:id="144"/>
      <w:bookmarkEnd w:id="145"/>
      <w:bookmarkEnd w:id="146"/>
      <w:bookmarkEnd w:id="147"/>
    </w:p>
    <w:p>
      <w:pPr>
        <w:pStyle w:val="3"/>
      </w:pPr>
      <w:bookmarkStart w:id="148" w:name="_Toc454204999"/>
      <w:bookmarkStart w:id="149" w:name="_Toc454206052"/>
      <w:bookmarkStart w:id="150" w:name="_Toc454207087"/>
      <w:bookmarkStart w:id="151" w:name="_Toc470273290"/>
      <w:bookmarkStart w:id="152" w:name="_Toc470624719"/>
      <w:r>
        <w:rPr>
          <w:rFonts w:hint="eastAsia"/>
        </w:rPr>
        <w:t>站场配建原则</w:t>
      </w:r>
      <w:bookmarkEnd w:id="148"/>
      <w:bookmarkEnd w:id="149"/>
      <w:bookmarkEnd w:id="150"/>
      <w:bookmarkEnd w:id="151"/>
      <w:bookmarkEnd w:id="152"/>
    </w:p>
    <w:p>
      <w:pPr>
        <w:pStyle w:val="4"/>
        <w:ind w:left="709" w:hanging="709"/>
      </w:pPr>
      <w:r>
        <w:rPr>
          <w:rFonts w:hint="eastAsia"/>
        </w:rPr>
        <w:t>需求导向原则是指配建公交场站要符合地区公交出行需求。为了使配建公交站场能更好地服务区域公交出行需求，公交站场的规划建设应与城市土地利用、道路网、公交线网、以及其他交通方式相协调，优先设置在人流集中、客流集散量较大的地方，主要考虑在居住、商务办公、商业服务、教育科研、医疗卫生、文体娱乐以及批发零售建筑的配建需求，便于乘客快速安全集散和换乘。</w:t>
      </w:r>
    </w:p>
    <w:p>
      <w:pPr>
        <w:pStyle w:val="4"/>
        <w:ind w:left="709" w:hanging="709"/>
      </w:pPr>
      <w:r>
        <w:rPr>
          <w:rFonts w:hint="eastAsia"/>
        </w:rPr>
        <w:t>便利性原则是指配建公交站场应方便乘客和公交车辆方便到达和离开。为方便乘客，配建公交站场建议设置在建筑的地面一层。考虑公交车辆的运行性能需求，公交站场不宜设置在地下。因为如设置在地下，公交车辆的爬坡一般会带来噪声和尾气等负面影响，而且上下坡道的设置会增加站场的用地需求，不利于站场与建筑（尤其是居住类建筑）的有效融合。若用地条件困难而站场需求较大，可考虑设置在地下层，但站场的设计（包括出人口、坡道、通风照明、防火等）须满足相关设计规范。当在建筑一层配套建设站场，服务上盖建筑及周边的客流需求时，可通过设置有盖天桥、楼梯、扶梯等良好的步行设施将乘客与配建公交站场快速连接，保障公交设施的便利性。</w:t>
      </w:r>
    </w:p>
    <w:p>
      <w:pPr>
        <w:pStyle w:val="4"/>
        <w:ind w:left="709" w:hanging="709"/>
      </w:pPr>
      <w:r>
        <w:rPr>
          <w:rFonts w:hint="eastAsia"/>
        </w:rPr>
        <w:t>安全性原则主要是指配建公交站场不能影响到主体建筑生产生活的安全。原则上要与主体建筑进行分离。</w:t>
      </w:r>
    </w:p>
    <w:p>
      <w:pPr>
        <w:pStyle w:val="4"/>
        <w:ind w:left="709" w:hanging="709"/>
      </w:pPr>
      <w:r>
        <w:rPr>
          <w:rFonts w:hint="eastAsia"/>
        </w:rPr>
        <w:t>协调性原则主要是指配建公交站场应与主体建筑整体设计相协调，包括设计风格、设施外部颜色等等，要尽量降低对主体建筑的负面影响。</w:t>
      </w:r>
      <w:r>
        <w:t xml:space="preserve"> </w:t>
      </w:r>
    </w:p>
    <w:p>
      <w:pPr>
        <w:ind w:left="851"/>
      </w:pPr>
    </w:p>
    <w:p>
      <w:pPr>
        <w:ind w:left="851"/>
      </w:pPr>
    </w:p>
    <w:p>
      <w:pPr>
        <w:ind w:left="851"/>
      </w:pPr>
    </w:p>
    <w:p>
      <w:pPr>
        <w:pStyle w:val="3"/>
      </w:pPr>
      <w:bookmarkStart w:id="153" w:name="_Toc454206053"/>
      <w:bookmarkStart w:id="154" w:name="_Toc454207088"/>
      <w:bookmarkStart w:id="155" w:name="_Toc454205000"/>
      <w:bookmarkStart w:id="156" w:name="_Toc470624720"/>
      <w:bookmarkStart w:id="157" w:name="_Toc470273291"/>
      <w:r>
        <w:rPr>
          <w:rFonts w:hint="eastAsia"/>
        </w:rPr>
        <w:t>站场配建标准</w:t>
      </w:r>
      <w:bookmarkEnd w:id="153"/>
      <w:bookmarkEnd w:id="154"/>
      <w:bookmarkEnd w:id="155"/>
      <w:bookmarkEnd w:id="156"/>
      <w:bookmarkEnd w:id="157"/>
    </w:p>
    <w:p>
      <w:pPr>
        <w:pStyle w:val="4"/>
        <w:numPr>
          <w:ilvl w:val="0"/>
          <w:numId w:val="0"/>
        </w:numPr>
        <w:ind w:left="851" w:hanging="851"/>
      </w:pPr>
      <w:r>
        <w:fldChar w:fldCharType="begin"/>
      </w:r>
      <w:r>
        <w:instrText xml:space="preserve"> REF _Ref454109407 \r \h  \* MERGEFORMAT </w:instrText>
      </w:r>
      <w:r>
        <w:fldChar w:fldCharType="separate"/>
      </w:r>
      <w:r>
        <w:t>3.2.1</w:t>
      </w:r>
      <w:r>
        <w:fldChar w:fldCharType="end"/>
      </w:r>
      <w:r>
        <w:t xml:space="preserve">   </w:t>
      </w:r>
      <w:r>
        <w:rPr>
          <w:rFonts w:hint="eastAsia"/>
        </w:rPr>
        <w:t>对于如何配建公交站场，本指引从城建项目的建筑面积、用地面积两方面进行控制：建筑规模阈值是为了体现不同区域、不同建筑类型的公交客流需求差异特点；用地规模控制标准是考虑城建项目的站场配建条件。因此，分别给出配建公交站场的建筑规模阈值和可配建公交站场的用地规模控制标准。</w:t>
      </w:r>
    </w:p>
    <w:p>
      <w:pPr>
        <w:pStyle w:val="4"/>
        <w:numPr>
          <w:ilvl w:val="0"/>
          <w:numId w:val="0"/>
        </w:numPr>
        <w:ind w:left="851" w:hanging="851"/>
      </w:pPr>
      <w:r>
        <w:fldChar w:fldCharType="begin"/>
      </w:r>
      <w:r>
        <w:instrText xml:space="preserve"> REF _Ref454112010 \r \h  \* MERGEFORMAT </w:instrText>
      </w:r>
      <w:r>
        <w:fldChar w:fldCharType="separate"/>
      </w:r>
      <w:r>
        <w:t>3.2.2</w:t>
      </w:r>
      <w:r>
        <w:fldChar w:fldCharType="end"/>
      </w:r>
      <w:r>
        <w:t xml:space="preserve">  </w:t>
      </w:r>
      <w:r>
        <w:rPr>
          <w:rFonts w:hint="eastAsia"/>
        </w:rPr>
        <w:t>新建项目（含城市更新项目）配建公交站场除服务自身需求外，应适当考虑周边</w:t>
      </w:r>
      <w:r>
        <w:t>500</w:t>
      </w:r>
      <w:r>
        <w:rPr>
          <w:rFonts w:hint="eastAsia"/>
        </w:rPr>
        <w:t>米范围内的公交出行需求。</w:t>
      </w:r>
    </w:p>
    <w:p>
      <w:pPr>
        <w:ind w:left="851"/>
      </w:pPr>
      <w:r>
        <w:rPr>
          <w:rFonts w:hint="eastAsia"/>
        </w:rPr>
        <w:t>根据《广州市社区公共服务设施设置规范（修订）》，公交站点服务半径为</w:t>
      </w:r>
      <w:r>
        <w:t>500</w:t>
      </w:r>
      <w:r>
        <w:rPr>
          <w:rFonts w:hint="eastAsia"/>
        </w:rPr>
        <w:t>米。因此，应考虑新建项目</w:t>
      </w:r>
      <w:r>
        <w:t>500</w:t>
      </w:r>
      <w:r>
        <w:rPr>
          <w:rFonts w:hint="eastAsia"/>
        </w:rPr>
        <w:t>米范围内的公交需求缺口。根据表</w:t>
      </w:r>
      <w:r>
        <w:fldChar w:fldCharType="begin"/>
      </w:r>
      <w:r>
        <w:instrText xml:space="preserve"> REF _Ref453875730 \r \h  \* MERGEFORMAT </w:instrText>
      </w:r>
      <w:r>
        <w:fldChar w:fldCharType="separate"/>
      </w:r>
      <w:r>
        <w:t>3.2.3.1</w:t>
      </w:r>
      <w:r>
        <w:fldChar w:fldCharType="end"/>
      </w:r>
      <w:r>
        <w:rPr>
          <w:rFonts w:hint="eastAsia"/>
        </w:rPr>
        <w:t>的建筑阈值确定周边需求，并在充分考虑项目用地条件的前提下，适当增加站场供应以满足周边需求，统筹落实站场用地。</w:t>
      </w:r>
    </w:p>
    <w:p>
      <w:pPr>
        <w:pStyle w:val="4"/>
        <w:numPr>
          <w:ilvl w:val="0"/>
          <w:numId w:val="0"/>
        </w:numPr>
        <w:ind w:left="851" w:hanging="851"/>
      </w:pPr>
      <w:r>
        <w:fldChar w:fldCharType="begin"/>
      </w:r>
      <w:r>
        <w:instrText xml:space="preserve"> REF _Ref454114082 \r \h  \* MERGEFORMAT </w:instrText>
      </w:r>
      <w:r>
        <w:fldChar w:fldCharType="separate"/>
      </w:r>
      <w:r>
        <w:t>3.2.3</w:t>
      </w:r>
      <w:r>
        <w:fldChar w:fldCharType="end"/>
      </w:r>
      <w:r>
        <w:t xml:space="preserve">   </w:t>
      </w:r>
      <w:r>
        <w:rPr>
          <w:rFonts w:hint="eastAsia"/>
        </w:rPr>
        <w:t>对于建筑需配建公交站场的建筑规模阈值计算方法，首先根据《广州市社区公共服务设施设置规范（修订）》中配建公交首末站服务人口规模和《广州市社区公共服务设施设置规范（修订）》中的人均住宅建筑面积，计算居住类建筑需配建公交站场的配建启动阈值，然后参考《建设项目交通影响评价技术标准（</w:t>
      </w:r>
      <w:r>
        <w:t>CJJ/T141—2010</w:t>
      </w:r>
      <w:r>
        <w:rPr>
          <w:rFonts w:hint="eastAsia"/>
        </w:rPr>
        <w:t>）》各类型建筑项目的出行率，以计算对应的配建启动阈值。</w:t>
      </w:r>
    </w:p>
    <w:p>
      <w:pPr>
        <w:ind w:left="850" w:leftChars="354" w:firstLine="1"/>
      </w:pPr>
      <w:r>
        <w:rPr>
          <w:rFonts w:hint="eastAsia"/>
        </w:rPr>
        <w:t>配建启动阈值（居住）</w:t>
      </w:r>
      <w:r>
        <w:t>=</w:t>
      </w:r>
      <w:r>
        <w:rPr>
          <w:rFonts w:hint="eastAsia"/>
        </w:rPr>
        <w:t>配建公交首末站服务人口规模×人均住宅建筑面积×计算最小公交站场面积</w:t>
      </w:r>
      <w:r>
        <w:t>/</w:t>
      </w:r>
      <w:r>
        <w:rPr>
          <w:rFonts w:hint="eastAsia"/>
        </w:rPr>
        <w:t>建议最小公交站场面积</w:t>
      </w:r>
    </w:p>
    <w:p>
      <w:pPr>
        <w:ind w:left="850" w:leftChars="354" w:firstLine="1"/>
      </w:pPr>
      <w:r>
        <w:rPr>
          <w:rFonts w:hint="eastAsia"/>
        </w:rPr>
        <w:t>配建启动阈值（其他）</w:t>
      </w:r>
      <w:r>
        <w:t>=</w:t>
      </w:r>
      <w:r>
        <w:rPr>
          <w:rFonts w:hint="eastAsia"/>
        </w:rPr>
        <w:t>配建启动阈值（居住）×其他用地出行率</w:t>
      </w:r>
      <w:r>
        <w:t>/</w:t>
      </w:r>
      <w:r>
        <w:rPr>
          <w:rFonts w:hint="eastAsia"/>
        </w:rPr>
        <w:t>居住用地出行率</w:t>
      </w:r>
    </w:p>
    <w:p>
      <w:pPr>
        <w:ind w:firstLine="840" w:firstLineChars="350"/>
      </w:pPr>
      <w:r>
        <w:rPr>
          <w:rFonts w:hint="eastAsia"/>
        </w:rPr>
        <w:t>针对一类区域和二类区域，分别取规范中服务人口规模的下限和上限。</w:t>
      </w:r>
    </w:p>
    <w:p>
      <w:pPr>
        <w:ind w:left="850" w:leftChars="354" w:firstLine="1"/>
      </w:pPr>
      <w:r>
        <w:rPr>
          <w:rFonts w:hint="eastAsia"/>
        </w:rPr>
        <w:t>按照《广州市社区公共服务设施设置规范（修订）》，一类区建议最小公交站场面积为</w:t>
      </w:r>
      <w:r>
        <w:t>1200</w:t>
      </w:r>
      <w:r>
        <w:rPr>
          <w:rFonts w:hint="eastAsia"/>
        </w:rPr>
        <w:t>平方米，计算最小面积为</w:t>
      </w:r>
      <w:r>
        <w:t>800</w:t>
      </w:r>
      <w:r>
        <w:rPr>
          <w:rFonts w:hint="eastAsia"/>
        </w:rPr>
        <w:t>平方米（参见</w:t>
      </w:r>
      <w:r>
        <w:t>3.3</w:t>
      </w:r>
      <w:r>
        <w:rPr>
          <w:rFonts w:hint="eastAsia"/>
        </w:rPr>
        <w:t>节）；二类区建议最小公交站场面积为</w:t>
      </w:r>
      <w:r>
        <w:t>1500</w:t>
      </w:r>
      <w:r>
        <w:rPr>
          <w:rFonts w:hint="eastAsia"/>
        </w:rPr>
        <w:t>平方米，计算最小面积为</w:t>
      </w:r>
      <w:r>
        <w:t>1200</w:t>
      </w:r>
      <w:r>
        <w:rPr>
          <w:rFonts w:hint="eastAsia"/>
        </w:rPr>
        <w:t>平方米（参见</w:t>
      </w:r>
      <w:r>
        <w:t>3.3</w:t>
      </w:r>
      <w:r>
        <w:rPr>
          <w:rFonts w:hint="eastAsia"/>
        </w:rPr>
        <w:t>节）。</w:t>
      </w:r>
    </w:p>
    <w:p>
      <w:pPr>
        <w:ind w:firstLine="840" w:firstLineChars="350"/>
      </w:pPr>
    </w:p>
    <w:p>
      <w:pPr>
        <w:ind w:firstLine="840" w:firstLineChars="350"/>
        <w:jc w:val="center"/>
      </w:pPr>
      <w:r>
        <w:rPr>
          <w:rFonts w:hint="eastAsia"/>
          <w:szCs w:val="21"/>
        </w:rPr>
        <w:t>表</w:t>
      </w:r>
      <w:r>
        <w:fldChar w:fldCharType="begin"/>
      </w:r>
      <w:r>
        <w:instrText xml:space="preserve"> REF _Ref453875730 \r \h  \* MERGEFORMAT </w:instrText>
      </w:r>
      <w:r>
        <w:fldChar w:fldCharType="separate"/>
      </w:r>
      <w:r>
        <w:rPr>
          <w:szCs w:val="21"/>
        </w:rPr>
        <w:t>3.2.3.1</w:t>
      </w:r>
      <w:r>
        <w:rPr>
          <w:szCs w:val="21"/>
        </w:rPr>
        <w:fldChar w:fldCharType="end"/>
      </w:r>
      <w:r>
        <w:rPr>
          <w:b/>
        </w:rPr>
        <w:t xml:space="preserve"> </w:t>
      </w:r>
      <w:r>
        <w:rPr>
          <w:rFonts w:hint="eastAsia"/>
        </w:rPr>
        <w:t>广州市社区公交首末站设置规范</w:t>
      </w:r>
    </w:p>
    <w:tbl>
      <w:tblPr>
        <w:tblStyle w:val="21"/>
        <w:tblW w:w="51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927"/>
        <w:gridCol w:w="1002"/>
        <w:gridCol w:w="1002"/>
        <w:gridCol w:w="1008"/>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3" w:type="pct"/>
            <w:gridSpan w:val="2"/>
            <w:vMerge w:val="restart"/>
            <w:tcBorders>
              <w:top w:val="single" w:color="auto" w:sz="2" w:space="0"/>
              <w:left w:val="single" w:color="auto" w:sz="2" w:space="0"/>
              <w:bottom w:val="single" w:color="auto" w:sz="2" w:space="0"/>
              <w:right w:val="single" w:color="auto" w:sz="2" w:space="0"/>
            </w:tcBorders>
            <w:vAlign w:val="center"/>
          </w:tcPr>
          <w:p>
            <w:pPr>
              <w:pStyle w:val="40"/>
              <w:ind w:left="31680" w:firstLine="0" w:firstLineChars="0"/>
              <w:rPr>
                <w:rFonts w:ascii="宋体" w:hAnsi="宋体" w:eastAsia="宋体"/>
                <w:b/>
                <w:sz w:val="21"/>
                <w:szCs w:val="21"/>
              </w:rPr>
            </w:pPr>
            <w:r>
              <w:rPr>
                <w:rFonts w:hint="eastAsia" w:ascii="宋体" w:hAnsi="宋体" w:eastAsia="宋体"/>
                <w:b/>
                <w:sz w:val="21"/>
                <w:szCs w:val="21"/>
              </w:rPr>
              <w:t>项目名称</w:t>
            </w:r>
          </w:p>
        </w:tc>
        <w:tc>
          <w:tcPr>
            <w:tcW w:w="1146" w:type="pct"/>
            <w:gridSpan w:val="2"/>
            <w:tcBorders>
              <w:top w:val="single" w:color="auto" w:sz="2" w:space="0"/>
              <w:left w:val="single" w:color="auto" w:sz="2" w:space="0"/>
              <w:bottom w:val="single" w:color="auto" w:sz="2" w:space="0"/>
              <w:right w:val="single" w:color="auto" w:sz="2" w:space="0"/>
            </w:tcBorders>
            <w:vAlign w:val="center"/>
          </w:tcPr>
          <w:p>
            <w:pPr>
              <w:pStyle w:val="40"/>
              <w:ind w:left="31680" w:firstLine="0" w:firstLineChars="0"/>
              <w:rPr>
                <w:rFonts w:ascii="宋体" w:hAnsi="宋体" w:eastAsia="宋体"/>
                <w:b/>
                <w:sz w:val="21"/>
                <w:szCs w:val="21"/>
              </w:rPr>
            </w:pPr>
            <w:r>
              <w:rPr>
                <w:rFonts w:hint="eastAsia" w:ascii="宋体" w:hAnsi="宋体" w:eastAsia="宋体"/>
                <w:b/>
                <w:sz w:val="21"/>
                <w:szCs w:val="21"/>
              </w:rPr>
              <w:t>一般规模（㎡</w:t>
            </w:r>
            <w:r>
              <w:rPr>
                <w:rFonts w:ascii="宋体" w:hAnsi="宋体" w:eastAsia="宋体"/>
                <w:b/>
                <w:sz w:val="21"/>
                <w:szCs w:val="21"/>
              </w:rPr>
              <w:t>/</w:t>
            </w:r>
            <w:r>
              <w:rPr>
                <w:rFonts w:hint="eastAsia" w:ascii="宋体" w:hAnsi="宋体" w:eastAsia="宋体"/>
                <w:b/>
                <w:sz w:val="21"/>
                <w:szCs w:val="21"/>
              </w:rPr>
              <w:t>处）</w:t>
            </w:r>
          </w:p>
        </w:tc>
        <w:tc>
          <w:tcPr>
            <w:tcW w:w="576" w:type="pct"/>
            <w:vMerge w:val="restart"/>
            <w:tcBorders>
              <w:top w:val="single" w:color="auto" w:sz="2" w:space="0"/>
              <w:left w:val="single" w:color="auto" w:sz="2" w:space="0"/>
              <w:bottom w:val="single" w:color="auto" w:sz="2" w:space="0"/>
              <w:right w:val="single" w:color="auto" w:sz="2" w:space="0"/>
            </w:tcBorders>
            <w:vAlign w:val="center"/>
          </w:tcPr>
          <w:p>
            <w:pPr>
              <w:pStyle w:val="40"/>
              <w:ind w:left="31680" w:firstLine="0" w:firstLineChars="0"/>
              <w:rPr>
                <w:rFonts w:ascii="宋体" w:hAnsi="宋体" w:eastAsia="宋体"/>
                <w:b/>
                <w:sz w:val="21"/>
                <w:szCs w:val="21"/>
              </w:rPr>
            </w:pPr>
            <w:r>
              <w:rPr>
                <w:rFonts w:hint="eastAsia" w:ascii="宋体" w:hAnsi="宋体" w:eastAsia="宋体"/>
                <w:b/>
                <w:sz w:val="21"/>
                <w:szCs w:val="21"/>
              </w:rPr>
              <w:t>服务规模</w:t>
            </w:r>
          </w:p>
          <w:p>
            <w:pPr>
              <w:pStyle w:val="40"/>
              <w:ind w:left="31680" w:firstLine="0" w:firstLineChars="0"/>
              <w:rPr>
                <w:rFonts w:ascii="宋体" w:hAnsi="宋体" w:eastAsia="宋体"/>
                <w:b/>
                <w:sz w:val="21"/>
                <w:szCs w:val="21"/>
              </w:rPr>
            </w:pPr>
            <w:r>
              <w:rPr>
                <w:rFonts w:hint="eastAsia" w:ascii="宋体" w:hAnsi="宋体" w:eastAsia="宋体"/>
                <w:b/>
                <w:sz w:val="21"/>
                <w:szCs w:val="21"/>
              </w:rPr>
              <w:t>（万人）</w:t>
            </w:r>
          </w:p>
        </w:tc>
        <w:tc>
          <w:tcPr>
            <w:tcW w:w="2425" w:type="pct"/>
            <w:vMerge w:val="restart"/>
            <w:tcBorders>
              <w:top w:val="single" w:color="auto" w:sz="2" w:space="0"/>
              <w:left w:val="single" w:color="auto" w:sz="2" w:space="0"/>
              <w:right w:val="single" w:color="auto" w:sz="2" w:space="0"/>
            </w:tcBorders>
            <w:vAlign w:val="center"/>
          </w:tcPr>
          <w:p>
            <w:pPr>
              <w:pStyle w:val="40"/>
              <w:ind w:left="31680" w:firstLine="0" w:firstLineChars="0"/>
              <w:rPr>
                <w:rFonts w:ascii="宋体" w:hAnsi="宋体" w:eastAsia="宋体"/>
                <w:b/>
                <w:sz w:val="21"/>
                <w:szCs w:val="21"/>
              </w:rPr>
            </w:pPr>
            <w:r>
              <w:rPr>
                <w:rFonts w:hint="eastAsia" w:ascii="宋体" w:hAnsi="宋体" w:eastAsia="宋体"/>
                <w:b/>
                <w:sz w:val="21"/>
                <w:szCs w:val="21"/>
              </w:rPr>
              <w:t>设置要求及服务内容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853" w:type="pct"/>
            <w:gridSpan w:val="2"/>
            <w:vMerge w:val="continue"/>
            <w:tcBorders>
              <w:top w:val="single" w:color="auto" w:sz="2" w:space="0"/>
              <w:left w:val="single" w:color="auto" w:sz="2" w:space="0"/>
              <w:bottom w:val="single" w:color="auto" w:sz="2" w:space="0"/>
              <w:right w:val="single" w:color="auto" w:sz="2" w:space="0"/>
            </w:tcBorders>
            <w:vAlign w:val="center"/>
          </w:tcPr>
          <w:p>
            <w:pPr>
              <w:pStyle w:val="40"/>
              <w:ind w:left="31680" w:firstLine="0" w:firstLineChars="0"/>
              <w:rPr>
                <w:rFonts w:ascii="宋体" w:hAnsi="宋体" w:eastAsia="宋体"/>
                <w:b/>
                <w:sz w:val="21"/>
                <w:szCs w:val="21"/>
              </w:rPr>
            </w:pPr>
          </w:p>
        </w:tc>
        <w:tc>
          <w:tcPr>
            <w:tcW w:w="573" w:type="pct"/>
            <w:tcBorders>
              <w:top w:val="single" w:color="auto" w:sz="2" w:space="0"/>
              <w:left w:val="single" w:color="auto" w:sz="2" w:space="0"/>
              <w:bottom w:val="single" w:color="auto" w:sz="2" w:space="0"/>
              <w:right w:val="single" w:color="auto" w:sz="2" w:space="0"/>
            </w:tcBorders>
            <w:vAlign w:val="center"/>
          </w:tcPr>
          <w:p>
            <w:pPr>
              <w:pStyle w:val="40"/>
              <w:ind w:left="31680" w:firstLine="0" w:firstLineChars="0"/>
              <w:rPr>
                <w:rFonts w:ascii="宋体" w:hAnsi="宋体" w:eastAsia="宋体"/>
                <w:b/>
                <w:sz w:val="21"/>
                <w:szCs w:val="21"/>
              </w:rPr>
            </w:pPr>
            <w:r>
              <w:rPr>
                <w:rFonts w:hint="eastAsia" w:ascii="宋体" w:hAnsi="宋体" w:eastAsia="宋体"/>
                <w:b/>
                <w:sz w:val="21"/>
                <w:szCs w:val="21"/>
              </w:rPr>
              <w:t>建筑面积</w:t>
            </w:r>
          </w:p>
        </w:tc>
        <w:tc>
          <w:tcPr>
            <w:tcW w:w="573" w:type="pct"/>
            <w:tcBorders>
              <w:top w:val="single" w:color="auto" w:sz="2" w:space="0"/>
              <w:left w:val="single" w:color="auto" w:sz="2" w:space="0"/>
              <w:bottom w:val="single" w:color="auto" w:sz="2" w:space="0"/>
              <w:right w:val="single" w:color="auto" w:sz="2" w:space="0"/>
            </w:tcBorders>
            <w:vAlign w:val="center"/>
          </w:tcPr>
          <w:p>
            <w:pPr>
              <w:pStyle w:val="40"/>
              <w:ind w:left="31680" w:firstLine="0" w:firstLineChars="0"/>
              <w:rPr>
                <w:rFonts w:ascii="宋体" w:hAnsi="宋体" w:eastAsia="宋体"/>
                <w:b/>
                <w:sz w:val="21"/>
                <w:szCs w:val="21"/>
              </w:rPr>
            </w:pPr>
            <w:r>
              <w:rPr>
                <w:rFonts w:hint="eastAsia" w:ascii="宋体" w:hAnsi="宋体" w:eastAsia="宋体"/>
                <w:b/>
                <w:sz w:val="21"/>
                <w:szCs w:val="21"/>
              </w:rPr>
              <w:t>用地面积</w:t>
            </w:r>
          </w:p>
        </w:tc>
        <w:tc>
          <w:tcPr>
            <w:tcW w:w="576" w:type="pct"/>
            <w:vMerge w:val="continue"/>
            <w:tcBorders>
              <w:top w:val="single" w:color="auto" w:sz="2" w:space="0"/>
              <w:left w:val="single" w:color="auto" w:sz="2" w:space="0"/>
              <w:bottom w:val="single" w:color="auto" w:sz="2" w:space="0"/>
              <w:right w:val="single" w:color="auto" w:sz="2" w:space="0"/>
            </w:tcBorders>
            <w:vAlign w:val="center"/>
          </w:tcPr>
          <w:p>
            <w:pPr>
              <w:pStyle w:val="40"/>
              <w:ind w:left="31680" w:firstLine="0" w:firstLineChars="0"/>
              <w:rPr>
                <w:rFonts w:ascii="宋体" w:hAnsi="宋体" w:eastAsia="宋体"/>
                <w:sz w:val="21"/>
                <w:szCs w:val="21"/>
              </w:rPr>
            </w:pPr>
          </w:p>
        </w:tc>
        <w:tc>
          <w:tcPr>
            <w:tcW w:w="2425" w:type="pct"/>
            <w:vMerge w:val="continue"/>
            <w:tcBorders>
              <w:left w:val="single" w:color="auto" w:sz="2" w:space="0"/>
              <w:bottom w:val="nil"/>
              <w:right w:val="single" w:color="auto" w:sz="2" w:space="0"/>
            </w:tcBorders>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324" w:type="pct"/>
            <w:vMerge w:val="restart"/>
            <w:vAlign w:val="center"/>
          </w:tcPr>
          <w:p>
            <w:pPr>
              <w:pStyle w:val="40"/>
              <w:ind w:left="31680" w:firstLine="0" w:firstLineChars="0"/>
              <w:rPr>
                <w:rFonts w:ascii="宋体" w:hAnsi="宋体" w:eastAsia="宋体"/>
                <w:sz w:val="21"/>
                <w:szCs w:val="21"/>
              </w:rPr>
            </w:pPr>
            <w:r>
              <w:rPr>
                <w:rFonts w:hint="eastAsia" w:ascii="宋体" w:hAnsi="宋体" w:eastAsia="宋体"/>
                <w:sz w:val="21"/>
                <w:szCs w:val="21"/>
              </w:rPr>
              <w:t>居委级配建公交首末站</w:t>
            </w:r>
          </w:p>
        </w:tc>
        <w:tc>
          <w:tcPr>
            <w:tcW w:w="530" w:type="pct"/>
            <w:vMerge w:val="restart"/>
            <w:vAlign w:val="center"/>
          </w:tcPr>
          <w:p>
            <w:pPr>
              <w:pStyle w:val="40"/>
              <w:ind w:left="31680" w:firstLine="0" w:firstLineChars="0"/>
              <w:rPr>
                <w:rFonts w:ascii="宋体" w:hAnsi="宋体" w:eastAsia="宋体"/>
                <w:sz w:val="21"/>
                <w:szCs w:val="21"/>
              </w:rPr>
            </w:pPr>
            <w:r>
              <w:rPr>
                <w:rFonts w:hint="eastAsia" w:ascii="宋体" w:hAnsi="宋体" w:eastAsia="宋体"/>
                <w:sz w:val="21"/>
                <w:szCs w:val="21"/>
              </w:rPr>
              <w:t>半径</w:t>
            </w:r>
            <w:r>
              <w:rPr>
                <w:rFonts w:ascii="宋体" w:hAnsi="宋体" w:eastAsia="宋体"/>
                <w:sz w:val="21"/>
                <w:szCs w:val="21"/>
              </w:rPr>
              <w:t>500</w:t>
            </w:r>
            <w:r>
              <w:rPr>
                <w:rFonts w:hint="eastAsia" w:ascii="宋体" w:hAnsi="宋体" w:eastAsia="宋体"/>
                <w:sz w:val="21"/>
                <w:szCs w:val="21"/>
              </w:rPr>
              <w:t>米范围内无轨道交通站点</w:t>
            </w:r>
          </w:p>
        </w:tc>
        <w:tc>
          <w:tcPr>
            <w:tcW w:w="573"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120</w:t>
            </w:r>
          </w:p>
          <w:p>
            <w:pPr>
              <w:pStyle w:val="40"/>
              <w:ind w:left="31680" w:firstLine="0" w:firstLineChars="0"/>
              <w:rPr>
                <w:rFonts w:ascii="宋体" w:hAnsi="宋体" w:eastAsia="宋体"/>
                <w:sz w:val="21"/>
                <w:szCs w:val="21"/>
              </w:rPr>
            </w:pPr>
            <w:r>
              <w:rPr>
                <w:rFonts w:ascii="宋体" w:hAnsi="宋体" w:eastAsia="宋体"/>
                <w:sz w:val="21"/>
                <w:szCs w:val="21"/>
                <w:bdr w:val="single" w:color="auto" w:sz="4" w:space="0"/>
              </w:rPr>
              <w:t>150</w:t>
            </w:r>
          </w:p>
        </w:tc>
        <w:tc>
          <w:tcPr>
            <w:tcW w:w="573"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1200</w:t>
            </w:r>
          </w:p>
          <w:p>
            <w:pPr>
              <w:pStyle w:val="40"/>
              <w:ind w:left="31680" w:firstLine="0" w:firstLineChars="0"/>
              <w:rPr>
                <w:rFonts w:ascii="宋体" w:hAnsi="宋体" w:eastAsia="宋体"/>
                <w:sz w:val="21"/>
                <w:szCs w:val="21"/>
              </w:rPr>
            </w:pPr>
            <w:r>
              <w:rPr>
                <w:rFonts w:ascii="宋体" w:hAnsi="宋体" w:eastAsia="宋体"/>
                <w:sz w:val="21"/>
                <w:szCs w:val="21"/>
                <w:bdr w:val="single" w:color="auto" w:sz="4" w:space="0"/>
              </w:rPr>
              <w:t>1500</w:t>
            </w:r>
          </w:p>
        </w:tc>
        <w:tc>
          <w:tcPr>
            <w:tcW w:w="576"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0.7</w:t>
            </w:r>
            <w:r>
              <w:rPr>
                <w:rFonts w:hint="eastAsia" w:ascii="宋体" w:hAnsi="宋体" w:eastAsia="宋体"/>
                <w:sz w:val="21"/>
                <w:szCs w:val="21"/>
              </w:rPr>
              <w:t>～</w:t>
            </w:r>
            <w:r>
              <w:rPr>
                <w:rFonts w:ascii="宋体" w:hAnsi="宋体" w:eastAsia="宋体"/>
                <w:sz w:val="21"/>
                <w:szCs w:val="21"/>
              </w:rPr>
              <w:t>1.0</w:t>
            </w:r>
          </w:p>
        </w:tc>
        <w:tc>
          <w:tcPr>
            <w:tcW w:w="2425" w:type="pct"/>
            <w:vMerge w:val="restart"/>
          </w:tcPr>
          <w:p>
            <w:pPr>
              <w:pStyle w:val="40"/>
              <w:ind w:left="31680" w:firstLine="0" w:firstLineChars="0"/>
              <w:jc w:val="left"/>
              <w:rPr>
                <w:rFonts w:ascii="宋体" w:hAnsi="宋体" w:eastAsia="宋体"/>
                <w:sz w:val="21"/>
                <w:szCs w:val="21"/>
              </w:rPr>
            </w:pPr>
            <w:r>
              <w:rPr>
                <w:rFonts w:hint="eastAsia" w:ascii="宋体" w:hAnsi="宋体" w:eastAsia="宋体"/>
                <w:sz w:val="21"/>
                <w:szCs w:val="21"/>
              </w:rPr>
              <w:t>应设置项目。</w:t>
            </w:r>
          </w:p>
          <w:p>
            <w:pPr>
              <w:pStyle w:val="40"/>
              <w:ind w:left="31680" w:firstLine="0" w:firstLineChars="0"/>
              <w:jc w:val="left"/>
              <w:rPr>
                <w:rFonts w:ascii="宋体" w:hAnsi="宋体" w:eastAsia="宋体"/>
                <w:sz w:val="21"/>
                <w:szCs w:val="21"/>
              </w:rPr>
            </w:pPr>
            <w:r>
              <w:rPr>
                <w:rFonts w:hint="eastAsia" w:ascii="宋体" w:hAnsi="宋体" w:eastAsia="宋体"/>
                <w:sz w:val="21"/>
                <w:szCs w:val="21"/>
              </w:rPr>
              <w:t>新建住宅小区或其他建设项目</w:t>
            </w:r>
            <w:r>
              <w:rPr>
                <w:rFonts w:ascii="宋体" w:hAnsi="宋体" w:eastAsia="宋体"/>
                <w:sz w:val="21"/>
                <w:szCs w:val="21"/>
              </w:rPr>
              <w:t>0.7</w:t>
            </w:r>
            <w:r>
              <w:rPr>
                <w:rFonts w:hint="eastAsia" w:ascii="宋体" w:hAnsi="宋体" w:eastAsia="宋体"/>
                <w:sz w:val="21"/>
                <w:szCs w:val="21"/>
              </w:rPr>
              <w:t>～</w:t>
            </w:r>
            <w:r>
              <w:rPr>
                <w:rFonts w:ascii="宋体" w:hAnsi="宋体" w:eastAsia="宋体"/>
                <w:sz w:val="21"/>
                <w:szCs w:val="21"/>
              </w:rPr>
              <w:t>1.0</w:t>
            </w:r>
            <w:r>
              <w:rPr>
                <w:rFonts w:hint="eastAsia" w:ascii="宋体" w:hAnsi="宋体" w:eastAsia="宋体"/>
                <w:sz w:val="21"/>
                <w:szCs w:val="21"/>
              </w:rPr>
              <w:t>万人设置线路</w:t>
            </w:r>
            <w:r>
              <w:rPr>
                <w:rFonts w:ascii="宋体" w:hAnsi="宋体" w:eastAsia="宋体"/>
                <w:sz w:val="21"/>
                <w:szCs w:val="21"/>
              </w:rPr>
              <w:t>1</w:t>
            </w:r>
            <w:r>
              <w:rPr>
                <w:rFonts w:hint="eastAsia" w:ascii="宋体" w:hAnsi="宋体" w:eastAsia="宋体"/>
                <w:sz w:val="21"/>
                <w:szCs w:val="21"/>
              </w:rPr>
              <w:t>条、</w:t>
            </w: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2.0</w:t>
            </w:r>
            <w:r>
              <w:rPr>
                <w:rFonts w:hint="eastAsia" w:ascii="宋体" w:hAnsi="宋体" w:eastAsia="宋体"/>
                <w:sz w:val="21"/>
                <w:szCs w:val="21"/>
              </w:rPr>
              <w:t>万人设置线路</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条、</w:t>
            </w:r>
            <w:r>
              <w:rPr>
                <w:rFonts w:ascii="宋体" w:hAnsi="宋体" w:eastAsia="宋体"/>
                <w:sz w:val="21"/>
                <w:szCs w:val="21"/>
              </w:rPr>
              <w:t>2.0</w:t>
            </w:r>
            <w:r>
              <w:rPr>
                <w:rFonts w:hint="eastAsia" w:ascii="宋体" w:hAnsi="宋体" w:eastAsia="宋体"/>
                <w:sz w:val="21"/>
                <w:szCs w:val="21"/>
              </w:rPr>
              <w:t>～</w:t>
            </w:r>
            <w:r>
              <w:rPr>
                <w:rFonts w:ascii="宋体" w:hAnsi="宋体" w:eastAsia="宋体"/>
                <w:sz w:val="21"/>
                <w:szCs w:val="21"/>
              </w:rPr>
              <w:t>3.0</w:t>
            </w:r>
            <w:r>
              <w:rPr>
                <w:rFonts w:hint="eastAsia" w:ascii="宋体" w:hAnsi="宋体" w:eastAsia="宋体"/>
                <w:sz w:val="21"/>
                <w:szCs w:val="21"/>
              </w:rPr>
              <w:t>万人设置线路</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条。</w:t>
            </w:r>
          </w:p>
          <w:p>
            <w:pPr>
              <w:pStyle w:val="40"/>
              <w:ind w:left="31680" w:firstLine="0" w:firstLineChars="0"/>
              <w:jc w:val="left"/>
              <w:rPr>
                <w:rFonts w:ascii="宋体" w:hAnsi="宋体" w:eastAsia="宋体"/>
                <w:sz w:val="21"/>
                <w:szCs w:val="21"/>
              </w:rPr>
            </w:pPr>
            <w:r>
              <w:rPr>
                <w:rFonts w:hint="eastAsia" w:ascii="宋体" w:hAnsi="宋体" w:eastAsia="宋体"/>
                <w:sz w:val="21"/>
                <w:szCs w:val="21"/>
              </w:rPr>
              <w:t>中心城区内公交首末站宜设置在城市道路以外的独立用地上，用地紧张时可结合商业、娱乐设施集中设置，设于建筑首层。公交车运营净用地面积不应低于总用地面积的</w:t>
            </w:r>
            <w:r>
              <w:rPr>
                <w:rFonts w:ascii="宋体" w:hAnsi="宋体" w:eastAsia="宋体"/>
                <w:sz w:val="21"/>
                <w:szCs w:val="21"/>
              </w:rPr>
              <w:t>70%</w:t>
            </w:r>
            <w:r>
              <w:rPr>
                <w:rFonts w:hint="eastAsia" w:ascii="宋体" w:hAnsi="宋体" w:eastAsia="宋体"/>
                <w:sz w:val="21"/>
                <w:szCs w:val="21"/>
              </w:rPr>
              <w:t>。</w:t>
            </w:r>
          </w:p>
          <w:p>
            <w:pPr>
              <w:pStyle w:val="40"/>
              <w:ind w:left="31680" w:firstLine="0" w:firstLineChars="0"/>
              <w:jc w:val="left"/>
              <w:rPr>
                <w:rFonts w:ascii="宋体" w:hAnsi="宋体" w:eastAsia="宋体"/>
                <w:sz w:val="21"/>
                <w:szCs w:val="21"/>
              </w:rPr>
            </w:pPr>
            <w:r>
              <w:rPr>
                <w:rFonts w:hint="eastAsia" w:ascii="宋体" w:hAnsi="宋体" w:eastAsia="宋体"/>
                <w:sz w:val="21"/>
                <w:szCs w:val="21"/>
              </w:rPr>
              <w:t>公交首末站出入口宜设置在次干道或支路上，出入口应分隔开，出入口宽度应为</w:t>
            </w:r>
            <w:r>
              <w:rPr>
                <w:rFonts w:ascii="宋体" w:hAnsi="宋体" w:eastAsia="宋体"/>
                <w:sz w:val="21"/>
                <w:szCs w:val="21"/>
              </w:rPr>
              <w:t>7.5-10</w:t>
            </w:r>
            <w:r>
              <w:rPr>
                <w:rFonts w:hint="eastAsia" w:ascii="宋体" w:hAnsi="宋体" w:eastAsia="宋体"/>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324" w:type="pct"/>
            <w:vMerge w:val="continue"/>
            <w:vAlign w:val="center"/>
          </w:tcPr>
          <w:p>
            <w:pPr>
              <w:pStyle w:val="40"/>
              <w:ind w:left="31680" w:firstLine="0" w:firstLineChars="0"/>
              <w:rPr>
                <w:rFonts w:ascii="宋体" w:hAnsi="宋体" w:eastAsia="宋体"/>
                <w:sz w:val="21"/>
                <w:szCs w:val="21"/>
              </w:rPr>
            </w:pPr>
          </w:p>
        </w:tc>
        <w:tc>
          <w:tcPr>
            <w:tcW w:w="530" w:type="pct"/>
            <w:vMerge w:val="continue"/>
            <w:vAlign w:val="center"/>
          </w:tcPr>
          <w:p>
            <w:pPr>
              <w:pStyle w:val="40"/>
              <w:ind w:left="31680" w:firstLine="0" w:firstLineChars="0"/>
              <w:rPr>
                <w:rFonts w:ascii="宋体" w:hAnsi="宋体" w:eastAsia="宋体"/>
                <w:sz w:val="21"/>
                <w:szCs w:val="21"/>
              </w:rPr>
            </w:pPr>
          </w:p>
        </w:tc>
        <w:tc>
          <w:tcPr>
            <w:tcW w:w="573"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240</w:t>
            </w:r>
          </w:p>
          <w:p>
            <w:pPr>
              <w:pStyle w:val="40"/>
              <w:ind w:left="31680" w:firstLine="0" w:firstLineChars="0"/>
              <w:rPr>
                <w:rFonts w:ascii="宋体" w:hAnsi="宋体" w:eastAsia="宋体"/>
                <w:sz w:val="21"/>
                <w:szCs w:val="21"/>
              </w:rPr>
            </w:pPr>
            <w:r>
              <w:rPr>
                <w:rFonts w:ascii="宋体" w:hAnsi="宋体" w:eastAsia="宋体"/>
                <w:sz w:val="21"/>
                <w:szCs w:val="21"/>
                <w:bdr w:val="single" w:color="auto" w:sz="4" w:space="0"/>
              </w:rPr>
              <w:t>300</w:t>
            </w:r>
          </w:p>
        </w:tc>
        <w:tc>
          <w:tcPr>
            <w:tcW w:w="573"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2400</w:t>
            </w:r>
          </w:p>
          <w:p>
            <w:pPr>
              <w:pStyle w:val="40"/>
              <w:ind w:left="31680" w:firstLine="0" w:firstLineChars="0"/>
              <w:rPr>
                <w:rFonts w:ascii="宋体" w:hAnsi="宋体" w:eastAsia="宋体"/>
                <w:sz w:val="21"/>
                <w:szCs w:val="21"/>
              </w:rPr>
            </w:pPr>
            <w:r>
              <w:rPr>
                <w:rFonts w:ascii="宋体" w:hAnsi="宋体" w:eastAsia="宋体"/>
                <w:sz w:val="21"/>
                <w:szCs w:val="21"/>
                <w:bdr w:val="single" w:color="auto" w:sz="4" w:space="0"/>
              </w:rPr>
              <w:t>3000</w:t>
            </w:r>
          </w:p>
        </w:tc>
        <w:tc>
          <w:tcPr>
            <w:tcW w:w="576"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2.0</w:t>
            </w:r>
          </w:p>
        </w:tc>
        <w:tc>
          <w:tcPr>
            <w:tcW w:w="2425" w:type="pct"/>
            <w:vMerge w:val="continue"/>
          </w:tcPr>
          <w:p>
            <w:pPr>
              <w:pStyle w:val="40"/>
              <w:ind w:left="31680"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324" w:type="pct"/>
            <w:vMerge w:val="continue"/>
            <w:vAlign w:val="center"/>
          </w:tcPr>
          <w:p>
            <w:pPr>
              <w:pStyle w:val="40"/>
              <w:ind w:left="31680" w:firstLine="0" w:firstLineChars="0"/>
              <w:rPr>
                <w:rFonts w:ascii="宋体" w:hAnsi="宋体" w:eastAsia="宋体"/>
                <w:sz w:val="21"/>
                <w:szCs w:val="21"/>
              </w:rPr>
            </w:pPr>
          </w:p>
        </w:tc>
        <w:tc>
          <w:tcPr>
            <w:tcW w:w="530" w:type="pct"/>
            <w:vMerge w:val="continue"/>
            <w:vAlign w:val="center"/>
          </w:tcPr>
          <w:p>
            <w:pPr>
              <w:pStyle w:val="40"/>
              <w:ind w:left="31680" w:firstLine="0" w:firstLineChars="0"/>
              <w:rPr>
                <w:rFonts w:ascii="宋体" w:hAnsi="宋体" w:eastAsia="宋体"/>
                <w:sz w:val="21"/>
                <w:szCs w:val="21"/>
              </w:rPr>
            </w:pPr>
          </w:p>
        </w:tc>
        <w:tc>
          <w:tcPr>
            <w:tcW w:w="573"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450</w:t>
            </w:r>
          </w:p>
          <w:p>
            <w:pPr>
              <w:pStyle w:val="40"/>
              <w:ind w:left="31680" w:firstLine="0" w:firstLineChars="0"/>
              <w:rPr>
                <w:rFonts w:ascii="宋体" w:hAnsi="宋体" w:eastAsia="宋体"/>
                <w:sz w:val="21"/>
                <w:szCs w:val="21"/>
              </w:rPr>
            </w:pPr>
            <w:r>
              <w:rPr>
                <w:rFonts w:ascii="宋体" w:hAnsi="宋体" w:eastAsia="宋体"/>
                <w:sz w:val="21"/>
                <w:szCs w:val="21"/>
                <w:bdr w:val="single" w:color="auto" w:sz="4" w:space="0"/>
              </w:rPr>
              <w:t>550</w:t>
            </w:r>
          </w:p>
        </w:tc>
        <w:tc>
          <w:tcPr>
            <w:tcW w:w="573"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4500</w:t>
            </w:r>
          </w:p>
          <w:p>
            <w:pPr>
              <w:pStyle w:val="40"/>
              <w:ind w:left="31680" w:firstLine="0" w:firstLineChars="0"/>
              <w:rPr>
                <w:rFonts w:ascii="宋体" w:hAnsi="宋体" w:eastAsia="宋体"/>
                <w:sz w:val="21"/>
                <w:szCs w:val="21"/>
              </w:rPr>
            </w:pPr>
            <w:r>
              <w:rPr>
                <w:rFonts w:ascii="宋体" w:hAnsi="宋体" w:eastAsia="宋体"/>
                <w:sz w:val="21"/>
                <w:szCs w:val="21"/>
                <w:bdr w:val="single" w:color="auto" w:sz="4" w:space="0"/>
              </w:rPr>
              <w:t>5500</w:t>
            </w:r>
          </w:p>
        </w:tc>
        <w:tc>
          <w:tcPr>
            <w:tcW w:w="576"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2.0</w:t>
            </w:r>
            <w:r>
              <w:rPr>
                <w:rFonts w:hint="eastAsia" w:ascii="宋体" w:hAnsi="宋体" w:eastAsia="宋体"/>
                <w:sz w:val="21"/>
                <w:szCs w:val="21"/>
              </w:rPr>
              <w:t>～</w:t>
            </w:r>
            <w:r>
              <w:rPr>
                <w:rFonts w:ascii="宋体" w:hAnsi="宋体" w:eastAsia="宋体"/>
                <w:sz w:val="21"/>
                <w:szCs w:val="21"/>
              </w:rPr>
              <w:t>3.0</w:t>
            </w:r>
          </w:p>
        </w:tc>
        <w:tc>
          <w:tcPr>
            <w:tcW w:w="2425" w:type="pct"/>
            <w:vMerge w:val="continue"/>
          </w:tcPr>
          <w:p>
            <w:pPr>
              <w:pStyle w:val="40"/>
              <w:ind w:left="31680"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324" w:type="pct"/>
            <w:vMerge w:val="continue"/>
            <w:vAlign w:val="center"/>
          </w:tcPr>
          <w:p>
            <w:pPr>
              <w:pStyle w:val="40"/>
              <w:ind w:left="31680" w:firstLine="0" w:firstLineChars="0"/>
              <w:rPr>
                <w:rFonts w:ascii="宋体" w:hAnsi="宋体" w:eastAsia="宋体"/>
                <w:sz w:val="21"/>
                <w:szCs w:val="21"/>
              </w:rPr>
            </w:pPr>
          </w:p>
        </w:tc>
        <w:tc>
          <w:tcPr>
            <w:tcW w:w="530" w:type="pct"/>
            <w:vMerge w:val="restart"/>
            <w:vAlign w:val="center"/>
          </w:tcPr>
          <w:p>
            <w:pPr>
              <w:pStyle w:val="40"/>
              <w:ind w:left="31680" w:firstLine="0" w:firstLineChars="0"/>
              <w:rPr>
                <w:rFonts w:ascii="宋体" w:hAnsi="宋体" w:eastAsia="宋体"/>
                <w:sz w:val="21"/>
                <w:szCs w:val="21"/>
              </w:rPr>
            </w:pPr>
            <w:r>
              <w:rPr>
                <w:rFonts w:hint="eastAsia" w:ascii="宋体" w:hAnsi="宋体" w:eastAsia="宋体"/>
                <w:sz w:val="21"/>
                <w:szCs w:val="21"/>
              </w:rPr>
              <w:t>半径</w:t>
            </w:r>
            <w:r>
              <w:rPr>
                <w:rFonts w:ascii="宋体" w:hAnsi="宋体" w:eastAsia="宋体"/>
                <w:sz w:val="21"/>
                <w:szCs w:val="21"/>
              </w:rPr>
              <w:t>500</w:t>
            </w:r>
            <w:r>
              <w:rPr>
                <w:rFonts w:hint="eastAsia" w:ascii="宋体" w:hAnsi="宋体" w:eastAsia="宋体"/>
                <w:sz w:val="21"/>
                <w:szCs w:val="21"/>
              </w:rPr>
              <w:t>米范围内有轨道交通站点</w:t>
            </w:r>
          </w:p>
        </w:tc>
        <w:tc>
          <w:tcPr>
            <w:tcW w:w="573"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120</w:t>
            </w:r>
          </w:p>
          <w:p>
            <w:pPr>
              <w:pStyle w:val="40"/>
              <w:ind w:left="31680" w:firstLine="0" w:firstLineChars="0"/>
              <w:rPr>
                <w:rFonts w:ascii="宋体" w:hAnsi="宋体" w:eastAsia="宋体"/>
                <w:sz w:val="21"/>
                <w:szCs w:val="21"/>
              </w:rPr>
            </w:pPr>
            <w:r>
              <w:rPr>
                <w:rFonts w:ascii="宋体" w:hAnsi="宋体" w:eastAsia="宋体"/>
                <w:sz w:val="21"/>
                <w:szCs w:val="21"/>
                <w:bdr w:val="single" w:color="auto" w:sz="4" w:space="0"/>
              </w:rPr>
              <w:t>150</w:t>
            </w:r>
          </w:p>
        </w:tc>
        <w:tc>
          <w:tcPr>
            <w:tcW w:w="573"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1200</w:t>
            </w:r>
          </w:p>
          <w:p>
            <w:pPr>
              <w:pStyle w:val="40"/>
              <w:ind w:left="31680" w:firstLine="0" w:firstLineChars="0"/>
              <w:rPr>
                <w:rFonts w:ascii="宋体" w:hAnsi="宋体" w:eastAsia="宋体"/>
                <w:sz w:val="21"/>
                <w:szCs w:val="21"/>
              </w:rPr>
            </w:pPr>
            <w:r>
              <w:rPr>
                <w:rFonts w:ascii="宋体" w:hAnsi="宋体" w:eastAsia="宋体"/>
                <w:sz w:val="21"/>
                <w:szCs w:val="21"/>
                <w:bdr w:val="single" w:color="auto" w:sz="4" w:space="0"/>
              </w:rPr>
              <w:t>1500</w:t>
            </w:r>
          </w:p>
        </w:tc>
        <w:tc>
          <w:tcPr>
            <w:tcW w:w="576"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2.0</w:t>
            </w:r>
          </w:p>
        </w:tc>
        <w:tc>
          <w:tcPr>
            <w:tcW w:w="2425" w:type="pct"/>
            <w:vMerge w:val="restart"/>
          </w:tcPr>
          <w:p>
            <w:pPr>
              <w:pStyle w:val="40"/>
              <w:ind w:left="31680" w:firstLine="0" w:firstLineChars="0"/>
              <w:jc w:val="left"/>
              <w:rPr>
                <w:rFonts w:ascii="宋体" w:hAnsi="宋体" w:eastAsia="宋体"/>
                <w:sz w:val="21"/>
                <w:szCs w:val="21"/>
              </w:rPr>
            </w:pPr>
            <w:r>
              <w:rPr>
                <w:rFonts w:hint="eastAsia" w:ascii="宋体" w:hAnsi="宋体" w:eastAsia="宋体"/>
                <w:sz w:val="21"/>
                <w:szCs w:val="21"/>
              </w:rPr>
              <w:t>应设置项目。</w:t>
            </w:r>
          </w:p>
          <w:p>
            <w:pPr>
              <w:pStyle w:val="40"/>
              <w:ind w:left="31680" w:firstLine="0" w:firstLineChars="0"/>
              <w:jc w:val="left"/>
              <w:rPr>
                <w:rFonts w:ascii="宋体" w:hAnsi="宋体" w:eastAsia="宋体"/>
                <w:sz w:val="21"/>
                <w:szCs w:val="21"/>
              </w:rPr>
            </w:pPr>
            <w:r>
              <w:rPr>
                <w:rFonts w:hint="eastAsia" w:ascii="宋体" w:hAnsi="宋体" w:eastAsia="宋体"/>
                <w:sz w:val="21"/>
                <w:szCs w:val="21"/>
              </w:rPr>
              <w:t>新建住宅小区或其他建设项目</w:t>
            </w: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2.0</w:t>
            </w:r>
            <w:r>
              <w:rPr>
                <w:rFonts w:hint="eastAsia" w:ascii="宋体" w:hAnsi="宋体" w:eastAsia="宋体"/>
                <w:sz w:val="21"/>
                <w:szCs w:val="21"/>
              </w:rPr>
              <w:t>万人设置线路</w:t>
            </w:r>
            <w:r>
              <w:rPr>
                <w:rFonts w:ascii="宋体" w:hAnsi="宋体" w:eastAsia="宋体"/>
                <w:sz w:val="21"/>
                <w:szCs w:val="21"/>
              </w:rPr>
              <w:t>1</w:t>
            </w:r>
            <w:r>
              <w:rPr>
                <w:rFonts w:hint="eastAsia" w:ascii="宋体" w:hAnsi="宋体" w:eastAsia="宋体"/>
                <w:sz w:val="21"/>
                <w:szCs w:val="21"/>
              </w:rPr>
              <w:t>条、</w:t>
            </w:r>
            <w:r>
              <w:rPr>
                <w:rFonts w:ascii="宋体" w:hAnsi="宋体" w:eastAsia="宋体"/>
                <w:sz w:val="21"/>
                <w:szCs w:val="21"/>
              </w:rPr>
              <w:t>2.0</w:t>
            </w:r>
            <w:r>
              <w:rPr>
                <w:rFonts w:hint="eastAsia" w:ascii="宋体" w:hAnsi="宋体" w:eastAsia="宋体"/>
                <w:sz w:val="21"/>
                <w:szCs w:val="21"/>
              </w:rPr>
              <w:t>～</w:t>
            </w:r>
            <w:r>
              <w:rPr>
                <w:rFonts w:ascii="宋体" w:hAnsi="宋体" w:eastAsia="宋体"/>
                <w:sz w:val="21"/>
                <w:szCs w:val="21"/>
              </w:rPr>
              <w:t>3.0</w:t>
            </w:r>
            <w:r>
              <w:rPr>
                <w:rFonts w:hint="eastAsia" w:ascii="宋体" w:hAnsi="宋体" w:eastAsia="宋体"/>
                <w:sz w:val="21"/>
                <w:szCs w:val="21"/>
              </w:rPr>
              <w:t>万人设置线路</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条。</w:t>
            </w:r>
          </w:p>
          <w:p>
            <w:pPr>
              <w:pStyle w:val="40"/>
              <w:ind w:left="31680" w:firstLine="0" w:firstLineChars="0"/>
              <w:jc w:val="left"/>
              <w:rPr>
                <w:rFonts w:ascii="宋体" w:hAnsi="宋体" w:eastAsia="宋体"/>
                <w:sz w:val="21"/>
                <w:szCs w:val="21"/>
              </w:rPr>
            </w:pPr>
            <w:r>
              <w:rPr>
                <w:rFonts w:hint="eastAsia" w:ascii="宋体" w:hAnsi="宋体" w:eastAsia="宋体"/>
                <w:sz w:val="21"/>
                <w:szCs w:val="21"/>
              </w:rPr>
              <w:t>中心城区内公交首末站宜设置在城市道路以外的独立用地上，用地紧张时可结合商业、娱乐设施集中设置，设于建筑首层。公交车运营净用地面积不应低于总用地面积的</w:t>
            </w:r>
            <w:r>
              <w:rPr>
                <w:rFonts w:ascii="宋体" w:hAnsi="宋体" w:eastAsia="宋体"/>
                <w:sz w:val="21"/>
                <w:szCs w:val="21"/>
              </w:rPr>
              <w:t>70%</w:t>
            </w:r>
            <w:r>
              <w:rPr>
                <w:rFonts w:hint="eastAsia" w:ascii="宋体" w:hAnsi="宋体" w:eastAsia="宋体"/>
                <w:sz w:val="21"/>
                <w:szCs w:val="21"/>
              </w:rPr>
              <w:t>。</w:t>
            </w:r>
          </w:p>
          <w:p>
            <w:pPr>
              <w:pStyle w:val="40"/>
              <w:ind w:left="31680" w:firstLine="0" w:firstLineChars="0"/>
              <w:jc w:val="left"/>
              <w:rPr>
                <w:rFonts w:ascii="宋体" w:hAnsi="宋体" w:eastAsia="宋体"/>
                <w:sz w:val="21"/>
                <w:szCs w:val="21"/>
              </w:rPr>
            </w:pPr>
            <w:r>
              <w:rPr>
                <w:rFonts w:hint="eastAsia" w:ascii="宋体" w:hAnsi="宋体" w:eastAsia="宋体"/>
                <w:sz w:val="21"/>
                <w:szCs w:val="21"/>
              </w:rPr>
              <w:t>公交首末站出入口宜设置在次干道或支路上，出入口应分隔开，出入口宽度应为</w:t>
            </w:r>
            <w:r>
              <w:rPr>
                <w:rFonts w:ascii="宋体" w:hAnsi="宋体" w:eastAsia="宋体"/>
                <w:sz w:val="21"/>
                <w:szCs w:val="21"/>
              </w:rPr>
              <w:t>7.5-10</w:t>
            </w:r>
            <w:r>
              <w:rPr>
                <w:rFonts w:hint="eastAsia" w:ascii="宋体" w:hAnsi="宋体" w:eastAsia="宋体"/>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24" w:type="pct"/>
            <w:vMerge w:val="continue"/>
            <w:vAlign w:val="center"/>
          </w:tcPr>
          <w:p>
            <w:pPr>
              <w:pStyle w:val="40"/>
              <w:ind w:left="31680" w:firstLine="0" w:firstLineChars="0"/>
              <w:rPr>
                <w:rFonts w:ascii="宋体" w:hAnsi="宋体" w:eastAsia="宋体"/>
                <w:sz w:val="21"/>
                <w:szCs w:val="21"/>
              </w:rPr>
            </w:pPr>
          </w:p>
        </w:tc>
        <w:tc>
          <w:tcPr>
            <w:tcW w:w="530" w:type="pct"/>
            <w:vMerge w:val="continue"/>
            <w:vAlign w:val="center"/>
          </w:tcPr>
          <w:p>
            <w:pPr>
              <w:pStyle w:val="40"/>
              <w:ind w:left="31680" w:firstLine="0" w:firstLineChars="0"/>
              <w:rPr>
                <w:rFonts w:ascii="宋体" w:hAnsi="宋体" w:eastAsia="宋体"/>
                <w:sz w:val="21"/>
                <w:szCs w:val="21"/>
              </w:rPr>
            </w:pPr>
          </w:p>
        </w:tc>
        <w:tc>
          <w:tcPr>
            <w:tcW w:w="573"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350</w:t>
            </w:r>
          </w:p>
          <w:p>
            <w:pPr>
              <w:pStyle w:val="40"/>
              <w:ind w:left="31680" w:firstLine="0" w:firstLineChars="0"/>
              <w:rPr>
                <w:rFonts w:ascii="宋体" w:hAnsi="宋体" w:eastAsia="宋体"/>
                <w:sz w:val="21"/>
                <w:szCs w:val="21"/>
              </w:rPr>
            </w:pPr>
            <w:r>
              <w:rPr>
                <w:rFonts w:ascii="宋体" w:hAnsi="宋体" w:eastAsia="宋体"/>
                <w:sz w:val="21"/>
                <w:szCs w:val="21"/>
                <w:bdr w:val="single" w:color="auto" w:sz="4" w:space="0"/>
              </w:rPr>
              <w:t>450</w:t>
            </w:r>
          </w:p>
        </w:tc>
        <w:tc>
          <w:tcPr>
            <w:tcW w:w="573"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3500</w:t>
            </w:r>
          </w:p>
          <w:p>
            <w:pPr>
              <w:pStyle w:val="40"/>
              <w:ind w:left="31680" w:firstLine="0" w:firstLineChars="0"/>
              <w:rPr>
                <w:rFonts w:ascii="宋体" w:hAnsi="宋体" w:eastAsia="宋体"/>
                <w:sz w:val="21"/>
                <w:szCs w:val="21"/>
              </w:rPr>
            </w:pPr>
            <w:r>
              <w:rPr>
                <w:rFonts w:ascii="宋体" w:hAnsi="宋体" w:eastAsia="宋体"/>
                <w:sz w:val="21"/>
                <w:szCs w:val="21"/>
                <w:bdr w:val="single" w:color="auto" w:sz="4" w:space="0"/>
              </w:rPr>
              <w:t>4500</w:t>
            </w:r>
          </w:p>
        </w:tc>
        <w:tc>
          <w:tcPr>
            <w:tcW w:w="576" w:type="pct"/>
            <w:vAlign w:val="center"/>
          </w:tcPr>
          <w:p>
            <w:pPr>
              <w:pStyle w:val="40"/>
              <w:ind w:left="31680" w:firstLine="0" w:firstLineChars="0"/>
              <w:rPr>
                <w:rFonts w:ascii="宋体" w:hAnsi="宋体" w:eastAsia="宋体"/>
                <w:sz w:val="21"/>
                <w:szCs w:val="21"/>
              </w:rPr>
            </w:pPr>
            <w:r>
              <w:rPr>
                <w:rFonts w:ascii="宋体" w:hAnsi="宋体" w:eastAsia="宋体"/>
                <w:sz w:val="21"/>
                <w:szCs w:val="21"/>
              </w:rPr>
              <w:t>2.0</w:t>
            </w:r>
            <w:r>
              <w:rPr>
                <w:rFonts w:hint="eastAsia" w:ascii="宋体" w:hAnsi="宋体" w:eastAsia="宋体"/>
                <w:sz w:val="21"/>
                <w:szCs w:val="21"/>
              </w:rPr>
              <w:t>～</w:t>
            </w:r>
            <w:r>
              <w:rPr>
                <w:rFonts w:ascii="宋体" w:hAnsi="宋体" w:eastAsia="宋体"/>
                <w:sz w:val="21"/>
                <w:szCs w:val="21"/>
              </w:rPr>
              <w:t>3.0</w:t>
            </w:r>
          </w:p>
        </w:tc>
        <w:tc>
          <w:tcPr>
            <w:tcW w:w="2425" w:type="pct"/>
            <w:vMerge w:val="continue"/>
          </w:tcPr>
          <w:p>
            <w:pPr>
              <w:pStyle w:val="40"/>
              <w:ind w:left="31680" w:firstLine="0" w:firstLineChars="0"/>
              <w:rPr>
                <w:rFonts w:ascii="宋体" w:hAnsi="宋体" w:eastAsia="宋体"/>
                <w:sz w:val="21"/>
                <w:szCs w:val="21"/>
              </w:rPr>
            </w:pPr>
          </w:p>
        </w:tc>
      </w:tr>
    </w:tbl>
    <w:p>
      <w:r>
        <w:rPr>
          <w:rFonts w:hint="eastAsia"/>
          <w:szCs w:val="21"/>
        </w:rPr>
        <w:t>表</w:t>
      </w:r>
      <w:r>
        <w:fldChar w:fldCharType="begin"/>
      </w:r>
      <w:r>
        <w:instrText xml:space="preserve"> REF _Ref453875730 \r \h  \* MERGEFORMAT </w:instrText>
      </w:r>
      <w:r>
        <w:fldChar w:fldCharType="separate"/>
      </w:r>
      <w:r>
        <w:rPr>
          <w:szCs w:val="21"/>
        </w:rPr>
        <w:t>3.2.3.1</w:t>
      </w:r>
      <w:r>
        <w:rPr>
          <w:szCs w:val="21"/>
        </w:rPr>
        <w:fldChar w:fldCharType="end"/>
      </w:r>
      <w:r>
        <w:rPr>
          <w:b/>
        </w:rPr>
        <w:t xml:space="preserve"> </w:t>
      </w:r>
      <w:r>
        <w:rPr>
          <w:rFonts w:hint="eastAsia"/>
        </w:rPr>
        <w:t>《建设项目交通影响评价技术标准（</w:t>
      </w:r>
      <w:r>
        <w:t>CJJ/T141—2010</w:t>
      </w:r>
      <w:r>
        <w:rPr>
          <w:rFonts w:hint="eastAsia"/>
        </w:rPr>
        <w:t>）》出行率参考表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宋体"/>
                <w:sz w:val="21"/>
                <w:szCs w:val="21"/>
              </w:rPr>
            </w:pPr>
            <w:r>
              <w:rPr>
                <w:rFonts w:hint="eastAsia" w:ascii="宋体" w:hAnsi="宋体"/>
                <w:sz w:val="21"/>
                <w:szCs w:val="21"/>
              </w:rPr>
              <w:t>类别</w:t>
            </w:r>
          </w:p>
        </w:tc>
        <w:tc>
          <w:tcPr>
            <w:tcW w:w="2841" w:type="dxa"/>
          </w:tcPr>
          <w:p>
            <w:pPr>
              <w:jc w:val="center"/>
              <w:rPr>
                <w:rFonts w:ascii="宋体"/>
                <w:sz w:val="21"/>
                <w:szCs w:val="21"/>
              </w:rPr>
            </w:pPr>
            <w:r>
              <w:rPr>
                <w:rFonts w:hint="eastAsia" w:ascii="宋体" w:hAnsi="宋体"/>
                <w:sz w:val="21"/>
                <w:szCs w:val="21"/>
              </w:rPr>
              <w:t>高峰小时出行率参考值</w:t>
            </w:r>
          </w:p>
        </w:tc>
        <w:tc>
          <w:tcPr>
            <w:tcW w:w="2841" w:type="dxa"/>
          </w:tcPr>
          <w:p>
            <w:pPr>
              <w:jc w:val="center"/>
              <w:rPr>
                <w:rFonts w:ascii="宋体"/>
                <w:sz w:val="21"/>
                <w:szCs w:val="21"/>
              </w:rPr>
            </w:pPr>
            <w:r>
              <w:rPr>
                <w:rFonts w:hint="eastAsia" w:ascii="宋体" w:hAnsi="宋体"/>
                <w:sz w:val="21"/>
                <w:szCs w:val="21"/>
              </w:rPr>
              <w:t>出行率单位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宋体"/>
                <w:sz w:val="21"/>
                <w:szCs w:val="21"/>
              </w:rPr>
            </w:pPr>
            <w:r>
              <w:rPr>
                <w:rFonts w:hint="eastAsia" w:ascii="宋体" w:hAnsi="宋体"/>
                <w:sz w:val="21"/>
                <w:szCs w:val="21"/>
              </w:rPr>
              <w:t>普通住宅</w:t>
            </w:r>
          </w:p>
        </w:tc>
        <w:tc>
          <w:tcPr>
            <w:tcW w:w="2841" w:type="dxa"/>
          </w:tcPr>
          <w:p>
            <w:pPr>
              <w:jc w:val="center"/>
              <w:rPr>
                <w:rFonts w:ascii="宋体" w:hAnsi="宋体"/>
                <w:sz w:val="21"/>
                <w:szCs w:val="21"/>
              </w:rPr>
            </w:pPr>
            <w:r>
              <w:rPr>
                <w:rFonts w:ascii="宋体" w:hAnsi="宋体"/>
                <w:sz w:val="21"/>
                <w:szCs w:val="21"/>
              </w:rPr>
              <w:t>0.8</w:t>
            </w:r>
            <w:r>
              <w:rPr>
                <w:rFonts w:hint="eastAsia" w:ascii="宋体" w:hAnsi="宋体"/>
                <w:sz w:val="21"/>
                <w:szCs w:val="21"/>
              </w:rPr>
              <w:t>～</w:t>
            </w:r>
            <w:r>
              <w:rPr>
                <w:rFonts w:ascii="宋体" w:hAnsi="宋体"/>
                <w:sz w:val="21"/>
                <w:szCs w:val="21"/>
              </w:rPr>
              <w:t>2.5</w:t>
            </w:r>
          </w:p>
        </w:tc>
        <w:tc>
          <w:tcPr>
            <w:tcW w:w="2841" w:type="dxa"/>
          </w:tcPr>
          <w:p>
            <w:pPr>
              <w:jc w:val="center"/>
              <w:rPr>
                <w:rFonts w:ascii="宋体"/>
                <w:sz w:val="21"/>
                <w:szCs w:val="21"/>
              </w:rPr>
            </w:pPr>
            <w:r>
              <w:rPr>
                <w:rFonts w:hint="eastAsia" w:ascii="宋体" w:hAnsi="宋体"/>
                <w:sz w:val="21"/>
                <w:szCs w:val="21"/>
              </w:rPr>
              <w:t>人次</w:t>
            </w:r>
            <w:r>
              <w:rPr>
                <w:rFonts w:ascii="宋体" w:hAnsi="宋体"/>
                <w:sz w:val="21"/>
                <w:szCs w:val="21"/>
              </w:rPr>
              <w:t>/</w:t>
            </w:r>
            <w:r>
              <w:rPr>
                <w:rFonts w:hint="eastAsia" w:ascii="宋体" w:hAnsi="宋体"/>
                <w:sz w:val="21"/>
                <w:szCs w:val="21"/>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宋体"/>
                <w:sz w:val="21"/>
                <w:szCs w:val="21"/>
              </w:rPr>
            </w:pPr>
            <w:r>
              <w:rPr>
                <w:rFonts w:hint="eastAsia" w:ascii="宋体" w:hAnsi="宋体"/>
                <w:sz w:val="21"/>
                <w:szCs w:val="21"/>
              </w:rPr>
              <w:t>行政办公</w:t>
            </w:r>
          </w:p>
        </w:tc>
        <w:tc>
          <w:tcPr>
            <w:tcW w:w="2841" w:type="dxa"/>
          </w:tcPr>
          <w:p>
            <w:pPr>
              <w:jc w:val="center"/>
              <w:rPr>
                <w:rFonts w:ascii="宋体" w:hAnsi="宋体"/>
                <w:sz w:val="21"/>
                <w:szCs w:val="21"/>
              </w:rPr>
            </w:pPr>
            <w:r>
              <w:rPr>
                <w:rFonts w:ascii="宋体" w:hAnsi="宋体"/>
                <w:sz w:val="21"/>
                <w:szCs w:val="21"/>
              </w:rPr>
              <w:t>1.0</w:t>
            </w:r>
            <w:r>
              <w:rPr>
                <w:rFonts w:hint="eastAsia" w:ascii="宋体" w:hAnsi="宋体"/>
                <w:sz w:val="21"/>
                <w:szCs w:val="21"/>
              </w:rPr>
              <w:t>～</w:t>
            </w:r>
            <w:r>
              <w:rPr>
                <w:rFonts w:ascii="宋体" w:hAnsi="宋体"/>
                <w:sz w:val="21"/>
                <w:szCs w:val="21"/>
              </w:rPr>
              <w:t>2.5</w:t>
            </w:r>
          </w:p>
        </w:tc>
        <w:tc>
          <w:tcPr>
            <w:tcW w:w="2841" w:type="dxa"/>
          </w:tcPr>
          <w:p>
            <w:pPr>
              <w:jc w:val="center"/>
              <w:rPr>
                <w:rFonts w:ascii="宋体"/>
                <w:sz w:val="21"/>
                <w:szCs w:val="21"/>
              </w:rPr>
            </w:pPr>
            <w:r>
              <w:rPr>
                <w:rFonts w:hint="eastAsia" w:ascii="宋体" w:hAnsi="宋体"/>
                <w:sz w:val="21"/>
                <w:szCs w:val="21"/>
              </w:rPr>
              <w:t>人次</w:t>
            </w:r>
            <w:r>
              <w:rPr>
                <w:rFonts w:ascii="宋体" w:hAnsi="宋体"/>
                <w:sz w:val="21"/>
                <w:szCs w:val="21"/>
              </w:rPr>
              <w:t>/</w:t>
            </w:r>
            <w:r>
              <w:rPr>
                <w:rFonts w:hint="eastAsia" w:ascii="宋体" w:hAnsi="宋体"/>
                <w:sz w:val="21"/>
                <w:szCs w:val="21"/>
              </w:rPr>
              <w:t>百平方米建筑面积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宋体"/>
                <w:sz w:val="21"/>
                <w:szCs w:val="21"/>
              </w:rPr>
            </w:pPr>
            <w:r>
              <w:rPr>
                <w:rFonts w:hint="eastAsia" w:ascii="宋体" w:hAnsi="宋体"/>
                <w:sz w:val="21"/>
                <w:szCs w:val="21"/>
              </w:rPr>
              <w:t>综合型商业</w:t>
            </w:r>
          </w:p>
        </w:tc>
        <w:tc>
          <w:tcPr>
            <w:tcW w:w="2841" w:type="dxa"/>
          </w:tcPr>
          <w:p>
            <w:pPr>
              <w:jc w:val="center"/>
              <w:rPr>
                <w:rFonts w:ascii="宋体" w:hAnsi="宋体"/>
                <w:sz w:val="21"/>
                <w:szCs w:val="21"/>
              </w:rPr>
            </w:pPr>
            <w:r>
              <w:rPr>
                <w:rFonts w:ascii="宋体" w:hAnsi="宋体"/>
                <w:sz w:val="21"/>
                <w:szCs w:val="21"/>
              </w:rPr>
              <w:t>5</w:t>
            </w:r>
            <w:r>
              <w:rPr>
                <w:rFonts w:hint="eastAsia" w:ascii="宋体" w:hAnsi="宋体"/>
                <w:sz w:val="21"/>
                <w:szCs w:val="21"/>
              </w:rPr>
              <w:t>～</w:t>
            </w:r>
            <w:r>
              <w:rPr>
                <w:rFonts w:ascii="宋体" w:hAnsi="宋体"/>
                <w:sz w:val="21"/>
                <w:szCs w:val="21"/>
              </w:rPr>
              <w:t>25</w:t>
            </w:r>
          </w:p>
        </w:tc>
        <w:tc>
          <w:tcPr>
            <w:tcW w:w="2841" w:type="dxa"/>
          </w:tcPr>
          <w:p>
            <w:pPr>
              <w:jc w:val="center"/>
              <w:rPr>
                <w:rFonts w:ascii="宋体"/>
                <w:sz w:val="21"/>
                <w:szCs w:val="21"/>
              </w:rPr>
            </w:pPr>
            <w:r>
              <w:rPr>
                <w:rFonts w:hint="eastAsia" w:ascii="宋体" w:hAnsi="宋体"/>
                <w:sz w:val="21"/>
                <w:szCs w:val="21"/>
              </w:rPr>
              <w:t>人次</w:t>
            </w:r>
            <w:r>
              <w:rPr>
                <w:rFonts w:ascii="宋体" w:hAnsi="宋体"/>
                <w:sz w:val="21"/>
                <w:szCs w:val="21"/>
              </w:rPr>
              <w:t>/</w:t>
            </w:r>
            <w:r>
              <w:rPr>
                <w:rFonts w:hint="eastAsia" w:ascii="宋体" w:hAnsi="宋体"/>
                <w:sz w:val="21"/>
                <w:szCs w:val="21"/>
              </w:rPr>
              <w:t>百平方米建筑面积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宋体"/>
                <w:sz w:val="21"/>
                <w:szCs w:val="21"/>
              </w:rPr>
            </w:pPr>
            <w:r>
              <w:rPr>
                <w:rFonts w:hint="eastAsia" w:ascii="宋体" w:hAnsi="宋体"/>
                <w:sz w:val="21"/>
                <w:szCs w:val="21"/>
              </w:rPr>
              <w:t>科研与企事业办公</w:t>
            </w:r>
          </w:p>
        </w:tc>
        <w:tc>
          <w:tcPr>
            <w:tcW w:w="2841" w:type="dxa"/>
          </w:tcPr>
          <w:p>
            <w:pPr>
              <w:jc w:val="center"/>
              <w:rPr>
                <w:rFonts w:ascii="宋体" w:hAnsi="宋体"/>
                <w:sz w:val="21"/>
                <w:szCs w:val="21"/>
              </w:rPr>
            </w:pPr>
            <w:r>
              <w:rPr>
                <w:rFonts w:ascii="宋体" w:hAnsi="宋体"/>
                <w:sz w:val="21"/>
                <w:szCs w:val="21"/>
              </w:rPr>
              <w:t>1.5</w:t>
            </w:r>
            <w:r>
              <w:rPr>
                <w:rFonts w:hint="eastAsia" w:ascii="宋体" w:hAnsi="宋体"/>
                <w:sz w:val="21"/>
                <w:szCs w:val="21"/>
              </w:rPr>
              <w:t>～</w:t>
            </w:r>
            <w:r>
              <w:rPr>
                <w:rFonts w:ascii="宋体" w:hAnsi="宋体"/>
                <w:sz w:val="21"/>
                <w:szCs w:val="21"/>
              </w:rPr>
              <w:t>3.5</w:t>
            </w:r>
          </w:p>
        </w:tc>
        <w:tc>
          <w:tcPr>
            <w:tcW w:w="2841" w:type="dxa"/>
          </w:tcPr>
          <w:p>
            <w:pPr>
              <w:jc w:val="center"/>
              <w:rPr>
                <w:rFonts w:ascii="宋体"/>
                <w:sz w:val="21"/>
                <w:szCs w:val="21"/>
              </w:rPr>
            </w:pPr>
            <w:r>
              <w:rPr>
                <w:rFonts w:hint="eastAsia" w:ascii="宋体" w:hAnsi="宋体"/>
                <w:sz w:val="21"/>
                <w:szCs w:val="21"/>
              </w:rPr>
              <w:t>人次</w:t>
            </w:r>
            <w:r>
              <w:rPr>
                <w:rFonts w:ascii="宋体" w:hAnsi="宋体"/>
                <w:sz w:val="21"/>
                <w:szCs w:val="21"/>
              </w:rPr>
              <w:t>/</w:t>
            </w:r>
            <w:r>
              <w:rPr>
                <w:rFonts w:hint="eastAsia" w:ascii="宋体" w:hAnsi="宋体"/>
                <w:sz w:val="21"/>
                <w:szCs w:val="21"/>
              </w:rPr>
              <w:t>百平方米建筑面积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宋体"/>
                <w:sz w:val="21"/>
                <w:szCs w:val="21"/>
              </w:rPr>
            </w:pPr>
            <w:r>
              <w:rPr>
                <w:rFonts w:hint="eastAsia" w:ascii="宋体" w:hAnsi="宋体"/>
                <w:sz w:val="21"/>
                <w:szCs w:val="21"/>
              </w:rPr>
              <w:t>综合医院</w:t>
            </w:r>
          </w:p>
        </w:tc>
        <w:tc>
          <w:tcPr>
            <w:tcW w:w="2841" w:type="dxa"/>
          </w:tcPr>
          <w:p>
            <w:pPr>
              <w:jc w:val="center"/>
              <w:rPr>
                <w:rFonts w:ascii="宋体" w:hAnsi="宋体"/>
                <w:sz w:val="21"/>
                <w:szCs w:val="21"/>
              </w:rPr>
            </w:pPr>
            <w:r>
              <w:rPr>
                <w:rFonts w:ascii="宋体" w:hAnsi="宋体"/>
                <w:sz w:val="21"/>
                <w:szCs w:val="21"/>
              </w:rPr>
              <w:t>3</w:t>
            </w:r>
            <w:r>
              <w:rPr>
                <w:rFonts w:hint="eastAsia" w:ascii="宋体" w:hAnsi="宋体"/>
                <w:sz w:val="21"/>
                <w:szCs w:val="21"/>
              </w:rPr>
              <w:t>～</w:t>
            </w:r>
            <w:r>
              <w:rPr>
                <w:rFonts w:ascii="宋体" w:hAnsi="宋体"/>
                <w:sz w:val="21"/>
                <w:szCs w:val="21"/>
              </w:rPr>
              <w:t>12</w:t>
            </w:r>
          </w:p>
        </w:tc>
        <w:tc>
          <w:tcPr>
            <w:tcW w:w="2841" w:type="dxa"/>
          </w:tcPr>
          <w:p>
            <w:pPr>
              <w:jc w:val="center"/>
              <w:rPr>
                <w:rFonts w:ascii="宋体"/>
                <w:sz w:val="21"/>
                <w:szCs w:val="21"/>
              </w:rPr>
            </w:pPr>
            <w:r>
              <w:rPr>
                <w:rFonts w:hint="eastAsia" w:ascii="宋体" w:hAnsi="宋体"/>
                <w:sz w:val="21"/>
                <w:szCs w:val="21"/>
              </w:rPr>
              <w:t>人次</w:t>
            </w:r>
            <w:r>
              <w:rPr>
                <w:rFonts w:ascii="宋体" w:hAnsi="宋体"/>
                <w:sz w:val="21"/>
                <w:szCs w:val="21"/>
              </w:rPr>
              <w:t>/</w:t>
            </w:r>
            <w:r>
              <w:rPr>
                <w:rFonts w:hint="eastAsia" w:ascii="宋体" w:hAnsi="宋体"/>
                <w:sz w:val="21"/>
                <w:szCs w:val="21"/>
              </w:rPr>
              <w:t>百平方米建筑面积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宋体"/>
                <w:sz w:val="21"/>
                <w:szCs w:val="21"/>
              </w:rPr>
            </w:pPr>
            <w:r>
              <w:rPr>
                <w:rFonts w:hint="eastAsia" w:ascii="宋体" w:hAnsi="宋体"/>
                <w:sz w:val="21"/>
                <w:szCs w:val="21"/>
              </w:rPr>
              <w:t>文化场馆</w:t>
            </w:r>
          </w:p>
        </w:tc>
        <w:tc>
          <w:tcPr>
            <w:tcW w:w="2841" w:type="dxa"/>
          </w:tcPr>
          <w:p>
            <w:pPr>
              <w:jc w:val="center"/>
              <w:rPr>
                <w:rFonts w:ascii="宋体" w:hAnsi="宋体"/>
                <w:sz w:val="21"/>
                <w:szCs w:val="21"/>
              </w:rPr>
            </w:pPr>
            <w:r>
              <w:rPr>
                <w:rFonts w:ascii="宋体" w:hAnsi="宋体"/>
                <w:sz w:val="21"/>
                <w:szCs w:val="21"/>
              </w:rPr>
              <w:t>1.5</w:t>
            </w:r>
            <w:r>
              <w:rPr>
                <w:rFonts w:hint="eastAsia" w:ascii="宋体" w:hAnsi="宋体"/>
                <w:sz w:val="21"/>
                <w:szCs w:val="21"/>
              </w:rPr>
              <w:t>～</w:t>
            </w:r>
            <w:r>
              <w:rPr>
                <w:rFonts w:ascii="宋体" w:hAnsi="宋体"/>
                <w:sz w:val="21"/>
                <w:szCs w:val="21"/>
              </w:rPr>
              <w:t>3.5</w:t>
            </w:r>
          </w:p>
        </w:tc>
        <w:tc>
          <w:tcPr>
            <w:tcW w:w="2841" w:type="dxa"/>
          </w:tcPr>
          <w:p>
            <w:pPr>
              <w:jc w:val="center"/>
              <w:rPr>
                <w:rFonts w:ascii="宋体"/>
                <w:sz w:val="21"/>
                <w:szCs w:val="21"/>
              </w:rPr>
            </w:pPr>
            <w:r>
              <w:rPr>
                <w:rFonts w:hint="eastAsia" w:ascii="宋体" w:hAnsi="宋体"/>
                <w:sz w:val="21"/>
                <w:szCs w:val="21"/>
              </w:rPr>
              <w:t>人次</w:t>
            </w:r>
            <w:r>
              <w:rPr>
                <w:rFonts w:ascii="宋体" w:hAnsi="宋体"/>
                <w:sz w:val="21"/>
                <w:szCs w:val="21"/>
              </w:rPr>
              <w:t>/</w:t>
            </w:r>
            <w:r>
              <w:rPr>
                <w:rFonts w:hint="eastAsia" w:ascii="宋体" w:hAnsi="宋体"/>
                <w:sz w:val="21"/>
                <w:szCs w:val="21"/>
              </w:rPr>
              <w:t>百平方米建筑面积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宋体"/>
                <w:sz w:val="21"/>
                <w:szCs w:val="21"/>
              </w:rPr>
            </w:pPr>
            <w:r>
              <w:rPr>
                <w:rFonts w:hint="eastAsia" w:ascii="宋体" w:hAnsi="宋体"/>
                <w:sz w:val="21"/>
                <w:szCs w:val="21"/>
              </w:rPr>
              <w:t>体育场馆</w:t>
            </w:r>
          </w:p>
        </w:tc>
        <w:tc>
          <w:tcPr>
            <w:tcW w:w="2841" w:type="dxa"/>
          </w:tcPr>
          <w:p>
            <w:pPr>
              <w:jc w:val="center"/>
              <w:rPr>
                <w:rFonts w:ascii="宋体" w:hAnsi="宋体"/>
                <w:sz w:val="21"/>
                <w:szCs w:val="21"/>
              </w:rPr>
            </w:pPr>
            <w:r>
              <w:rPr>
                <w:rFonts w:ascii="宋体" w:hAnsi="宋体"/>
                <w:sz w:val="21"/>
                <w:szCs w:val="21"/>
              </w:rPr>
              <w:t>0.2</w:t>
            </w:r>
            <w:r>
              <w:rPr>
                <w:rFonts w:hint="eastAsia" w:ascii="宋体" w:hAnsi="宋体"/>
                <w:sz w:val="21"/>
                <w:szCs w:val="21"/>
              </w:rPr>
              <w:t>～</w:t>
            </w:r>
            <w:r>
              <w:rPr>
                <w:rFonts w:ascii="宋体" w:hAnsi="宋体"/>
                <w:sz w:val="21"/>
                <w:szCs w:val="21"/>
              </w:rPr>
              <w:t>0.8</w:t>
            </w:r>
          </w:p>
        </w:tc>
        <w:tc>
          <w:tcPr>
            <w:tcW w:w="2841" w:type="dxa"/>
          </w:tcPr>
          <w:p>
            <w:pPr>
              <w:jc w:val="center"/>
              <w:rPr>
                <w:rFonts w:ascii="宋体"/>
                <w:sz w:val="21"/>
                <w:szCs w:val="21"/>
              </w:rPr>
            </w:pPr>
            <w:r>
              <w:rPr>
                <w:rFonts w:hint="eastAsia" w:ascii="宋体" w:hAnsi="宋体"/>
                <w:sz w:val="21"/>
                <w:szCs w:val="21"/>
              </w:rPr>
              <w:t>人次</w:t>
            </w:r>
            <w:r>
              <w:rPr>
                <w:rFonts w:ascii="宋体" w:hAnsi="宋体"/>
                <w:sz w:val="21"/>
                <w:szCs w:val="21"/>
              </w:rPr>
              <w:t>/</w:t>
            </w:r>
            <w:r>
              <w:rPr>
                <w:rFonts w:hint="eastAsia" w:ascii="宋体" w:hAnsi="宋体"/>
                <w:sz w:val="21"/>
                <w:szCs w:val="21"/>
              </w:rPr>
              <w:t>座位</w:t>
            </w:r>
          </w:p>
        </w:tc>
      </w:tr>
    </w:tbl>
    <w:p>
      <w:pPr>
        <w:jc w:val="center"/>
        <w:rPr>
          <w:szCs w:val="21"/>
        </w:rPr>
      </w:pPr>
    </w:p>
    <w:p>
      <w:pPr>
        <w:jc w:val="center"/>
        <w:rPr>
          <w:szCs w:val="21"/>
        </w:rPr>
      </w:pPr>
    </w:p>
    <w:p>
      <w:pPr>
        <w:jc w:val="center"/>
        <w:rPr>
          <w:szCs w:val="21"/>
        </w:rPr>
      </w:pPr>
    </w:p>
    <w:p>
      <w:pPr>
        <w:jc w:val="center"/>
      </w:pPr>
      <w:r>
        <w:rPr>
          <w:rFonts w:hint="eastAsia"/>
          <w:szCs w:val="21"/>
        </w:rPr>
        <w:t>表</w:t>
      </w:r>
      <w:r>
        <w:fldChar w:fldCharType="begin"/>
      </w:r>
      <w:r>
        <w:instrText xml:space="preserve"> REF _Ref453875730 \r \h  \* MERGEFORMAT </w:instrText>
      </w:r>
      <w:r>
        <w:fldChar w:fldCharType="separate"/>
      </w:r>
      <w:r>
        <w:rPr>
          <w:szCs w:val="21"/>
        </w:rPr>
        <w:t>3.2.3.1</w:t>
      </w:r>
      <w:r>
        <w:rPr>
          <w:szCs w:val="21"/>
        </w:rPr>
        <w:fldChar w:fldCharType="end"/>
      </w:r>
      <w:r>
        <w:rPr>
          <w:szCs w:val="21"/>
        </w:rPr>
        <w:t xml:space="preserve">  </w:t>
      </w:r>
      <w:r>
        <w:rPr>
          <w:rFonts w:hint="eastAsia"/>
          <w:szCs w:val="21"/>
        </w:rPr>
        <w:t>广州市城市交通模型</w:t>
      </w:r>
      <w:r>
        <w:rPr>
          <w:rFonts w:hint="eastAsia"/>
        </w:rPr>
        <w:t>不同类别建设项目出行率</w:t>
      </w:r>
    </w:p>
    <w:tbl>
      <w:tblPr>
        <w:tblStyle w:val="21"/>
        <w:tblW w:w="6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57" w:type="dxa"/>
            <w:vAlign w:val="center"/>
          </w:tcPr>
          <w:p>
            <w:pPr>
              <w:jc w:val="center"/>
              <w:rPr>
                <w:rFonts w:ascii="宋体"/>
                <w:sz w:val="21"/>
                <w:szCs w:val="21"/>
              </w:rPr>
            </w:pPr>
            <w:r>
              <w:rPr>
                <w:rFonts w:hint="eastAsia" w:ascii="宋体" w:hAnsi="宋体"/>
                <w:sz w:val="21"/>
                <w:szCs w:val="21"/>
              </w:rPr>
              <w:t>建筑类型</w:t>
            </w:r>
          </w:p>
        </w:tc>
        <w:tc>
          <w:tcPr>
            <w:tcW w:w="3959" w:type="dxa"/>
          </w:tcPr>
          <w:p>
            <w:pPr>
              <w:jc w:val="center"/>
              <w:rPr>
                <w:rFonts w:ascii="宋体"/>
                <w:sz w:val="21"/>
                <w:szCs w:val="21"/>
              </w:rPr>
            </w:pPr>
            <w:r>
              <w:rPr>
                <w:rFonts w:hint="eastAsia" w:ascii="宋体" w:hAnsi="宋体"/>
                <w:sz w:val="21"/>
                <w:szCs w:val="21"/>
              </w:rPr>
              <w:t>高峰产生率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7" w:type="dxa"/>
            <w:vAlign w:val="center"/>
          </w:tcPr>
          <w:p>
            <w:pPr>
              <w:pStyle w:val="19"/>
              <w:spacing w:before="0" w:beforeAutospacing="0" w:after="0" w:afterAutospacing="0" w:line="360" w:lineRule="auto"/>
              <w:jc w:val="center"/>
              <w:rPr>
                <w:rFonts w:cs="Arial"/>
                <w:sz w:val="21"/>
                <w:szCs w:val="21"/>
              </w:rPr>
            </w:pPr>
            <w:r>
              <w:rPr>
                <w:rFonts w:hint="eastAsia" w:cs="Arial"/>
                <w:color w:val="000000"/>
                <w:kern w:val="24"/>
                <w:sz w:val="21"/>
                <w:szCs w:val="21"/>
              </w:rPr>
              <w:t>居住</w:t>
            </w:r>
          </w:p>
        </w:tc>
        <w:tc>
          <w:tcPr>
            <w:tcW w:w="3959" w:type="dxa"/>
            <w:vAlign w:val="center"/>
          </w:tcPr>
          <w:p>
            <w:pPr>
              <w:pStyle w:val="19"/>
              <w:spacing w:before="0" w:beforeAutospacing="0" w:after="0" w:afterAutospacing="0" w:line="360" w:lineRule="auto"/>
              <w:jc w:val="center"/>
              <w:textAlignment w:val="center"/>
              <w:rPr>
                <w:rFonts w:cs="Arial"/>
                <w:sz w:val="21"/>
                <w:szCs w:val="21"/>
              </w:rPr>
            </w:pPr>
            <w:r>
              <w:rPr>
                <w:rFonts w:cs="Arial"/>
                <w:sz w:val="21"/>
                <w:szCs w:val="21"/>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7" w:type="dxa"/>
            <w:vAlign w:val="center"/>
          </w:tcPr>
          <w:p>
            <w:pPr>
              <w:pStyle w:val="19"/>
              <w:spacing w:before="0" w:beforeAutospacing="0" w:after="0" w:afterAutospacing="0" w:line="360" w:lineRule="auto"/>
              <w:jc w:val="center"/>
              <w:rPr>
                <w:rFonts w:cs="Arial"/>
                <w:sz w:val="21"/>
                <w:szCs w:val="21"/>
              </w:rPr>
            </w:pPr>
            <w:r>
              <w:rPr>
                <w:rFonts w:hint="eastAsia" w:cs="Arial"/>
                <w:color w:val="000000"/>
                <w:kern w:val="24"/>
                <w:sz w:val="21"/>
                <w:szCs w:val="21"/>
              </w:rPr>
              <w:t>商务办公</w:t>
            </w:r>
          </w:p>
        </w:tc>
        <w:tc>
          <w:tcPr>
            <w:tcW w:w="3959" w:type="dxa"/>
            <w:vAlign w:val="center"/>
          </w:tcPr>
          <w:p>
            <w:pPr>
              <w:pStyle w:val="19"/>
              <w:spacing w:before="0" w:beforeAutospacing="0" w:after="0" w:afterAutospacing="0" w:line="360" w:lineRule="auto"/>
              <w:jc w:val="center"/>
              <w:textAlignment w:val="center"/>
              <w:rPr>
                <w:rFonts w:cs="Arial"/>
                <w:sz w:val="21"/>
                <w:szCs w:val="21"/>
              </w:rPr>
            </w:pPr>
            <w:r>
              <w:rPr>
                <w:rFonts w:cs="Arial"/>
                <w:sz w:val="21"/>
                <w:szCs w:val="21"/>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7" w:type="dxa"/>
            <w:vAlign w:val="center"/>
          </w:tcPr>
          <w:p>
            <w:pPr>
              <w:pStyle w:val="19"/>
              <w:spacing w:before="0" w:beforeAutospacing="0" w:after="0" w:afterAutospacing="0" w:line="360" w:lineRule="auto"/>
              <w:jc w:val="center"/>
              <w:rPr>
                <w:rFonts w:cs="Arial"/>
                <w:sz w:val="21"/>
                <w:szCs w:val="21"/>
              </w:rPr>
            </w:pPr>
            <w:r>
              <w:rPr>
                <w:rFonts w:hint="eastAsia" w:cs="Arial"/>
                <w:color w:val="000000"/>
                <w:kern w:val="24"/>
                <w:sz w:val="21"/>
                <w:szCs w:val="21"/>
              </w:rPr>
              <w:t>商业服务</w:t>
            </w:r>
          </w:p>
        </w:tc>
        <w:tc>
          <w:tcPr>
            <w:tcW w:w="3959" w:type="dxa"/>
            <w:vAlign w:val="center"/>
          </w:tcPr>
          <w:p>
            <w:pPr>
              <w:pStyle w:val="19"/>
              <w:spacing w:before="0" w:beforeAutospacing="0" w:after="0" w:afterAutospacing="0" w:line="360" w:lineRule="auto"/>
              <w:jc w:val="center"/>
              <w:textAlignment w:val="center"/>
              <w:rPr>
                <w:rFonts w:cs="Arial"/>
                <w:sz w:val="21"/>
                <w:szCs w:val="21"/>
              </w:rPr>
            </w:pPr>
            <w:r>
              <w:rPr>
                <w:rFonts w:cs="Arial"/>
                <w:sz w:val="21"/>
                <w:szCs w:val="21"/>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7" w:type="dxa"/>
            <w:vAlign w:val="center"/>
          </w:tcPr>
          <w:p>
            <w:pPr>
              <w:pStyle w:val="19"/>
              <w:spacing w:before="0" w:beforeAutospacing="0" w:after="0" w:afterAutospacing="0" w:line="360" w:lineRule="auto"/>
              <w:jc w:val="center"/>
              <w:rPr>
                <w:rFonts w:cs="Arial"/>
                <w:sz w:val="21"/>
                <w:szCs w:val="21"/>
              </w:rPr>
            </w:pPr>
            <w:r>
              <w:rPr>
                <w:rFonts w:hint="eastAsia" w:cs="Arial"/>
                <w:color w:val="000000"/>
                <w:kern w:val="24"/>
                <w:sz w:val="21"/>
                <w:szCs w:val="21"/>
              </w:rPr>
              <w:t>教育科研</w:t>
            </w:r>
          </w:p>
        </w:tc>
        <w:tc>
          <w:tcPr>
            <w:tcW w:w="3959" w:type="dxa"/>
            <w:vAlign w:val="center"/>
          </w:tcPr>
          <w:p>
            <w:pPr>
              <w:pStyle w:val="19"/>
              <w:spacing w:before="0" w:beforeAutospacing="0" w:after="0" w:afterAutospacing="0" w:line="360" w:lineRule="auto"/>
              <w:jc w:val="center"/>
              <w:textAlignment w:val="center"/>
              <w:rPr>
                <w:rFonts w:cs="Arial"/>
                <w:sz w:val="21"/>
                <w:szCs w:val="21"/>
              </w:rPr>
            </w:pPr>
            <w:r>
              <w:rPr>
                <w:rFonts w:cs="Arial"/>
                <w:sz w:val="21"/>
                <w:szCs w:val="21"/>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7" w:type="dxa"/>
            <w:vAlign w:val="center"/>
          </w:tcPr>
          <w:p>
            <w:pPr>
              <w:pStyle w:val="19"/>
              <w:spacing w:before="0" w:beforeAutospacing="0" w:after="0" w:afterAutospacing="0" w:line="360" w:lineRule="auto"/>
              <w:jc w:val="center"/>
              <w:rPr>
                <w:rFonts w:cs="Arial"/>
                <w:sz w:val="21"/>
                <w:szCs w:val="21"/>
              </w:rPr>
            </w:pPr>
            <w:r>
              <w:rPr>
                <w:rFonts w:hint="eastAsia" w:cs="Arial"/>
                <w:color w:val="000000"/>
                <w:kern w:val="24"/>
                <w:sz w:val="21"/>
                <w:szCs w:val="21"/>
              </w:rPr>
              <w:t>医疗卫生</w:t>
            </w:r>
          </w:p>
        </w:tc>
        <w:tc>
          <w:tcPr>
            <w:tcW w:w="3959" w:type="dxa"/>
            <w:vAlign w:val="center"/>
          </w:tcPr>
          <w:p>
            <w:pPr>
              <w:pStyle w:val="19"/>
              <w:spacing w:before="0" w:beforeAutospacing="0" w:after="0" w:afterAutospacing="0" w:line="360" w:lineRule="auto"/>
              <w:jc w:val="center"/>
              <w:textAlignment w:val="center"/>
              <w:rPr>
                <w:rFonts w:cs="Arial"/>
                <w:sz w:val="21"/>
                <w:szCs w:val="21"/>
              </w:rPr>
            </w:pPr>
            <w:r>
              <w:rPr>
                <w:rFonts w:cs="Arial"/>
                <w:sz w:val="21"/>
                <w:szCs w:val="21"/>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7" w:type="dxa"/>
            <w:vAlign w:val="center"/>
          </w:tcPr>
          <w:p>
            <w:pPr>
              <w:pStyle w:val="19"/>
              <w:spacing w:before="0" w:beforeAutospacing="0" w:after="0" w:afterAutospacing="0" w:line="360" w:lineRule="auto"/>
              <w:jc w:val="center"/>
              <w:rPr>
                <w:rFonts w:cs="Arial"/>
                <w:sz w:val="21"/>
                <w:szCs w:val="21"/>
              </w:rPr>
            </w:pPr>
            <w:r>
              <w:rPr>
                <w:rFonts w:hint="eastAsia" w:cs="Arial"/>
                <w:color w:val="000000"/>
                <w:kern w:val="24"/>
                <w:sz w:val="21"/>
                <w:szCs w:val="21"/>
              </w:rPr>
              <w:t>文体娱乐</w:t>
            </w:r>
          </w:p>
        </w:tc>
        <w:tc>
          <w:tcPr>
            <w:tcW w:w="3959" w:type="dxa"/>
            <w:vAlign w:val="center"/>
          </w:tcPr>
          <w:p>
            <w:pPr>
              <w:pStyle w:val="19"/>
              <w:spacing w:before="0" w:beforeAutospacing="0" w:after="0" w:afterAutospacing="0" w:line="360" w:lineRule="auto"/>
              <w:jc w:val="center"/>
              <w:textAlignment w:val="center"/>
              <w:rPr>
                <w:rFonts w:cs="Arial"/>
                <w:sz w:val="21"/>
                <w:szCs w:val="21"/>
              </w:rPr>
            </w:pPr>
            <w:r>
              <w:rPr>
                <w:rFonts w:cs="Arial"/>
                <w:sz w:val="21"/>
                <w:szCs w:val="21"/>
              </w:rPr>
              <w:t>1.39</w:t>
            </w:r>
          </w:p>
        </w:tc>
      </w:tr>
    </w:tbl>
    <w:p>
      <w:pPr>
        <w:pStyle w:val="5"/>
        <w:numPr>
          <w:ilvl w:val="0"/>
          <w:numId w:val="0"/>
        </w:numPr>
        <w:ind w:left="851" w:hanging="851"/>
      </w:pPr>
      <w:r>
        <w:fldChar w:fldCharType="begin"/>
      </w:r>
      <w:r>
        <w:instrText xml:space="preserve"> REF _Ref453875730 \r \h  \* MERGEFORMAT </w:instrText>
      </w:r>
      <w:r>
        <w:fldChar w:fldCharType="separate"/>
      </w:r>
      <w:r>
        <w:t>3.2.3.1</w:t>
      </w:r>
      <w:r>
        <w:fldChar w:fldCharType="end"/>
      </w:r>
      <w:r>
        <w:t xml:space="preserve">  </w:t>
      </w:r>
      <w:r>
        <w:rPr>
          <w:rFonts w:hint="eastAsia"/>
        </w:rPr>
        <w:t>对于保障性住房、安居房等户型较小的居住小区，收入水平相对较低，拥车水平也相对较低，其客流出行主要采用公交出行方式，故其建筑规模阈值可适当降低，可依据人均居住面积进行配建阈值调整可参考《广州市公共租赁住房保障制度实施办法（试行）》，保障房单套建筑面积控制在</w:t>
      </w:r>
      <w:r>
        <w:t>60</w:t>
      </w:r>
      <w:r>
        <w:rPr>
          <w:rFonts w:hint="eastAsia"/>
        </w:rPr>
        <w:t>平方米以下，以</w:t>
      </w:r>
      <w:r>
        <w:t>40</w:t>
      </w:r>
      <w:r>
        <w:rPr>
          <w:rFonts w:hint="eastAsia"/>
        </w:rPr>
        <w:t>平方米左右为主；而《广州市社区公共服务设施设置规范（修订）》规定每户</w:t>
      </w:r>
      <w:r>
        <w:t>100</w:t>
      </w:r>
      <w:r>
        <w:rPr>
          <w:rFonts w:hint="eastAsia"/>
        </w:rPr>
        <w:t>㎡的住宅建筑面积作为</w:t>
      </w:r>
      <w:r>
        <w:t>1</w:t>
      </w:r>
      <w:r>
        <w:rPr>
          <w:rFonts w:hint="eastAsia"/>
        </w:rPr>
        <w:t>个标准户，故配建阈值建议降低</w:t>
      </w:r>
      <w:r>
        <w:t>50%</w:t>
      </w:r>
      <w:r>
        <w:rPr>
          <w:rFonts w:hint="eastAsia"/>
        </w:rPr>
        <w:t>。其他类型居住建筑可根据专题研究确定。</w:t>
      </w:r>
    </w:p>
    <w:p>
      <w:pPr>
        <w:ind w:left="851"/>
        <w:rPr>
          <w:color w:val="000000"/>
          <w:szCs w:val="20"/>
        </w:rPr>
      </w:pPr>
      <w:r>
        <w:rPr>
          <w:rFonts w:hint="eastAsia"/>
        </w:rPr>
        <w:t>为了便于操作，利用表</w:t>
      </w:r>
      <w:r>
        <w:fldChar w:fldCharType="begin"/>
      </w:r>
      <w:r>
        <w:instrText xml:space="preserve"> REF _Ref453875730 \r \h </w:instrText>
      </w:r>
      <w:r>
        <w:fldChar w:fldCharType="separate"/>
      </w:r>
      <w:r>
        <w:t>3.2.3.1</w:t>
      </w:r>
      <w:r>
        <w:fldChar w:fldCharType="end"/>
      </w:r>
      <w:r>
        <w:rPr>
          <w:rFonts w:hint="eastAsia"/>
        </w:rPr>
        <w:t>配置阈值测算的新建项目线路需求按“四舍五入”原则取整</w:t>
      </w:r>
      <w:r>
        <w:rPr>
          <w:rFonts w:hint="eastAsia"/>
          <w:color w:val="000000"/>
          <w:szCs w:val="20"/>
        </w:rPr>
        <w:t>。</w:t>
      </w:r>
    </w:p>
    <w:p>
      <w:pPr>
        <w:pStyle w:val="5"/>
        <w:numPr>
          <w:ilvl w:val="0"/>
          <w:numId w:val="0"/>
        </w:numPr>
        <w:ind w:left="851" w:hanging="851"/>
      </w:pPr>
      <w:r>
        <w:fldChar w:fldCharType="begin"/>
      </w:r>
      <w:r>
        <w:instrText xml:space="preserve"> REF _Ref454114256 \r \h  \* MERGEFORMAT </w:instrText>
      </w:r>
      <w:r>
        <w:fldChar w:fldCharType="separate"/>
      </w:r>
      <w:r>
        <w:t>3.2.3.2</w:t>
      </w:r>
      <w:r>
        <w:fldChar w:fldCharType="end"/>
      </w:r>
      <w:r>
        <w:t xml:space="preserve">  </w:t>
      </w:r>
      <w:r>
        <w:rPr>
          <w:rFonts w:hint="eastAsia"/>
        </w:rPr>
        <w:t>混合功能城建项目的公交出行需求与相应的用地开发类型有关，所以根据不同用地的需求总量来确定配建公交站场规模，即需设线路规模。混合功能城建项目需设的线路规模的计算方法如下：</w:t>
      </w:r>
    </w:p>
    <w:p>
      <w:pPr>
        <w:ind w:left="851"/>
      </w:pPr>
      <w:r>
        <w:rPr>
          <w:rFonts w:hint="eastAsia"/>
        </w:rPr>
        <w:t>需配线路数</w:t>
      </w:r>
      <w:r>
        <w:t>=</w:t>
      </w:r>
      <w:r>
        <w:rPr>
          <w:rFonts w:hint="eastAsia"/>
        </w:rPr>
        <w:t>∑（不同类型建筑规模</w:t>
      </w:r>
      <w:r>
        <w:t>/</w:t>
      </w:r>
      <w:r>
        <w:rPr>
          <w:rFonts w:hint="eastAsia"/>
        </w:rPr>
        <w:t>不同类型城建项目需配建公交站场的建筑规模阈值）</w:t>
      </w:r>
    </w:p>
    <w:p>
      <w:pPr>
        <w:pStyle w:val="4"/>
        <w:numPr>
          <w:ilvl w:val="0"/>
          <w:numId w:val="0"/>
        </w:numPr>
        <w:ind w:left="851" w:hanging="851"/>
      </w:pPr>
      <w:r>
        <w:fldChar w:fldCharType="begin"/>
      </w:r>
      <w:r>
        <w:instrText xml:space="preserve"> REF _Ref454114492 \r \h  \* MERGEFORMAT </w:instrText>
      </w:r>
      <w:r>
        <w:fldChar w:fldCharType="separate"/>
      </w:r>
      <w:r>
        <w:t>3.2.4</w:t>
      </w:r>
      <w:r>
        <w:fldChar w:fldCharType="end"/>
      </w:r>
      <w:r>
        <w:t xml:space="preserve">   </w:t>
      </w:r>
      <w:r>
        <w:rPr>
          <w:rFonts w:hint="eastAsia"/>
        </w:rPr>
        <w:t>对于城建项目可配建公交站场的用地规模控制指标，主要考虑不同类型用地的公共配套设施需求因素，分析城建项目可用于配建公交站场的用地条件。</w:t>
      </w:r>
    </w:p>
    <w:p>
      <w:pPr>
        <w:pStyle w:val="5"/>
        <w:numPr>
          <w:ilvl w:val="0"/>
          <w:numId w:val="0"/>
        </w:numPr>
        <w:ind w:left="851" w:hanging="851"/>
      </w:pPr>
      <w:r>
        <w:fldChar w:fldCharType="begin"/>
      </w:r>
      <w:r>
        <w:instrText xml:space="preserve"> REF _Ref454114521 \r \h  \* MERGEFORMAT </w:instrText>
      </w:r>
      <w:r>
        <w:fldChar w:fldCharType="separate"/>
      </w:r>
      <w:r>
        <w:rPr>
          <w:rFonts w:hint="eastAsia"/>
          <w:b/>
          <w:bCs w:val="0"/>
        </w:rPr>
        <w:t>错误！未找到引用源。</w:t>
      </w:r>
      <w:r>
        <w:rPr>
          <w:rFonts w:hint="eastAsia"/>
          <w:b/>
          <w:bCs w:val="0"/>
        </w:rPr>
        <w:fldChar w:fldCharType="end"/>
      </w:r>
      <w:r>
        <w:t xml:space="preserve">  </w:t>
      </w:r>
      <w:r>
        <w:rPr>
          <w:rFonts w:hint="eastAsia"/>
        </w:rPr>
        <w:t>根据《广州市社区公共服务设施设置规范（修订）》，居住小区级的需独立占地的公共服务设施包括：幼儿园（≥</w:t>
      </w:r>
      <w:r>
        <w:t>1800m</w:t>
      </w:r>
      <w:r>
        <w:rPr>
          <w:vertAlign w:val="superscript"/>
        </w:rPr>
        <w:t>2</w:t>
      </w:r>
      <w:r>
        <w:rPr>
          <w:rFonts w:hint="eastAsia"/>
        </w:rPr>
        <w:t>）、居民健身场所（≥</w:t>
      </w:r>
      <w:r>
        <w:t>1200m</w:t>
      </w:r>
      <w:r>
        <w:rPr>
          <w:vertAlign w:val="superscript"/>
        </w:rPr>
        <w:t>2</w:t>
      </w:r>
      <w:r>
        <w:rPr>
          <w:rFonts w:hint="eastAsia"/>
        </w:rPr>
        <w:t>）、小区游园（≥</w:t>
      </w:r>
      <w:r>
        <w:t>5000m</w:t>
      </w:r>
      <w:r>
        <w:rPr>
          <w:vertAlign w:val="superscript"/>
        </w:rPr>
        <w:t>2</w:t>
      </w:r>
      <w:r>
        <w:rPr>
          <w:rFonts w:hint="eastAsia"/>
        </w:rPr>
        <w:t>）、托儿所（≥</w:t>
      </w:r>
      <w:r>
        <w:t>1200m</w:t>
      </w:r>
      <w:r>
        <w:rPr>
          <w:vertAlign w:val="superscript"/>
        </w:rPr>
        <w:t>2</w:t>
      </w:r>
      <w:r>
        <w:rPr>
          <w:rFonts w:hint="eastAsia"/>
        </w:rPr>
        <w:t>）、垃圾收集站（≥</w:t>
      </w:r>
      <w:r>
        <w:t>250m</w:t>
      </w:r>
      <w:r>
        <w:rPr>
          <w:vertAlign w:val="superscript"/>
        </w:rPr>
        <w:t>2</w:t>
      </w:r>
      <w:r>
        <w:rPr>
          <w:rFonts w:hint="eastAsia"/>
        </w:rPr>
        <w:t>）、出租车停靠站点（≥</w:t>
      </w:r>
      <w:r>
        <w:t>300m</w:t>
      </w:r>
      <w:r>
        <w:rPr>
          <w:vertAlign w:val="superscript"/>
        </w:rPr>
        <w:t>2</w:t>
      </w:r>
      <w:r>
        <w:rPr>
          <w:rFonts w:hint="eastAsia"/>
        </w:rPr>
        <w:t>）。配建公交站场最小面积以约</w:t>
      </w:r>
      <w:r>
        <w:t>1200m</w:t>
      </w:r>
      <w:r>
        <w:rPr>
          <w:vertAlign w:val="superscript"/>
        </w:rPr>
        <w:t>2</w:t>
      </w:r>
      <w:r>
        <w:rPr>
          <w:rFonts w:hint="eastAsia"/>
        </w:rPr>
        <w:t>计算。需独立占地设施至少需要用地</w:t>
      </w:r>
      <w:r>
        <w:t>10950m</w:t>
      </w:r>
      <w:r>
        <w:rPr>
          <w:vertAlign w:val="superscript"/>
        </w:rPr>
        <w:t>2</w:t>
      </w:r>
      <w:r>
        <w:rPr>
          <w:rFonts w:hint="eastAsia"/>
        </w:rPr>
        <w:t>。因此，居住用地地块至少需</w:t>
      </w:r>
      <w:r>
        <w:t>10950m</w:t>
      </w:r>
      <w:r>
        <w:rPr>
          <w:vertAlign w:val="superscript"/>
        </w:rPr>
        <w:t>2</w:t>
      </w:r>
      <w:r>
        <w:rPr>
          <w:rFonts w:hint="eastAsia"/>
        </w:rPr>
        <w:t>才可配建公交站场，以</w:t>
      </w:r>
      <w:r>
        <w:t>11000m</w:t>
      </w:r>
      <w:r>
        <w:rPr>
          <w:vertAlign w:val="superscript"/>
        </w:rPr>
        <w:t>2</w:t>
      </w:r>
      <w:r>
        <w:rPr>
          <w:rFonts w:hint="eastAsia"/>
        </w:rPr>
        <w:t>作为控制指标。其中配建公交站场所占用地面积为</w:t>
      </w:r>
      <w:r>
        <w:t>11%</w:t>
      </w:r>
      <w:r>
        <w:rPr>
          <w:rFonts w:hint="eastAsia"/>
        </w:rPr>
        <w:t>。</w:t>
      </w:r>
    </w:p>
    <w:p>
      <w:pPr>
        <w:pStyle w:val="5"/>
        <w:numPr>
          <w:ilvl w:val="0"/>
          <w:numId w:val="0"/>
        </w:numPr>
        <w:ind w:left="851" w:hanging="851"/>
      </w:pPr>
      <w:r>
        <w:fldChar w:fldCharType="begin"/>
      </w:r>
      <w:r>
        <w:instrText xml:space="preserve"> REF _Ref453877449 \r \h  \* MERGEFORMAT </w:instrText>
      </w:r>
      <w:r>
        <w:fldChar w:fldCharType="separate"/>
      </w:r>
      <w:r>
        <w:rPr>
          <w:rFonts w:hint="eastAsia"/>
          <w:b/>
          <w:bCs w:val="0"/>
        </w:rPr>
        <w:t>错误！未找到引用源。</w:t>
      </w:r>
      <w:r>
        <w:rPr>
          <w:rFonts w:hint="eastAsia"/>
          <w:b/>
          <w:bCs w:val="0"/>
        </w:rPr>
        <w:fldChar w:fldCharType="end"/>
      </w:r>
      <w:r>
        <w:t xml:space="preserve">  </w:t>
      </w:r>
      <w:r>
        <w:rPr>
          <w:rFonts w:hint="eastAsia"/>
        </w:rPr>
        <w:t>对于其他类型建筑，相关规范没有对其底层建筑的设施配置提出特别需求，故参考深圳、佛山等城市经验，站场用地规模占项目用地面积的比例建议取</w:t>
      </w:r>
      <w:r>
        <w:t>15%</w:t>
      </w:r>
      <w:r>
        <w:rPr>
          <w:rFonts w:hint="eastAsia"/>
        </w:rPr>
        <w:t>。按公交站场最小占地</w:t>
      </w:r>
      <w:r>
        <w:t>1200 m</w:t>
      </w:r>
      <w:r>
        <w:rPr>
          <w:vertAlign w:val="superscript"/>
        </w:rPr>
        <w:t>2</w:t>
      </w:r>
      <w:r>
        <w:rPr>
          <w:rFonts w:hint="eastAsia"/>
        </w:rPr>
        <w:t>计算，项目用地面积宜大于</w:t>
      </w:r>
      <w:r>
        <w:t>8000m</w:t>
      </w:r>
      <w:r>
        <w:rPr>
          <w:vertAlign w:val="superscript"/>
        </w:rPr>
        <w:t>2</w:t>
      </w:r>
      <w:r>
        <w:rPr>
          <w:rFonts w:hint="eastAsia"/>
        </w:rPr>
        <w:t>。</w:t>
      </w:r>
    </w:p>
    <w:p>
      <w:pPr>
        <w:pStyle w:val="3"/>
      </w:pPr>
      <w:bookmarkStart w:id="158" w:name="_Toc454205001"/>
      <w:bookmarkStart w:id="159" w:name="_Toc454206054"/>
      <w:bookmarkStart w:id="160" w:name="_Toc454207089"/>
      <w:bookmarkStart w:id="161" w:name="_Toc470273292"/>
      <w:bookmarkStart w:id="162" w:name="_Toc470624721"/>
      <w:r>
        <w:rPr>
          <w:rFonts w:hint="eastAsia"/>
        </w:rPr>
        <w:t>站场最小规模控制指标</w:t>
      </w:r>
      <w:bookmarkEnd w:id="158"/>
      <w:bookmarkEnd w:id="159"/>
      <w:bookmarkEnd w:id="160"/>
      <w:bookmarkEnd w:id="161"/>
      <w:bookmarkEnd w:id="162"/>
    </w:p>
    <w:p>
      <w:pPr>
        <w:ind w:left="851"/>
      </w:pPr>
      <w:r>
        <w:rPr>
          <w:rFonts w:hint="eastAsia"/>
        </w:rPr>
        <w:t>由于环绕式配建公交站场用地相对较大，因此以通道式与港湾式的配建公交站场为例计算控制指标。</w:t>
      </w:r>
    </w:p>
    <w:p>
      <w:pPr>
        <w:ind w:left="851"/>
      </w:pPr>
      <w:r>
        <w:rPr>
          <w:rFonts w:hint="eastAsia"/>
        </w:rPr>
        <w:t>配建公交站场的用地面积包括两部分：车辆运行与乘客通行区域的面积和站务用房面积。</w:t>
      </w:r>
    </w:p>
    <w:p>
      <w:pPr>
        <w:ind w:left="851"/>
      </w:pPr>
      <w:r>
        <w:rPr>
          <w:rFonts w:hint="eastAsia"/>
        </w:rPr>
        <w:t>《城市道路公共交通站、场、厂工程设计规范》（</w:t>
      </w:r>
      <w:r>
        <w:t>CJJ/T15 2011</w:t>
      </w:r>
      <w:r>
        <w:rPr>
          <w:rFonts w:hint="eastAsia"/>
        </w:rPr>
        <w:t>）规定，首站办公用地不宜小于</w:t>
      </w:r>
      <w:r>
        <w:t>35m</w:t>
      </w:r>
      <w:r>
        <w:rPr>
          <w:vertAlign w:val="superscript"/>
        </w:rPr>
        <w:t>2</w:t>
      </w:r>
      <w:r>
        <w:rPr>
          <w:rFonts w:hint="eastAsia"/>
        </w:rPr>
        <w:t>，绿化面积不宜低于</w:t>
      </w:r>
      <w:r>
        <w:t>20%</w:t>
      </w:r>
      <w:r>
        <w:rPr>
          <w:rFonts w:hint="eastAsia"/>
        </w:rPr>
        <w:t>。</w:t>
      </w:r>
    </w:p>
    <w:p>
      <w:pPr>
        <w:ind w:left="851"/>
      </w:pPr>
      <w:r>
        <w:rPr>
          <w:rFonts w:hint="eastAsia"/>
        </w:rPr>
        <w:t>港湾式配建公交站场：最小规模为</w:t>
      </w:r>
      <w:r>
        <w:t>790m</w:t>
      </w:r>
      <w:r>
        <w:rPr>
          <w:vertAlign w:val="superscript"/>
        </w:rPr>
        <w:t>2</w:t>
      </w:r>
      <w:r>
        <w:rPr>
          <w:rFonts w:hint="eastAsia"/>
        </w:rPr>
        <w:t>。若增加一条线路，需要额外增加用地</w:t>
      </w:r>
      <w:r>
        <w:t>530m</w:t>
      </w:r>
      <w:r>
        <w:rPr>
          <w:vertAlign w:val="superscript"/>
        </w:rPr>
        <w:t>2</w:t>
      </w:r>
      <w:r>
        <w:rPr>
          <w:rFonts w:hint="eastAsia"/>
        </w:rPr>
        <w:t>。</w:t>
      </w:r>
    </w:p>
    <w:p>
      <w:pPr>
        <w:jc w:val="center"/>
      </w:pPr>
      <w:r>
        <w:pict>
          <v:shape id="_x0000_i1035" o:spt="75" type="#_x0000_t75" style="height:81.75pt;width:327pt;" filled="f" o:preferrelative="t" stroked="f" coordsize="21600,21600">
            <v:path/>
            <v:fill on="f" focussize="0,0"/>
            <v:stroke on="f" joinstyle="miter"/>
            <v:imagedata r:id="rId34" o:title=""/>
            <o:lock v:ext="edit" aspectratio="t"/>
            <w10:wrap type="none"/>
            <w10:anchorlock/>
          </v:shape>
        </w:pict>
      </w:r>
      <w:r>
        <w:t xml:space="preserve"> </w:t>
      </w:r>
      <w:r>
        <w:pict>
          <v:shape id="_x0000_i1036" o:spt="75" type="#_x0000_t75" style="height:98.25pt;width:309.75pt;" filled="f" o:preferrelative="t" stroked="f" coordsize="21600,21600">
            <v:path/>
            <v:fill on="f" focussize="0,0"/>
            <v:stroke on="f" joinstyle="miter"/>
            <v:imagedata r:id="rId35" o:title=""/>
            <o:lock v:ext="edit" aspectratio="t"/>
            <w10:wrap type="none"/>
            <w10:anchorlock/>
          </v:shape>
        </w:pict>
      </w:r>
    </w:p>
    <w:p>
      <w:pPr>
        <w:pStyle w:val="35"/>
        <w:numPr>
          <w:ilvl w:val="0"/>
          <w:numId w:val="6"/>
        </w:numPr>
        <w:ind w:firstLineChars="0"/>
        <w:jc w:val="center"/>
        <w:rPr>
          <w:sz w:val="21"/>
        </w:rPr>
      </w:pPr>
      <w:r>
        <w:rPr>
          <w:rFonts w:hint="eastAsia"/>
          <w:sz w:val="21"/>
        </w:rPr>
        <w:t>港湾式配建公交站场示意图</w:t>
      </w:r>
    </w:p>
    <w:p>
      <w:pPr>
        <w:ind w:left="851"/>
      </w:pPr>
      <w:r>
        <w:rPr>
          <w:rFonts w:hint="eastAsia"/>
        </w:rPr>
        <w:t>通道式配建公交站场：最小规模约</w:t>
      </w:r>
      <w:r>
        <w:t>810m</w:t>
      </w:r>
      <w:r>
        <w:rPr>
          <w:vertAlign w:val="superscript"/>
        </w:rPr>
        <w:t>2</w:t>
      </w:r>
      <w:r>
        <w:rPr>
          <w:rFonts w:hint="eastAsia"/>
        </w:rPr>
        <w:t>。若增加一条线路，需要额外增加用地</w:t>
      </w:r>
      <w:r>
        <w:t>420m</w:t>
      </w:r>
      <w:r>
        <w:rPr>
          <w:vertAlign w:val="superscript"/>
        </w:rPr>
        <w:t>2</w:t>
      </w:r>
      <w:r>
        <w:rPr>
          <w:rFonts w:hint="eastAsia"/>
        </w:rPr>
        <w:t>。</w:t>
      </w:r>
    </w:p>
    <w:p>
      <w:pPr>
        <w:jc w:val="center"/>
      </w:pPr>
      <w:r>
        <w:pict>
          <v:shape id="_x0000_i1037" o:spt="75" type="#_x0000_t75" style="height:186.75pt;width:146.25pt;" filled="f" o:preferrelative="t" stroked="f" coordsize="21600,21600">
            <v:path/>
            <v:fill on="f" focussize="0,0"/>
            <v:stroke on="f" joinstyle="miter"/>
            <v:imagedata r:id="rId36" o:title=""/>
            <o:lock v:ext="edit" aspectratio="t"/>
            <w10:wrap type="none"/>
            <w10:anchorlock/>
          </v:shape>
        </w:pict>
      </w:r>
      <w:r>
        <w:t xml:space="preserve">    </w:t>
      </w:r>
      <w:r>
        <w:pict>
          <v:shape id="_x0000_i1038" o:spt="75" type="#_x0000_t75" style="height:181.5pt;width:198.75pt;" filled="f" o:preferrelative="t" stroked="f" coordsize="21600,21600">
            <v:path/>
            <v:fill on="f" focussize="0,0"/>
            <v:stroke on="f" joinstyle="miter"/>
            <v:imagedata r:id="rId37" o:title=""/>
            <o:lock v:ext="edit" aspectratio="t"/>
            <w10:wrap type="none"/>
            <w10:anchorlock/>
          </v:shape>
        </w:pict>
      </w:r>
    </w:p>
    <w:p>
      <w:pPr>
        <w:pStyle w:val="35"/>
        <w:numPr>
          <w:ilvl w:val="0"/>
          <w:numId w:val="6"/>
        </w:numPr>
        <w:ind w:firstLineChars="0"/>
        <w:jc w:val="center"/>
        <w:rPr>
          <w:sz w:val="21"/>
        </w:rPr>
      </w:pPr>
      <w:r>
        <w:rPr>
          <w:rFonts w:hint="eastAsia"/>
          <w:sz w:val="21"/>
        </w:rPr>
        <w:t>通道式配建公交站场示意图</w:t>
      </w:r>
    </w:p>
    <w:p>
      <w:pPr>
        <w:ind w:left="851"/>
      </w:pPr>
      <w:r>
        <w:rPr>
          <w:rFonts w:hint="eastAsia"/>
        </w:rPr>
        <w:t>在村居地区，公交线路发车频率较低，为避免用地浪费，单条线路可仅设置到车位和发车位，不设候车位及停车坪。最小规模约</w:t>
      </w:r>
      <w:r>
        <w:t>350m</w:t>
      </w:r>
      <w:r>
        <w:rPr>
          <w:vertAlign w:val="superscript"/>
        </w:rPr>
        <w:t>2</w:t>
      </w:r>
      <w:r>
        <w:rPr>
          <w:rFonts w:hint="eastAsia"/>
        </w:rPr>
        <w:t>。</w:t>
      </w:r>
    </w:p>
    <w:p>
      <w:pPr>
        <w:ind w:left="851"/>
        <w:jc w:val="center"/>
      </w:pPr>
      <w:r>
        <w:pict>
          <v:shape id="_x0000_i1039" o:spt="75" type="#_x0000_t75" style="height:59.25pt;width:291pt;" filled="f" o:preferrelative="t" stroked="f" coordsize="21600,21600">
            <v:path/>
            <v:fill on="f" focussize="0,0"/>
            <v:stroke on="f" joinstyle="miter"/>
            <v:imagedata r:id="rId38" o:title=""/>
            <o:lock v:ext="edit" aspectratio="t"/>
            <w10:wrap type="none"/>
            <w10:anchorlock/>
          </v:shape>
        </w:pict>
      </w:r>
    </w:p>
    <w:p>
      <w:pPr>
        <w:pStyle w:val="35"/>
        <w:numPr>
          <w:ilvl w:val="0"/>
          <w:numId w:val="6"/>
        </w:numPr>
        <w:ind w:firstLineChars="0"/>
        <w:jc w:val="center"/>
        <w:rPr>
          <w:sz w:val="21"/>
        </w:rPr>
      </w:pPr>
      <w:r>
        <w:rPr>
          <w:rFonts w:hint="eastAsia"/>
          <w:sz w:val="21"/>
        </w:rPr>
        <w:t>村居地区配建公交站场示意图</w:t>
      </w:r>
    </w:p>
    <w:p>
      <w:pPr>
        <w:ind w:left="851"/>
      </w:pPr>
      <w:r>
        <w:rPr>
          <w:rFonts w:hint="eastAsia"/>
        </w:rPr>
        <w:t>根据《城市道路公共交通站、场、厂工程设计规范（</w:t>
      </w:r>
      <w:r>
        <w:t>CJJ/T15 2011</w:t>
      </w:r>
      <w:r>
        <w:rPr>
          <w:rFonts w:hint="eastAsia"/>
        </w:rPr>
        <w:t>）第</w:t>
      </w:r>
      <w:r>
        <w:t>2.1.3</w:t>
      </w:r>
      <w:r>
        <w:rPr>
          <w:rFonts w:hint="eastAsia"/>
        </w:rPr>
        <w:t>条，每辆标准车首末站用地面积应按</w:t>
      </w:r>
      <w:r>
        <w:t>100 m</w:t>
      </w:r>
      <w:r>
        <w:rPr>
          <w:vertAlign w:val="superscript"/>
        </w:rPr>
        <w:t>2</w:t>
      </w:r>
      <w:r>
        <w:t>~120 m</w:t>
      </w:r>
      <w:r>
        <w:rPr>
          <w:vertAlign w:val="superscript"/>
        </w:rPr>
        <w:t>2</w:t>
      </w:r>
      <w:r>
        <w:rPr>
          <w:rFonts w:hint="eastAsia"/>
        </w:rPr>
        <w:t>计算；当首站不用作夜间停车时，用地面积应按该线路全部运营车辆的</w:t>
      </w:r>
      <w:r>
        <w:t>60%</w:t>
      </w:r>
      <w:r>
        <w:rPr>
          <w:rFonts w:hint="eastAsia"/>
        </w:rPr>
        <w:t>计算。按线路运营车辆为</w:t>
      </w:r>
      <w:r>
        <w:t>12</w:t>
      </w:r>
      <w:r>
        <w:rPr>
          <w:rFonts w:hint="eastAsia"/>
        </w:rPr>
        <w:t>辆测算，首末站的规模应为</w:t>
      </w:r>
      <w:r>
        <w:t>700~840m</w:t>
      </w:r>
      <w:r>
        <w:rPr>
          <w:vertAlign w:val="superscript"/>
        </w:rPr>
        <w:t>2</w:t>
      </w:r>
      <w:r>
        <w:rPr>
          <w:rFonts w:hint="eastAsia"/>
        </w:rPr>
        <w:t>。</w:t>
      </w:r>
    </w:p>
    <w:p>
      <w:pPr>
        <w:ind w:left="851"/>
      </w:pPr>
      <w:r>
        <w:rPr>
          <w:rFonts w:hint="eastAsia"/>
        </w:rPr>
        <w:t>结合国家规范综合考虑，最小规模配建公交站场用地面积控制为</w:t>
      </w:r>
      <w:r>
        <w:t>800m</w:t>
      </w:r>
      <w:r>
        <w:rPr>
          <w:vertAlign w:val="superscript"/>
        </w:rPr>
        <w:t>2</w:t>
      </w:r>
      <w:r>
        <w:rPr>
          <w:rFonts w:hint="eastAsia"/>
        </w:rPr>
        <w:t>。</w:t>
      </w:r>
    </w:p>
    <w:p>
      <w:pPr>
        <w:ind w:left="851"/>
      </w:pPr>
      <w:r>
        <w:rPr>
          <w:rFonts w:hint="eastAsia"/>
        </w:rPr>
        <w:t>在用地紧张的一类区，可建设最小规模配建公交站场，其他地区不推荐；用地较为宽松的外围片区，可适当提高配建面积控制标准，宜提前建设公交充电设施，为未来公交发展预留空间，本标准参考《广州市社区公共服务设施设置规范（修订）》要求，建议最小规模为</w:t>
      </w:r>
      <w:r>
        <w:t>1200 m</w:t>
      </w:r>
      <w:r>
        <w:rPr>
          <w:vertAlign w:val="superscript"/>
        </w:rPr>
        <w:t>2</w:t>
      </w:r>
      <w:r>
        <w:rPr>
          <w:rFonts w:hint="eastAsia"/>
        </w:rPr>
        <w:t>；若确有配建公交中途站的必要，则开发商需在地块内部道路或建筑一层，根据政府要求，配建公交中途站。</w:t>
      </w:r>
    </w:p>
    <w:p>
      <w:pPr>
        <w:ind w:left="851"/>
        <w:jc w:val="center"/>
      </w:pPr>
      <w:r>
        <w:pict>
          <v:shape id="_x0000_i1040" o:spt="75" type="#_x0000_t75" style="height:84.75pt;width:295.5pt;" filled="f" o:preferrelative="t" stroked="f" coordsize="21600,21600">
            <v:path/>
            <v:fill on="f" focussize="0,0"/>
            <v:stroke on="f" joinstyle="miter"/>
            <v:imagedata r:id="rId39" o:title=""/>
            <o:lock v:ext="edit" aspectratio="t"/>
            <w10:wrap type="none"/>
            <w10:anchorlock/>
          </v:shape>
        </w:pict>
      </w:r>
    </w:p>
    <w:p>
      <w:pPr>
        <w:ind w:left="851"/>
        <w:jc w:val="center"/>
      </w:pPr>
      <w:r>
        <w:pict>
          <v:shape id="_x0000_i1041" o:spt="75" type="#_x0000_t75" style="height:99.75pt;width:301.5pt;" filled="f" o:preferrelative="t" stroked="f" coordsize="21600,21600">
            <v:path/>
            <v:fill on="f" focussize="0,0"/>
            <v:stroke on="f" joinstyle="miter"/>
            <v:imagedata r:id="rId40" o:title=""/>
            <o:lock v:ext="edit" aspectratio="t"/>
            <w10:wrap type="none"/>
            <w10:anchorlock/>
          </v:shape>
        </w:pict>
      </w:r>
    </w:p>
    <w:p>
      <w:pPr>
        <w:pStyle w:val="35"/>
        <w:numPr>
          <w:ilvl w:val="0"/>
          <w:numId w:val="6"/>
        </w:numPr>
        <w:ind w:firstLineChars="0"/>
        <w:jc w:val="center"/>
        <w:rPr>
          <w:sz w:val="21"/>
        </w:rPr>
      </w:pPr>
      <w:r>
        <w:rPr>
          <w:rFonts w:hint="eastAsia"/>
          <w:sz w:val="21"/>
        </w:rPr>
        <w:t>含专用充电车位（色块区域）的配建公交站场示意图</w:t>
      </w:r>
    </w:p>
    <w:p>
      <w:pPr>
        <w:pStyle w:val="2"/>
      </w:pPr>
      <w:bookmarkStart w:id="163" w:name="_Toc454206055"/>
      <w:bookmarkStart w:id="164" w:name="_Toc470273293"/>
      <w:bookmarkStart w:id="165" w:name="_Toc454207090"/>
      <w:bookmarkStart w:id="166" w:name="_Toc454205002"/>
      <w:bookmarkStart w:id="167" w:name="_Toc470624722"/>
      <w:r>
        <w:rPr>
          <w:rFonts w:hint="eastAsia"/>
        </w:rPr>
        <w:t>设计指引</w:t>
      </w:r>
      <w:bookmarkEnd w:id="163"/>
      <w:bookmarkEnd w:id="164"/>
      <w:bookmarkEnd w:id="165"/>
      <w:bookmarkEnd w:id="166"/>
      <w:bookmarkEnd w:id="167"/>
    </w:p>
    <w:p>
      <w:pPr>
        <w:pStyle w:val="3"/>
      </w:pPr>
      <w:bookmarkStart w:id="168" w:name="_Toc470624723"/>
      <w:r>
        <w:rPr>
          <w:rFonts w:hint="eastAsia"/>
        </w:rPr>
        <w:t>通则</w:t>
      </w:r>
      <w:bookmarkEnd w:id="168"/>
    </w:p>
    <w:p>
      <w:pPr>
        <w:pStyle w:val="4"/>
      </w:pPr>
      <w:r>
        <w:rPr>
          <w:rFonts w:hint="eastAsia"/>
        </w:rPr>
        <w:t>站内设施一般要求是要符合站场的功能定位，满足使用要求，其次是要确保站场内部的车辆和行人安全，交通流线有序；第三是要从人性化角度出发，方便乘客和司机的使用；最后是要确保集约用地。</w:t>
      </w:r>
    </w:p>
    <w:p>
      <w:pPr>
        <w:pStyle w:val="4"/>
      </w:pPr>
      <w:r>
        <w:rPr>
          <w:rFonts w:hint="eastAsia"/>
        </w:rPr>
        <w:t>站场建筑作为地块的组成部分，为确保景观和谐，要求外观与主体建筑、周围的环境和城市景观相协调，满足相关的建筑设计规范。</w:t>
      </w:r>
    </w:p>
    <w:p>
      <w:pPr>
        <w:pStyle w:val="3"/>
      </w:pPr>
      <w:bookmarkStart w:id="169" w:name="_Toc470624724"/>
      <w:bookmarkStart w:id="170" w:name="_Toc454205003"/>
      <w:bookmarkStart w:id="171" w:name="_Toc454207091"/>
      <w:bookmarkStart w:id="172" w:name="_Toc470273294"/>
      <w:bookmarkStart w:id="173" w:name="_Toc454206056"/>
      <w:r>
        <w:rPr>
          <w:rFonts w:hint="eastAsia"/>
        </w:rPr>
        <w:t>平面布局</w:t>
      </w:r>
      <w:bookmarkEnd w:id="169"/>
      <w:bookmarkEnd w:id="170"/>
      <w:bookmarkEnd w:id="171"/>
      <w:bookmarkEnd w:id="172"/>
      <w:bookmarkEnd w:id="173"/>
    </w:p>
    <w:p>
      <w:pPr>
        <w:pStyle w:val="4"/>
      </w:pPr>
      <w:r>
        <w:rPr>
          <w:rFonts w:hint="eastAsia"/>
        </w:rPr>
        <w:t>参考通则的要求，平面布局安全有序功能分区、人车分离和紧凑便捷等布局原则。</w:t>
      </w:r>
    </w:p>
    <w:p>
      <w:pPr>
        <w:pStyle w:val="4"/>
      </w:pPr>
      <w:r>
        <w:rPr>
          <w:rFonts w:hint="eastAsia"/>
        </w:rPr>
        <w:t>根据城市规划的一般要求，配建公交站场的设计也应做到远近结合、既能满足近期使用要求，又能兼顾长远发展。</w:t>
      </w:r>
    </w:p>
    <w:p>
      <w:pPr>
        <w:pStyle w:val="4"/>
      </w:pPr>
      <w:r>
        <w:rPr>
          <w:rFonts w:hint="eastAsia"/>
        </w:rPr>
        <w:t>根据最小规模的匡算过程，直列式站场适合建设的地块长度宜大于</w:t>
      </w:r>
      <w:r>
        <w:t>80</w:t>
      </w:r>
      <w:r>
        <w:rPr>
          <w:rFonts w:hint="eastAsia"/>
        </w:rPr>
        <w:t>米，而通道式或回车道型式的站场适合在边长大于</w:t>
      </w:r>
      <w:r>
        <w:t>50</w:t>
      </w:r>
      <w:r>
        <w:rPr>
          <w:rFonts w:hint="eastAsia"/>
        </w:rPr>
        <w:t>米的地块上。</w:t>
      </w:r>
    </w:p>
    <w:p>
      <w:pPr>
        <w:pStyle w:val="4"/>
      </w:pPr>
      <w:r>
        <w:rPr>
          <w:rFonts w:hint="eastAsia"/>
        </w:rPr>
        <w:t>站内必须具备车辆运行区域、乘客综合服务区域、调度管理和后勤保障区域，其他公共配套设施宜根据实际需求以及周边用地、公共设施布局情况，结合上盖建筑的设计功能，酌情设置。</w:t>
      </w:r>
    </w:p>
    <w:p>
      <w:pPr>
        <w:pStyle w:val="3"/>
      </w:pPr>
      <w:bookmarkStart w:id="174" w:name="_Toc454205004"/>
      <w:bookmarkStart w:id="175" w:name="_Toc454207092"/>
      <w:bookmarkStart w:id="176" w:name="_Toc454206057"/>
      <w:bookmarkStart w:id="177" w:name="_Toc470624725"/>
      <w:bookmarkStart w:id="178" w:name="_Toc470273295"/>
      <w:r>
        <w:rPr>
          <w:rFonts w:hint="eastAsia"/>
        </w:rPr>
        <w:t>设计内容</w:t>
      </w:r>
      <w:bookmarkEnd w:id="174"/>
      <w:bookmarkEnd w:id="175"/>
      <w:bookmarkEnd w:id="176"/>
      <w:bookmarkEnd w:id="177"/>
      <w:bookmarkEnd w:id="178"/>
    </w:p>
    <w:p>
      <w:pPr>
        <w:pStyle w:val="4"/>
        <w:numPr>
          <w:ilvl w:val="0"/>
          <w:numId w:val="0"/>
        </w:numPr>
        <w:ind w:left="851" w:hanging="851"/>
      </w:pPr>
      <w:r>
        <w:fldChar w:fldCharType="begin"/>
      </w:r>
      <w:r>
        <w:instrText xml:space="preserve"> REF _Ref453924941 \r \h  \* MERGEFORMAT </w:instrText>
      </w:r>
      <w:r>
        <w:fldChar w:fldCharType="separate"/>
      </w:r>
      <w:r>
        <w:t>4.3.1</w:t>
      </w:r>
      <w:r>
        <w:fldChar w:fldCharType="end"/>
      </w:r>
      <w:r>
        <w:t xml:space="preserve">   </w:t>
      </w:r>
      <w:r>
        <w:rPr>
          <w:rFonts w:hint="eastAsia"/>
        </w:rPr>
        <w:t>参考《城市道路公共交通站、场、厂工程设计规范》（</w:t>
      </w:r>
      <w:r>
        <w:t>CJJ/T15-2011</w:t>
      </w:r>
      <w:r>
        <w:rPr>
          <w:rFonts w:hint="eastAsia"/>
        </w:rPr>
        <w:t>）第</w:t>
      </w:r>
      <w:r>
        <w:t xml:space="preserve"> 2.1.7</w:t>
      </w:r>
      <w:r>
        <w:rPr>
          <w:rFonts w:hint="eastAsia"/>
        </w:rPr>
        <w:t>条，结合配建公交站场的需求，确定配建公交站场的设计内容。</w:t>
      </w:r>
    </w:p>
    <w:p>
      <w:pPr>
        <w:pStyle w:val="3"/>
      </w:pPr>
      <w:bookmarkStart w:id="179" w:name="_Toc454206058"/>
      <w:bookmarkStart w:id="180" w:name="_Toc470273296"/>
      <w:bookmarkStart w:id="181" w:name="_Toc454205005"/>
      <w:bookmarkStart w:id="182" w:name="_Toc470624726"/>
      <w:bookmarkStart w:id="183" w:name="_Toc454207093"/>
      <w:r>
        <w:rPr>
          <w:rFonts w:hint="eastAsia"/>
        </w:rPr>
        <w:t>功能设施设计要求</w:t>
      </w:r>
      <w:bookmarkEnd w:id="179"/>
      <w:bookmarkEnd w:id="180"/>
      <w:bookmarkEnd w:id="181"/>
      <w:bookmarkEnd w:id="182"/>
      <w:bookmarkEnd w:id="183"/>
    </w:p>
    <w:p>
      <w:pPr>
        <w:pStyle w:val="4"/>
      </w:pPr>
      <w:r>
        <w:rPr>
          <w:rFonts w:hint="eastAsia"/>
        </w:rPr>
        <w:t>回车道的平面、横断面、纵断面等其他方面的设计可参照《城市道路工程设计规范》（</w:t>
      </w:r>
      <w:r>
        <w:t>CJJ37-2012</w:t>
      </w:r>
      <w:r>
        <w:rPr>
          <w:rFonts w:hint="eastAsia"/>
        </w:rPr>
        <w:t>）、《城市道路公共交通站、场、厂工程设计规范》（</w:t>
      </w:r>
      <w:r>
        <w:t>CJJ/T15-2011</w:t>
      </w:r>
      <w:r>
        <w:rPr>
          <w:rFonts w:hint="eastAsia"/>
        </w:rPr>
        <w:t>）的有关规定或要求。</w:t>
      </w:r>
    </w:p>
    <w:p>
      <w:pPr>
        <w:ind w:left="851"/>
      </w:pPr>
      <w:r>
        <w:rPr>
          <w:rFonts w:hint="eastAsia"/>
        </w:rPr>
        <w:t>在用地紧张的地方，规模较大的公交站场遭遇的落实难度也较大，为此可通过利用就近街道作为回车道，以减少配建公交站场对新建项目的用地需求，但必须满足不影响就近街道交通的正常通行为前提。</w:t>
      </w:r>
    </w:p>
    <w:p>
      <w:pPr>
        <w:pStyle w:val="4"/>
      </w:pPr>
      <w:r>
        <w:rPr>
          <w:rFonts w:hint="eastAsia"/>
        </w:rPr>
        <w:t>到发车位与线路运营参数密切相关，主要依据车辆在首末站的停留时间来设置到发车位的数量。参考香港经验（《香港运输策划及设计手册》），停留时间是线路运行时间的函数，计算方法为：</w:t>
      </w:r>
    </w:p>
    <w:p>
      <w:pPr>
        <w:ind w:left="851"/>
      </w:pPr>
      <w:r>
        <w:rPr>
          <w:rFonts w:hint="eastAsia"/>
        </w:rPr>
        <w:t>停留时间</w:t>
      </w:r>
      <w:r>
        <w:t>=</w:t>
      </w:r>
      <w:r>
        <w:rPr>
          <w:rFonts w:hint="eastAsia"/>
        </w:rPr>
        <w:t>线路高峰配车数×高峰发车间隔</w:t>
      </w:r>
      <w:r>
        <w:t>-</w:t>
      </w:r>
      <w:r>
        <w:rPr>
          <w:rFonts w:hint="eastAsia"/>
        </w:rPr>
        <w:t>运行时间</w:t>
      </w:r>
    </w:p>
    <w:p>
      <w:pPr>
        <w:ind w:left="851"/>
      </w:pPr>
      <w:r>
        <w:rPr>
          <w:rFonts w:hint="eastAsia"/>
        </w:rPr>
        <w:t>其中：线路单向高峰配车数为</w:t>
      </w:r>
      <w:r>
        <w:t>12</w:t>
      </w:r>
      <w:r>
        <w:rPr>
          <w:rFonts w:hint="eastAsia"/>
        </w:rPr>
        <w:t>辆，高峰发车间隔</w:t>
      </w:r>
      <w:r>
        <w:t>5</w:t>
      </w:r>
      <w:r>
        <w:rPr>
          <w:rFonts w:hint="eastAsia"/>
        </w:rPr>
        <w:t>分钟，线路单向运行时间为</w:t>
      </w:r>
      <w:r>
        <w:t>15</w:t>
      </w:r>
      <w:r>
        <w:rPr>
          <w:rFonts w:hint="eastAsia"/>
        </w:rPr>
        <w:t>分钟。所以需要</w:t>
      </w:r>
      <w:r>
        <w:t>3</w:t>
      </w:r>
      <w:r>
        <w:rPr>
          <w:rFonts w:hint="eastAsia"/>
        </w:rPr>
        <w:t>个到发车位。</w:t>
      </w:r>
    </w:p>
    <w:p>
      <w:pPr>
        <w:ind w:left="851"/>
      </w:pPr>
      <w:r>
        <w:rPr>
          <w:rFonts w:hint="eastAsia"/>
        </w:rPr>
        <w:t>本条的编制，主要参考香港、北京、深圳、佛山等城市的经验（《香港运输策划及设计手册》、《北京市公共汽电车站场功能设计要求》</w:t>
      </w:r>
      <w:r>
        <w:t>DB11/T715-2010</w:t>
      </w:r>
      <w:r>
        <w:rPr>
          <w:rFonts w:hint="eastAsia"/>
        </w:rPr>
        <w:t>）、《深圳市大型建筑公交站场配建指引》、《佛山市公交站场配建技术指引》，给出到发车位的基本形式和尺寸。</w:t>
      </w:r>
    </w:p>
    <w:p>
      <w:pPr>
        <w:pStyle w:val="4"/>
      </w:pPr>
      <w:r>
        <w:rPr>
          <w:rFonts w:hint="eastAsia"/>
        </w:rPr>
        <w:t>出于节约资源能源、减少空驶里程和方便运营调度管理需要，远离停保场、综合车场或有较大早班客运需求或高峰时段换乘客流较大的公交站场，应设置供应停运车辆停放的停车坪。</w:t>
      </w:r>
    </w:p>
    <w:p>
      <w:pPr>
        <w:ind w:left="851"/>
      </w:pPr>
      <w:r>
        <w:rPr>
          <w:rFonts w:hint="eastAsia"/>
        </w:rPr>
        <w:t>停车坪及停车位的相关设计标准参照《城市道路工程设计规范》（</w:t>
      </w:r>
      <w:r>
        <w:t>CJJ37-2012</w:t>
      </w:r>
      <w:r>
        <w:rPr>
          <w:rFonts w:hint="eastAsia"/>
        </w:rPr>
        <w:t>）、《汽车库、修车库、停车场设计防火规范》（</w:t>
      </w:r>
      <w:r>
        <w:t>GB50067-2014</w:t>
      </w:r>
      <w:r>
        <w:rPr>
          <w:rFonts w:hint="eastAsia"/>
        </w:rPr>
        <w:t>）、《汽车库建筑设计规范》</w:t>
      </w:r>
      <w:r>
        <w:t>JGJ100-98</w:t>
      </w:r>
      <w:r>
        <w:rPr>
          <w:rFonts w:hint="eastAsia"/>
        </w:rPr>
        <w:t>的规定。</w:t>
      </w:r>
    </w:p>
    <w:p>
      <w:pPr>
        <w:ind w:left="851"/>
      </w:pPr>
      <w:r>
        <w:rPr>
          <w:rFonts w:hint="eastAsia"/>
        </w:rPr>
        <w:t>相关标志参照《城市公共交通标志》</w:t>
      </w:r>
      <w:r>
        <w:t>GB/T5845.4-2008</w:t>
      </w:r>
      <w:r>
        <w:rPr>
          <w:rFonts w:hint="eastAsia"/>
        </w:rPr>
        <w:t>、《道路交通标志和标线》</w:t>
      </w:r>
      <w:r>
        <w:t>GB5768-2009</w:t>
      </w:r>
      <w:r>
        <w:rPr>
          <w:rFonts w:hint="eastAsia"/>
        </w:rPr>
        <w:t>的相关规定。</w:t>
      </w:r>
    </w:p>
    <w:p>
      <w:pPr>
        <w:pStyle w:val="4"/>
      </w:pPr>
      <w:r>
        <w:rPr>
          <w:rFonts w:hint="eastAsia"/>
        </w:rPr>
        <w:t>出入口设计参照《城市道路工程设计规范》（</w:t>
      </w:r>
      <w:r>
        <w:t>CJJ37-2012</w:t>
      </w:r>
      <w:r>
        <w:rPr>
          <w:rFonts w:hint="eastAsia"/>
        </w:rPr>
        <w:t>）、《广州市社区公共服务设施设置规范（修订）》的相关规定。</w:t>
      </w:r>
    </w:p>
    <w:p>
      <w:pPr>
        <w:ind w:left="851"/>
      </w:pPr>
      <w:r>
        <w:rPr>
          <w:rFonts w:hint="eastAsia"/>
        </w:rPr>
        <w:t>相关标志参照《城市公共交通标志》</w:t>
      </w:r>
      <w:r>
        <w:t>GB/T5845.4-2008</w:t>
      </w:r>
      <w:r>
        <w:rPr>
          <w:rFonts w:hint="eastAsia"/>
        </w:rPr>
        <w:t>、《道路交通标志和标线》</w:t>
      </w:r>
      <w:r>
        <w:t>GB5768-2009</w:t>
      </w:r>
      <w:r>
        <w:rPr>
          <w:rFonts w:hint="eastAsia"/>
        </w:rPr>
        <w:t>的相关规定。</w:t>
      </w:r>
    </w:p>
    <w:p>
      <w:pPr>
        <w:pStyle w:val="4"/>
      </w:pPr>
      <w:r>
        <w:rPr>
          <w:rFonts w:hint="eastAsia"/>
        </w:rPr>
        <w:t>站台应符合《城市道路公共交通站、场、厂工程设计规范》（</w:t>
      </w:r>
      <w:r>
        <w:t>CJJ/T15-2011</w:t>
      </w:r>
      <w:r>
        <w:rPr>
          <w:rFonts w:hint="eastAsia"/>
        </w:rPr>
        <w:t>）的要求。</w:t>
      </w:r>
    </w:p>
    <w:p>
      <w:pPr>
        <w:ind w:left="851"/>
      </w:pPr>
      <w:r>
        <w:rPr>
          <w:rFonts w:hint="eastAsia"/>
        </w:rPr>
        <w:t>配建公交站场的基本设计理念是：站场是一个向乘客开发的公共空间。即：主体建筑的乘客可通过电梯等行人设施到达站内候车与乘车，建筑外的乘客可通过行人通道等行人设施到站内乘候车，以提高公交的可达程度与服务水平。</w:t>
      </w:r>
    </w:p>
    <w:p>
      <w:pPr>
        <w:ind w:left="851"/>
      </w:pPr>
      <w:r>
        <w:rPr>
          <w:rFonts w:hint="eastAsia"/>
        </w:rPr>
        <w:t>楼梯、电动扶梯及电梯设计应符合《民用建筑设计通则》（</w:t>
      </w:r>
      <w:r>
        <w:t>GB50352-2005</w:t>
      </w:r>
      <w:r>
        <w:rPr>
          <w:rFonts w:hint="eastAsia"/>
        </w:rPr>
        <w:t>）的规定。</w:t>
      </w:r>
    </w:p>
    <w:p>
      <w:pPr>
        <w:ind w:left="851"/>
      </w:pPr>
      <w:r>
        <w:rPr>
          <w:rFonts w:hint="eastAsia"/>
        </w:rPr>
        <w:t>此外，本进一步提高公交出行品质，建议在换乘枢纽增设公交综合服务中心，在枢纽候车站台增加空调、风扇等降温设施，提高对乘客综合服务水平。</w:t>
      </w:r>
    </w:p>
    <w:p>
      <w:pPr>
        <w:pStyle w:val="4"/>
      </w:pPr>
      <w:r>
        <w:rPr>
          <w:rFonts w:hint="eastAsia"/>
        </w:rPr>
        <w:t>候车设施应符合《城市道路公共交通站、场、厂工程设计规范》（</w:t>
      </w:r>
      <w:r>
        <w:t>CJJ/T15-2011</w:t>
      </w:r>
      <w:r>
        <w:rPr>
          <w:rFonts w:hint="eastAsia"/>
        </w:rPr>
        <w:t>）的要求。</w:t>
      </w:r>
    </w:p>
    <w:p>
      <w:pPr>
        <w:snapToGrid w:val="0"/>
        <w:spacing w:after="120"/>
        <w:ind w:left="851"/>
      </w:pPr>
      <w:r>
        <w:rPr>
          <w:rFonts w:hint="eastAsia"/>
        </w:rPr>
        <w:t>站牌设计参阅《城市公共交通标志</w:t>
      </w:r>
      <w:r>
        <w:t xml:space="preserve"> </w:t>
      </w:r>
      <w:r>
        <w:rPr>
          <w:rFonts w:hint="eastAsia"/>
        </w:rPr>
        <w:t>第</w:t>
      </w:r>
      <w:r>
        <w:t>3</w:t>
      </w:r>
      <w:r>
        <w:rPr>
          <w:rFonts w:hint="eastAsia"/>
        </w:rPr>
        <w:t>部分：公共汽电车站牌和路牌》（</w:t>
      </w:r>
      <w:r>
        <w:t>GB/T5845.3</w:t>
      </w:r>
      <w:r>
        <w:rPr>
          <w:rFonts w:hint="eastAsia"/>
        </w:rPr>
        <w:t>）的详细规定。</w:t>
      </w:r>
    </w:p>
    <w:p>
      <w:pPr>
        <w:snapToGrid w:val="0"/>
        <w:spacing w:after="120"/>
        <w:ind w:left="851"/>
      </w:pPr>
      <w:r>
        <w:rPr>
          <w:rFonts w:hint="eastAsia"/>
        </w:rPr>
        <w:t>照明应符合现行行业标准《城市道路照明设计标准》</w:t>
      </w:r>
      <w:r>
        <w:t>CJJ45-2015</w:t>
      </w:r>
      <w:r>
        <w:rPr>
          <w:rFonts w:hint="eastAsia"/>
        </w:rPr>
        <w:t>的规定。</w:t>
      </w:r>
    </w:p>
    <w:p>
      <w:pPr>
        <w:snapToGrid w:val="0"/>
        <w:spacing w:after="120"/>
        <w:ind w:left="851"/>
      </w:pPr>
      <w:r>
        <w:rPr>
          <w:rFonts w:hint="eastAsia"/>
        </w:rPr>
        <w:t>公共信息导向系统应符合现行国家标准《公共信息导向系统设置原则与要求第</w:t>
      </w:r>
      <w:r>
        <w:t>4</w:t>
      </w:r>
      <w:r>
        <w:rPr>
          <w:rFonts w:hint="eastAsia"/>
        </w:rPr>
        <w:t>部分：公共交通车站》</w:t>
      </w:r>
      <w:r>
        <w:t>GB/T 15566.4</w:t>
      </w:r>
      <w:r>
        <w:rPr>
          <w:rFonts w:hint="eastAsia"/>
        </w:rPr>
        <w:t>的规定。</w:t>
      </w:r>
    </w:p>
    <w:p>
      <w:pPr>
        <w:pStyle w:val="4"/>
        <w:keepNext w:val="0"/>
      </w:pPr>
      <w:r>
        <w:rPr>
          <w:rFonts w:hint="eastAsia"/>
        </w:rPr>
        <w:t>行人通道设计标准可参照《深圳市民用建筑配建公交站场设计导则》的相关规定。</w:t>
      </w:r>
    </w:p>
    <w:p>
      <w:pPr>
        <w:pStyle w:val="4"/>
        <w:keepNext w:val="0"/>
      </w:pPr>
      <w:r>
        <w:rPr>
          <w:rFonts w:hint="eastAsia"/>
        </w:rPr>
        <w:t>无障碍设施参照《无障碍设计规范》（</w:t>
      </w:r>
      <w:r>
        <w:t>GB 50763-2012</w:t>
      </w:r>
      <w:r>
        <w:rPr>
          <w:rFonts w:hint="eastAsia"/>
        </w:rPr>
        <w:t>）的规定。</w:t>
      </w:r>
    </w:p>
    <w:p>
      <w:pPr>
        <w:pStyle w:val="4"/>
        <w:keepNext w:val="0"/>
      </w:pPr>
      <w:r>
        <w:rPr>
          <w:rFonts w:hint="eastAsia"/>
        </w:rPr>
        <w:t>站务用房应符合《城市道路公共交通站、场、厂工程设计规范》（</w:t>
      </w:r>
      <w:r>
        <w:t>CJJ/T15-2011</w:t>
      </w:r>
      <w:r>
        <w:rPr>
          <w:rFonts w:hint="eastAsia"/>
        </w:rPr>
        <w:t>）、《公共建筑节能设计标准》</w:t>
      </w:r>
      <w:r>
        <w:t>GB50189-2015</w:t>
      </w:r>
      <w:r>
        <w:rPr>
          <w:rFonts w:hint="eastAsia"/>
        </w:rPr>
        <w:t>的要求。首末站的办公用地不宜小于</w:t>
      </w:r>
      <w:r>
        <w:t>35</w:t>
      </w:r>
      <w:r>
        <w:rPr>
          <w:rFonts w:hint="eastAsia"/>
        </w:rPr>
        <w:t>平方米，其中调度室不小于</w:t>
      </w:r>
      <w:r>
        <w:t>15</w:t>
      </w:r>
      <w:r>
        <w:rPr>
          <w:rFonts w:hint="eastAsia"/>
        </w:rPr>
        <w:t>平方米；枢纽站的办公用地不宜小于</w:t>
      </w:r>
      <w:r>
        <w:t>75</w:t>
      </w:r>
      <w:r>
        <w:rPr>
          <w:rFonts w:hint="eastAsia"/>
        </w:rPr>
        <w:t>平方米，其中调度室不小于</w:t>
      </w:r>
      <w:r>
        <w:t>30</w:t>
      </w:r>
      <w:r>
        <w:rPr>
          <w:rFonts w:hint="eastAsia"/>
        </w:rPr>
        <w:t>平方米。上海规定首末站、枢纽站管理用房建筑规模宜大于</w:t>
      </w:r>
      <w:r>
        <w:t>50</w:t>
      </w:r>
      <w:r>
        <w:rPr>
          <w:rFonts w:hint="eastAsia"/>
        </w:rPr>
        <w:t>平方米。结合其他城市的经验，站务用房必须配置调度室，面积不小于</w:t>
      </w:r>
      <w:r>
        <w:t>20</w:t>
      </w:r>
      <w:r>
        <w:rPr>
          <w:rFonts w:hint="eastAsia"/>
        </w:rPr>
        <w:t>平方米；其他配套设施（监控室、休息室等）可依据实际需求和场地限制条件来配置。</w:t>
      </w:r>
    </w:p>
    <w:p>
      <w:pPr>
        <w:pStyle w:val="4"/>
        <w:keepNext w:val="0"/>
      </w:pPr>
      <w:r>
        <w:rPr>
          <w:rFonts w:hint="eastAsia"/>
        </w:rPr>
        <w:t>充电设施应符合《电动汽车传导充电系统</w:t>
      </w:r>
      <w:r>
        <w:t xml:space="preserve"> </w:t>
      </w:r>
      <w:r>
        <w:rPr>
          <w:rFonts w:hint="eastAsia"/>
        </w:rPr>
        <w:t>第</w:t>
      </w:r>
      <w:r>
        <w:t>1</w:t>
      </w:r>
      <w:r>
        <w:rPr>
          <w:rFonts w:hint="eastAsia"/>
        </w:rPr>
        <w:t>部分：通用要求》（</w:t>
      </w:r>
      <w:r>
        <w:t>GB/T 18487.1-2015</w:t>
      </w:r>
      <w:r>
        <w:rPr>
          <w:rFonts w:hint="eastAsia"/>
        </w:rPr>
        <w:t>）、《电动汽车充电站及充电桩设计规范》（</w:t>
      </w:r>
      <w:r>
        <w:t>Q/CSG 11516.2-2010</w:t>
      </w:r>
      <w:r>
        <w:rPr>
          <w:rFonts w:hint="eastAsia"/>
        </w:rPr>
        <w:t>）以及《广州市充电桩</w:t>
      </w:r>
      <w:r>
        <w:t>(</w:t>
      </w:r>
      <w:r>
        <w:rPr>
          <w:rFonts w:hint="eastAsia"/>
        </w:rPr>
        <w:t>站</w:t>
      </w:r>
      <w:r>
        <w:t>)</w:t>
      </w:r>
      <w:r>
        <w:rPr>
          <w:rFonts w:hint="eastAsia"/>
        </w:rPr>
        <w:t>设置标准与近期布局规划》的要求。《广州市充电桩</w:t>
      </w:r>
      <w:r>
        <w:t>(</w:t>
      </w:r>
      <w:r>
        <w:rPr>
          <w:rFonts w:hint="eastAsia"/>
        </w:rPr>
        <w:t>站</w:t>
      </w:r>
      <w:r>
        <w:t>)</w:t>
      </w:r>
      <w:r>
        <w:rPr>
          <w:rFonts w:hint="eastAsia"/>
        </w:rPr>
        <w:t>设置标准与近期布局规划》要求公交车结合运营、停车及充电需求，建议按照车桩比</w:t>
      </w:r>
      <w:r>
        <w:t>1:1</w:t>
      </w:r>
      <w:r>
        <w:rPr>
          <w:rFonts w:hint="eastAsia"/>
        </w:rPr>
        <w:t>建设慢充桩，同时配套一定比例的快充桩作补充。一个快充桩满足</w:t>
      </w:r>
      <w:r>
        <w:t>12</w:t>
      </w:r>
      <w:r>
        <w:rPr>
          <w:rFonts w:hint="eastAsia"/>
        </w:rPr>
        <w:t>辆公交车的充电需求，即一条线路配车的车辆充电需求。</w:t>
      </w:r>
    </w:p>
    <w:p>
      <w:pPr>
        <w:pStyle w:val="4"/>
      </w:pPr>
      <w:r>
        <w:rPr>
          <w:rFonts w:hint="eastAsia"/>
        </w:rPr>
        <w:t>安保系统应符合《安全防范工程技术规范》（</w:t>
      </w:r>
      <w:r>
        <w:t>GB50348-2004</w:t>
      </w:r>
      <w:r>
        <w:rPr>
          <w:rFonts w:hint="eastAsia"/>
        </w:rPr>
        <w:t>）、《入侵报警系统工程设计规范》（</w:t>
      </w:r>
      <w:r>
        <w:t>GB50394-2007</w:t>
      </w:r>
      <w:r>
        <w:rPr>
          <w:rFonts w:hint="eastAsia"/>
        </w:rPr>
        <w:t>）、《视频安防监控系统工程设计规范》（</w:t>
      </w:r>
      <w:r>
        <w:t>GB50395-2007</w:t>
      </w:r>
      <w:r>
        <w:rPr>
          <w:rFonts w:hint="eastAsia"/>
        </w:rPr>
        <w:t>）的要求，还可参照北京市地方标准《公共交通安全防范技术要求</w:t>
      </w:r>
      <w:r>
        <w:t xml:space="preserve"> </w:t>
      </w:r>
      <w:r>
        <w:rPr>
          <w:rFonts w:hint="eastAsia"/>
        </w:rPr>
        <w:t>第</w:t>
      </w:r>
      <w:r>
        <w:t>2</w:t>
      </w:r>
      <w:r>
        <w:rPr>
          <w:rFonts w:hint="eastAsia"/>
        </w:rPr>
        <w:t>部分：公交站场安全防范系统》（</w:t>
      </w:r>
      <w:r>
        <w:t>DB11/T 1162.2-2015</w:t>
      </w:r>
      <w:r>
        <w:rPr>
          <w:rFonts w:hint="eastAsia"/>
        </w:rPr>
        <w:t>）的相关规定。</w:t>
      </w:r>
    </w:p>
    <w:p>
      <w:pPr>
        <w:pStyle w:val="4"/>
      </w:pPr>
      <w:r>
        <w:rPr>
          <w:rFonts w:hint="eastAsia"/>
        </w:rPr>
        <w:t>到发车位、加减速区域以及车辆出入口等区域路面使用频率高，为了保障路面完好和行车安全，对道路强度提出增强处理与防滑处理要求。同时，配建公交站场的服务配套设施应符合《城市道路公共交通站、场、厂工程设计规范》（</w:t>
      </w:r>
      <w:r>
        <w:t>CJJ/T15-2011</w:t>
      </w:r>
      <w:r>
        <w:rPr>
          <w:rFonts w:hint="eastAsia"/>
        </w:rPr>
        <w:t>）的相关规定。</w:t>
      </w:r>
    </w:p>
    <w:p>
      <w:pPr>
        <w:pStyle w:val="3"/>
        <w:numPr>
          <w:ilvl w:val="0"/>
          <w:numId w:val="0"/>
        </w:numPr>
      </w:pPr>
      <w:r>
        <w:fldChar w:fldCharType="begin"/>
      </w:r>
      <w:r>
        <w:instrText xml:space="preserve"> REF _Ref454120665 \r \h  \* MERGEFORMAT </w:instrText>
      </w:r>
      <w:r>
        <w:fldChar w:fldCharType="separate"/>
      </w:r>
      <w:bookmarkStart w:id="184" w:name="_Toc470273297"/>
      <w:bookmarkStart w:id="185" w:name="_Toc454205006"/>
      <w:bookmarkStart w:id="186" w:name="_Toc454207094"/>
      <w:bookmarkStart w:id="187" w:name="_Toc470624727"/>
      <w:bookmarkStart w:id="188" w:name="_Toc454206059"/>
      <w:r>
        <w:t>4.5</w:t>
      </w:r>
      <w:r>
        <w:fldChar w:fldCharType="end"/>
      </w:r>
      <w:r>
        <w:t xml:space="preserve">   </w:t>
      </w:r>
      <w:r>
        <w:rPr>
          <w:rFonts w:hint="eastAsia"/>
        </w:rPr>
        <w:t>消防要求</w:t>
      </w:r>
      <w:bookmarkEnd w:id="184"/>
      <w:bookmarkEnd w:id="185"/>
      <w:bookmarkEnd w:id="186"/>
      <w:bookmarkEnd w:id="187"/>
      <w:bookmarkEnd w:id="188"/>
    </w:p>
    <w:p>
      <w:pPr>
        <w:snapToGrid w:val="0"/>
        <w:spacing w:after="120"/>
        <w:ind w:left="851"/>
      </w:pPr>
      <w:r>
        <w:rPr>
          <w:rFonts w:hint="eastAsia"/>
        </w:rPr>
        <w:t>若回车道与消防通道共用，必须避免车辆占用消防通道，影响消防通道应有的功能。</w:t>
      </w:r>
    </w:p>
    <w:p>
      <w:pPr>
        <w:snapToGrid w:val="0"/>
        <w:spacing w:after="120"/>
        <w:ind w:left="851"/>
      </w:pPr>
      <w:r>
        <w:rPr>
          <w:rFonts w:hint="eastAsia"/>
        </w:rPr>
        <w:t>配建公交站场的防火设施应符合《建筑设计防火规范》（</w:t>
      </w:r>
      <w:r>
        <w:t>GB50016-2014</w:t>
      </w:r>
      <w:r>
        <w:rPr>
          <w:rFonts w:hint="eastAsia"/>
        </w:rPr>
        <w:t>）与《汽车库、修车库、停车场设计防火规范》（</w:t>
      </w:r>
      <w:r>
        <w:t>GB50067-2014</w:t>
      </w:r>
      <w:r>
        <w:rPr>
          <w:rFonts w:hint="eastAsia"/>
        </w:rPr>
        <w:t>）的相关规定。</w:t>
      </w:r>
    </w:p>
    <w:p>
      <w:pPr>
        <w:pStyle w:val="3"/>
        <w:numPr>
          <w:ilvl w:val="0"/>
          <w:numId w:val="0"/>
        </w:numPr>
      </w:pPr>
      <w:bookmarkStart w:id="189" w:name="_Toc454206060"/>
      <w:bookmarkStart w:id="190" w:name="_Toc454207095"/>
      <w:bookmarkStart w:id="191" w:name="_Toc470273298"/>
      <w:bookmarkStart w:id="192" w:name="_Toc470624728"/>
      <w:bookmarkStart w:id="193" w:name="_Toc454205007"/>
      <w:r>
        <w:t xml:space="preserve">4.6   </w:t>
      </w:r>
      <w:r>
        <w:rPr>
          <w:rFonts w:hint="eastAsia"/>
        </w:rPr>
        <w:t>环保要求</w:t>
      </w:r>
      <w:bookmarkEnd w:id="189"/>
      <w:bookmarkEnd w:id="190"/>
      <w:bookmarkEnd w:id="191"/>
      <w:bookmarkEnd w:id="192"/>
      <w:bookmarkEnd w:id="193"/>
    </w:p>
    <w:p>
      <w:pPr>
        <w:ind w:left="851"/>
      </w:pPr>
      <w:r>
        <w:rPr>
          <w:rFonts w:hint="eastAsia"/>
        </w:rPr>
        <w:t>结合实际经验，将配建公交站场与上盖建筑的供电、供水系统分开独立管理，可尽可能避免站场与上盖物业之间的矛盾。</w:t>
      </w:r>
    </w:p>
    <w:p>
      <w:pPr>
        <w:ind w:left="851"/>
      </w:pPr>
      <w:r>
        <w:rPr>
          <w:rFonts w:hint="eastAsia"/>
        </w:rPr>
        <w:t>根据《城市道路公共交通站、场、厂工程设计规范》（</w:t>
      </w:r>
      <w:r>
        <w:t>CJJ/T15 2011</w:t>
      </w:r>
      <w:r>
        <w:rPr>
          <w:rFonts w:hint="eastAsia"/>
        </w:rPr>
        <w:t>）规定，首站绿化面积不宜低于</w:t>
      </w:r>
      <w:r>
        <w:t>20%</w:t>
      </w:r>
      <w:r>
        <w:rPr>
          <w:rFonts w:hint="eastAsia"/>
        </w:rPr>
        <w:t>。</w:t>
      </w:r>
    </w:p>
    <w:p>
      <w:pPr>
        <w:pStyle w:val="2"/>
      </w:pPr>
      <w:bookmarkStart w:id="194" w:name="_Toc454205008"/>
      <w:bookmarkStart w:id="195" w:name="_Toc454206061"/>
      <w:bookmarkStart w:id="196" w:name="_Toc454207096"/>
      <w:bookmarkStart w:id="197" w:name="_Toc470624729"/>
      <w:bookmarkStart w:id="198" w:name="_Toc470273299"/>
      <w:r>
        <w:rPr>
          <w:rFonts w:hint="eastAsia"/>
        </w:rPr>
        <w:t>实施机制</w:t>
      </w:r>
      <w:bookmarkEnd w:id="194"/>
      <w:bookmarkEnd w:id="195"/>
      <w:bookmarkEnd w:id="196"/>
      <w:bookmarkEnd w:id="197"/>
      <w:bookmarkEnd w:id="198"/>
    </w:p>
    <w:p>
      <w:pPr>
        <w:pStyle w:val="4"/>
      </w:pPr>
      <w:r>
        <w:rPr>
          <w:rFonts w:hint="eastAsia"/>
        </w:rPr>
        <w:t>本指引参考深圳、佛山等城市经验，并结合广州市中心区的现有机制，将配建公交站场的规划实施流程分为五个阶段：规划编制阶段、土地出让阶段、报建审批阶段、竣工验收阶段和移交及运维阶段。</w:t>
      </w:r>
    </w:p>
    <w:p>
      <w:pPr>
        <w:pStyle w:val="4"/>
      </w:pPr>
      <w:r>
        <w:rPr>
          <w:rFonts w:hint="eastAsia"/>
        </w:rPr>
        <w:t>规划编制阶段主要包括公交站场专项规划、城市控规以及公交站场建年度设计划三个环节，其中公交站场专项规划主要是在城市规划、综合交通规划等上层规划的指导下，从公交运行需求出发制定的专项规划。该项工作由区公交主管部门负责，规划编制过程要区发改、国土规划及公交企业等相关部门意见。城市控规阶段主要是针对公交站场专项规划中未能符合城市控制的站点进行规划调整，主要由区国土规划主管部门负责，但区交通运输主管部门要做好配合工作。公交站场建年度设计划编制主要是根据公交运营需求，在公交站场专项规划的框架内制定年度建设的计划，用于指导下一步公交站场的实施工作，主要由区交通运输主管部门负责。</w:t>
      </w:r>
    </w:p>
    <w:p>
      <w:pPr>
        <w:pStyle w:val="4"/>
      </w:pPr>
      <w:r>
        <w:rPr>
          <w:rFonts w:hint="eastAsia"/>
        </w:rPr>
        <w:t>土地出让阶段主要包括制定年度土地出让计划、确定地块出让条件和签订土地出让合同三个环节。制定年度土地出让计划主要是根据城市发展需要做好城市建设用地的拍卖和划拨计划，主要由区国土规划部门负责。为确保公交站场的落地，在制定土地出让计划时应先征求区交通运输主管部门的意见，确定在计划出让的地块中需要配建公交站场的地块，这是确保配建公交站场落地的关键一环。确定地块出让条件主要是参照地块的规划情况，拟定地块开发建设的要求，主要由区国土规划部门负责，但关于配建公交站场的要求建议由区交通运输主管部门提出。在地块完成出让程序后，在签订土地出让合同时，要明确将配建公交站场的要求纳入出让合同，成为后续规划审批、验收及移交等环节的法律依据。</w:t>
      </w:r>
    </w:p>
    <w:p>
      <w:pPr>
        <w:pStyle w:val="4"/>
      </w:pPr>
      <w:r>
        <w:rPr>
          <w:rFonts w:hint="eastAsia"/>
        </w:rPr>
        <w:t>报建审批阶段主要包括规划报建和建设报建两个环节。规划报建主要是由区国土规划主管部门对土地开发单位的规划设计方案进行审查，确保地块规划条件有效落实到地块的开发建设方案之中。在此阶段，关于地块配建公交的落实情况，应征求区交通运输主管部门的意见。尤其是针对地块开发量比较，配建公交比较复杂的地块，需要土地开发单位聘请专业机构开展交通影响评价工作，并提交专家审查意见，以此作为部门审查的参考依据。如区交通运输主管部门确定不符合审查要求的，区国土规划主管部门应该要求土地发开单位进行改正，否则不予核发《建设工程规划许可证》。通过规划审查后，土地发开单位还需向区建设主管部门申请开工备案，区建设主管部门根据相关流程完成审查后核发《建设工程施工许可证》。</w:t>
      </w:r>
    </w:p>
    <w:p>
      <w:pPr>
        <w:pStyle w:val="4"/>
      </w:pPr>
      <w:r>
        <w:rPr>
          <w:rFonts w:hint="eastAsia"/>
        </w:rPr>
        <w:t>竣工验收阶段主要是要确保配建公交站场须与主体建设工程同步验收。尤其是对分期开发建设的项目，必须要求在一期开发项目中完成公共交通基础设施的建设任务，且作为第一期开发项目规划验收的前置条件。在验收时，应由区建设和交通部门牵头负责。验收合格后，方可发放《竣工验收备案表》。未按规定配套建设公交站场的建设项目一律不予验收。</w:t>
      </w:r>
    </w:p>
    <w:p>
      <w:pPr>
        <w:pStyle w:val="4"/>
      </w:pPr>
      <w:r>
        <w:rPr>
          <w:rFonts w:hint="eastAsia"/>
        </w:rPr>
        <w:t>移交管理阶段主要包括产权移交和日常运营管理两个环节。产权移交主要是确保配建公交站场的产权归属于政府，参考香港等城市经验，建议采用无偿移交的模式，由政府部门在土地出让阶段补偿土地开发单位的建设成本，完成产权的过渡。在日常运营管理方面，目前南沙新区的公交站场主要由区交通管理总站代为管理，部分有公交企业自行管理，因此本指引建议配建的公交站场由区交通管理部门作为主管部门，区交通管理总站作为执行部门统筹管理，具体站点可以根据要由公交公司负责管理和维护。</w:t>
      </w:r>
    </w:p>
    <w:p>
      <w:pPr>
        <w:pStyle w:val="4"/>
      </w:pPr>
      <w:r>
        <w:rPr>
          <w:rFonts w:hint="eastAsia"/>
        </w:rPr>
        <w:t>为确保本指引能够有效落实，建议将本指引的执行情况纳入年度行政考核。</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I</w:t>
    </w:r>
    <w:r>
      <w:rPr>
        <w:lang w:val="zh-CN"/>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9"/>
    </w:pPr>
    <w:r>
      <w:rPr>
        <w:rFonts w:hint="eastAsia"/>
      </w:rPr>
      <w:t>南沙区城建项目公交站场配建技术指引（条文）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9"/>
    </w:pPr>
    <w:r>
      <w:rPr>
        <w:rFonts w:hint="eastAsia"/>
      </w:rPr>
      <w:t>南沙区城建项目公交站场配建技术指引（条文）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9"/>
    </w:pPr>
    <w:r>
      <w:rPr>
        <w:rFonts w:hint="eastAsia"/>
      </w:rPr>
      <w:t>南沙区城建项目公交站场配建技术指引（条文）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南沙区城建项目公交站场配建技术指引（条文说明）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92807"/>
    <w:multiLevelType w:val="multilevel"/>
    <w:tmpl w:val="04892807"/>
    <w:lvl w:ilvl="0" w:tentative="0">
      <w:start w:val="1"/>
      <w:numFmt w:val="decimal"/>
      <w:lvlText w:val="1.0.%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DF2366E"/>
    <w:multiLevelType w:val="multilevel"/>
    <w:tmpl w:val="0DF2366E"/>
    <w:lvl w:ilvl="0" w:tentative="0">
      <w:start w:val="1"/>
      <w:numFmt w:val="decimal"/>
      <w:lvlText w:val="图%1"/>
      <w:lvlJc w:val="left"/>
      <w:pPr>
        <w:ind w:left="1271" w:hanging="420"/>
      </w:pPr>
      <w:rPr>
        <w:rFonts w:hint="default" w:ascii="Times New Roman" w:hAnsi="Times New Roman"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2">
    <w:nsid w:val="12823392"/>
    <w:multiLevelType w:val="multilevel"/>
    <w:tmpl w:val="12823392"/>
    <w:lvl w:ilvl="0" w:tentative="0">
      <w:start w:val="1"/>
      <w:numFmt w:val="decimal"/>
      <w:lvlText w:val="2.0.%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61848FF"/>
    <w:multiLevelType w:val="multilevel"/>
    <w:tmpl w:val="161848FF"/>
    <w:lvl w:ilvl="0" w:tentative="0">
      <w:start w:val="1"/>
      <w:numFmt w:val="decimal"/>
      <w:pStyle w:val="2"/>
      <w:lvlText w:val="%1"/>
      <w:lvlJc w:val="left"/>
      <w:pPr>
        <w:ind w:left="851" w:hanging="851"/>
      </w:pPr>
      <w:rPr>
        <w:rFonts w:hint="eastAsia" w:cs="Times New Roman"/>
        <w:sz w:val="36"/>
      </w:rPr>
    </w:lvl>
    <w:lvl w:ilvl="1" w:tentative="0">
      <w:start w:val="1"/>
      <w:numFmt w:val="decimal"/>
      <w:pStyle w:val="3"/>
      <w:lvlText w:val="%1.%2"/>
      <w:lvlJc w:val="left"/>
      <w:pPr>
        <w:ind w:left="851" w:hanging="851"/>
      </w:pPr>
      <w:rPr>
        <w:rFonts w:hint="eastAsia" w:cs="Times New Roman"/>
      </w:rPr>
    </w:lvl>
    <w:lvl w:ilvl="2" w:tentative="0">
      <w:start w:val="1"/>
      <w:numFmt w:val="decimal"/>
      <w:pStyle w:val="4"/>
      <w:lvlText w:val="%1.%2.%3"/>
      <w:lvlJc w:val="left"/>
      <w:pPr>
        <w:ind w:left="851" w:hanging="851"/>
      </w:pPr>
      <w:rPr>
        <w:rFonts w:hint="eastAsia" w:cs="Times New Roman"/>
      </w:rPr>
    </w:lvl>
    <w:lvl w:ilvl="3" w:tentative="0">
      <w:start w:val="1"/>
      <w:numFmt w:val="decimal"/>
      <w:pStyle w:val="5"/>
      <w:lvlText w:val="%1.%2.%3.%4"/>
      <w:lvlJc w:val="left"/>
      <w:pPr>
        <w:ind w:left="851" w:hanging="851"/>
      </w:pPr>
      <w:rPr>
        <w:rFonts w:hint="eastAsia" w:cs="Times New Roman"/>
      </w:rPr>
    </w:lvl>
    <w:lvl w:ilvl="4" w:tentative="0">
      <w:start w:val="1"/>
      <w:numFmt w:val="decimal"/>
      <w:lvlText w:val="%1.%2.%3.%4.%5"/>
      <w:lvlJc w:val="left"/>
      <w:pPr>
        <w:ind w:left="851" w:hanging="851"/>
      </w:pPr>
      <w:rPr>
        <w:rFonts w:hint="eastAsia" w:cs="Times New Roman"/>
      </w:rPr>
    </w:lvl>
    <w:lvl w:ilvl="5" w:tentative="0">
      <w:start w:val="1"/>
      <w:numFmt w:val="decimal"/>
      <w:lvlText w:val="%1.%2.%3.%4.%5.%6"/>
      <w:lvlJc w:val="left"/>
      <w:pPr>
        <w:ind w:left="851" w:hanging="851"/>
      </w:pPr>
      <w:rPr>
        <w:rFonts w:hint="eastAsia" w:cs="Times New Roman"/>
      </w:rPr>
    </w:lvl>
    <w:lvl w:ilvl="6" w:tentative="0">
      <w:start w:val="1"/>
      <w:numFmt w:val="decimal"/>
      <w:lvlText w:val="%1.%2.%3.%4.%5.%6.%7"/>
      <w:lvlJc w:val="left"/>
      <w:pPr>
        <w:ind w:left="851" w:hanging="851"/>
      </w:pPr>
      <w:rPr>
        <w:rFonts w:hint="eastAsia" w:cs="Times New Roman"/>
      </w:rPr>
    </w:lvl>
    <w:lvl w:ilvl="7" w:tentative="0">
      <w:start w:val="1"/>
      <w:numFmt w:val="decimal"/>
      <w:lvlText w:val="%1.%2.%3.%4.%5.%6.%7.%8"/>
      <w:lvlJc w:val="left"/>
      <w:pPr>
        <w:ind w:left="851" w:hanging="851"/>
      </w:pPr>
      <w:rPr>
        <w:rFonts w:hint="eastAsia" w:cs="Times New Roman"/>
      </w:rPr>
    </w:lvl>
    <w:lvl w:ilvl="8" w:tentative="0">
      <w:start w:val="1"/>
      <w:numFmt w:val="decimal"/>
      <w:lvlText w:val="%1.%2.%3.%4.%5.%6.%7.%8.%9"/>
      <w:lvlJc w:val="left"/>
      <w:pPr>
        <w:ind w:left="851" w:hanging="851"/>
      </w:pPr>
      <w:rPr>
        <w:rFonts w:hint="eastAsia" w:cs="Times New Roman"/>
      </w:rPr>
    </w:lvl>
  </w:abstractNum>
  <w:abstractNum w:abstractNumId="4">
    <w:nsid w:val="68251B82"/>
    <w:multiLevelType w:val="multilevel"/>
    <w:tmpl w:val="68251B82"/>
    <w:lvl w:ilvl="0" w:tentative="0">
      <w:start w:val="1"/>
      <w:numFmt w:val="decimal"/>
      <w:lvlText w:val="3.0.%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JkNmIwMTVlNWNhODIyYjgzZmNlY2JjNTU0MDZjMTcifQ=="/>
  </w:docVars>
  <w:rsids>
    <w:rsidRoot w:val="001F6680"/>
    <w:rsid w:val="00005095"/>
    <w:rsid w:val="0000567D"/>
    <w:rsid w:val="00024C44"/>
    <w:rsid w:val="00030502"/>
    <w:rsid w:val="000363A9"/>
    <w:rsid w:val="000377CB"/>
    <w:rsid w:val="00046091"/>
    <w:rsid w:val="00050E9F"/>
    <w:rsid w:val="000513D7"/>
    <w:rsid w:val="00051963"/>
    <w:rsid w:val="00056A42"/>
    <w:rsid w:val="00073E1A"/>
    <w:rsid w:val="00074AB7"/>
    <w:rsid w:val="00074EDB"/>
    <w:rsid w:val="00076863"/>
    <w:rsid w:val="000B1ACC"/>
    <w:rsid w:val="000B78CF"/>
    <w:rsid w:val="000C6350"/>
    <w:rsid w:val="000D3DB8"/>
    <w:rsid w:val="000D4096"/>
    <w:rsid w:val="000E5324"/>
    <w:rsid w:val="000F5D31"/>
    <w:rsid w:val="00110E1D"/>
    <w:rsid w:val="0012082D"/>
    <w:rsid w:val="00123FC4"/>
    <w:rsid w:val="0013032F"/>
    <w:rsid w:val="001332C1"/>
    <w:rsid w:val="00134C44"/>
    <w:rsid w:val="00136AFE"/>
    <w:rsid w:val="001419B4"/>
    <w:rsid w:val="00146C32"/>
    <w:rsid w:val="001560F1"/>
    <w:rsid w:val="001574F3"/>
    <w:rsid w:val="001619B7"/>
    <w:rsid w:val="00163443"/>
    <w:rsid w:val="001660ED"/>
    <w:rsid w:val="00171AA5"/>
    <w:rsid w:val="0017286D"/>
    <w:rsid w:val="001746DB"/>
    <w:rsid w:val="00177DD1"/>
    <w:rsid w:val="00191E93"/>
    <w:rsid w:val="001A025C"/>
    <w:rsid w:val="001A08FE"/>
    <w:rsid w:val="001A2A61"/>
    <w:rsid w:val="001A5A27"/>
    <w:rsid w:val="001B0035"/>
    <w:rsid w:val="001C1718"/>
    <w:rsid w:val="001C2786"/>
    <w:rsid w:val="001C516B"/>
    <w:rsid w:val="001D0509"/>
    <w:rsid w:val="001E5613"/>
    <w:rsid w:val="001F24DE"/>
    <w:rsid w:val="001F33B1"/>
    <w:rsid w:val="001F4023"/>
    <w:rsid w:val="001F6680"/>
    <w:rsid w:val="002051F8"/>
    <w:rsid w:val="00206A05"/>
    <w:rsid w:val="002120A9"/>
    <w:rsid w:val="0021536D"/>
    <w:rsid w:val="0021608A"/>
    <w:rsid w:val="0021710C"/>
    <w:rsid w:val="00220D1D"/>
    <w:rsid w:val="002229EF"/>
    <w:rsid w:val="002306D3"/>
    <w:rsid w:val="002315E8"/>
    <w:rsid w:val="002322D0"/>
    <w:rsid w:val="00245885"/>
    <w:rsid w:val="002506C4"/>
    <w:rsid w:val="002567E9"/>
    <w:rsid w:val="00256C50"/>
    <w:rsid w:val="002622A0"/>
    <w:rsid w:val="00263538"/>
    <w:rsid w:val="00263920"/>
    <w:rsid w:val="00280D44"/>
    <w:rsid w:val="00281D2B"/>
    <w:rsid w:val="00282D10"/>
    <w:rsid w:val="00282F5D"/>
    <w:rsid w:val="00290913"/>
    <w:rsid w:val="002A6DA7"/>
    <w:rsid w:val="002A77E6"/>
    <w:rsid w:val="002B6125"/>
    <w:rsid w:val="002B74E9"/>
    <w:rsid w:val="002C2EB3"/>
    <w:rsid w:val="002C43F1"/>
    <w:rsid w:val="002D103B"/>
    <w:rsid w:val="002D30B4"/>
    <w:rsid w:val="002D655C"/>
    <w:rsid w:val="002E12D4"/>
    <w:rsid w:val="002E4CAC"/>
    <w:rsid w:val="002F6B90"/>
    <w:rsid w:val="002F75E0"/>
    <w:rsid w:val="0030748A"/>
    <w:rsid w:val="00310D84"/>
    <w:rsid w:val="00341137"/>
    <w:rsid w:val="00351D84"/>
    <w:rsid w:val="00353401"/>
    <w:rsid w:val="003615D5"/>
    <w:rsid w:val="00362B9C"/>
    <w:rsid w:val="00375AFE"/>
    <w:rsid w:val="00383929"/>
    <w:rsid w:val="00384908"/>
    <w:rsid w:val="00396878"/>
    <w:rsid w:val="003A400F"/>
    <w:rsid w:val="003A50D5"/>
    <w:rsid w:val="003A62DD"/>
    <w:rsid w:val="003B59A4"/>
    <w:rsid w:val="003C0EEC"/>
    <w:rsid w:val="003C4C16"/>
    <w:rsid w:val="003C5286"/>
    <w:rsid w:val="003C6775"/>
    <w:rsid w:val="003E3734"/>
    <w:rsid w:val="003E3885"/>
    <w:rsid w:val="003E65DE"/>
    <w:rsid w:val="004057DB"/>
    <w:rsid w:val="00405C49"/>
    <w:rsid w:val="00412F68"/>
    <w:rsid w:val="00413C51"/>
    <w:rsid w:val="00415408"/>
    <w:rsid w:val="00430005"/>
    <w:rsid w:val="00430571"/>
    <w:rsid w:val="00435824"/>
    <w:rsid w:val="00445EB0"/>
    <w:rsid w:val="004603B1"/>
    <w:rsid w:val="00471B02"/>
    <w:rsid w:val="00482D66"/>
    <w:rsid w:val="004A2D31"/>
    <w:rsid w:val="004A7E8A"/>
    <w:rsid w:val="004B63AD"/>
    <w:rsid w:val="004C249A"/>
    <w:rsid w:val="004C40EE"/>
    <w:rsid w:val="004C4A4F"/>
    <w:rsid w:val="004C5E54"/>
    <w:rsid w:val="004D0130"/>
    <w:rsid w:val="004D2294"/>
    <w:rsid w:val="004D3BEF"/>
    <w:rsid w:val="004D7D2D"/>
    <w:rsid w:val="004E3656"/>
    <w:rsid w:val="004E6599"/>
    <w:rsid w:val="00511FF1"/>
    <w:rsid w:val="005435FC"/>
    <w:rsid w:val="00543B8B"/>
    <w:rsid w:val="00545F34"/>
    <w:rsid w:val="00556725"/>
    <w:rsid w:val="00561431"/>
    <w:rsid w:val="0058194A"/>
    <w:rsid w:val="00585195"/>
    <w:rsid w:val="0059587E"/>
    <w:rsid w:val="005A43E6"/>
    <w:rsid w:val="005B034D"/>
    <w:rsid w:val="005B14EE"/>
    <w:rsid w:val="005B262D"/>
    <w:rsid w:val="005B50DE"/>
    <w:rsid w:val="005B626E"/>
    <w:rsid w:val="005C0C8D"/>
    <w:rsid w:val="005C300C"/>
    <w:rsid w:val="005C61B1"/>
    <w:rsid w:val="005C6274"/>
    <w:rsid w:val="005C7E62"/>
    <w:rsid w:val="005E6836"/>
    <w:rsid w:val="0060285A"/>
    <w:rsid w:val="00605547"/>
    <w:rsid w:val="00614174"/>
    <w:rsid w:val="006234B5"/>
    <w:rsid w:val="00632456"/>
    <w:rsid w:val="00636FCE"/>
    <w:rsid w:val="00637DCD"/>
    <w:rsid w:val="00641557"/>
    <w:rsid w:val="0064362D"/>
    <w:rsid w:val="00643FA9"/>
    <w:rsid w:val="00647B84"/>
    <w:rsid w:val="00647F07"/>
    <w:rsid w:val="0065268C"/>
    <w:rsid w:val="00652EAF"/>
    <w:rsid w:val="00655D97"/>
    <w:rsid w:val="00656DA3"/>
    <w:rsid w:val="00660A3E"/>
    <w:rsid w:val="00660C74"/>
    <w:rsid w:val="00661158"/>
    <w:rsid w:val="0066625E"/>
    <w:rsid w:val="00667105"/>
    <w:rsid w:val="00667EC5"/>
    <w:rsid w:val="00671366"/>
    <w:rsid w:val="00673EC2"/>
    <w:rsid w:val="00677927"/>
    <w:rsid w:val="0069092E"/>
    <w:rsid w:val="00692657"/>
    <w:rsid w:val="0069320E"/>
    <w:rsid w:val="00694225"/>
    <w:rsid w:val="00694B8E"/>
    <w:rsid w:val="006A67D5"/>
    <w:rsid w:val="006B3988"/>
    <w:rsid w:val="006B3DFE"/>
    <w:rsid w:val="006B7782"/>
    <w:rsid w:val="006B7E7A"/>
    <w:rsid w:val="006C506B"/>
    <w:rsid w:val="006C5767"/>
    <w:rsid w:val="006D0FB3"/>
    <w:rsid w:val="006D46D0"/>
    <w:rsid w:val="006E00CE"/>
    <w:rsid w:val="006E11D2"/>
    <w:rsid w:val="006E33C6"/>
    <w:rsid w:val="006E76F9"/>
    <w:rsid w:val="006F200F"/>
    <w:rsid w:val="006F5654"/>
    <w:rsid w:val="006F57EF"/>
    <w:rsid w:val="006F74FA"/>
    <w:rsid w:val="00700D5E"/>
    <w:rsid w:val="00702910"/>
    <w:rsid w:val="00703850"/>
    <w:rsid w:val="00715E00"/>
    <w:rsid w:val="00730027"/>
    <w:rsid w:val="00732D5C"/>
    <w:rsid w:val="00742D1B"/>
    <w:rsid w:val="0076714C"/>
    <w:rsid w:val="007839B5"/>
    <w:rsid w:val="00785291"/>
    <w:rsid w:val="00790F84"/>
    <w:rsid w:val="00791E56"/>
    <w:rsid w:val="0079770C"/>
    <w:rsid w:val="007A132E"/>
    <w:rsid w:val="007A78B8"/>
    <w:rsid w:val="007B0558"/>
    <w:rsid w:val="007B164B"/>
    <w:rsid w:val="007B28E0"/>
    <w:rsid w:val="007D31E7"/>
    <w:rsid w:val="007D4BD9"/>
    <w:rsid w:val="007D54D9"/>
    <w:rsid w:val="007D6C92"/>
    <w:rsid w:val="007E6912"/>
    <w:rsid w:val="008038CE"/>
    <w:rsid w:val="00810CB8"/>
    <w:rsid w:val="00811C4A"/>
    <w:rsid w:val="008260E3"/>
    <w:rsid w:val="0082653D"/>
    <w:rsid w:val="008279D1"/>
    <w:rsid w:val="00837048"/>
    <w:rsid w:val="00837A2A"/>
    <w:rsid w:val="00852168"/>
    <w:rsid w:val="0085394C"/>
    <w:rsid w:val="00854721"/>
    <w:rsid w:val="00855389"/>
    <w:rsid w:val="00862FA8"/>
    <w:rsid w:val="00884EB0"/>
    <w:rsid w:val="00891935"/>
    <w:rsid w:val="008B1B8C"/>
    <w:rsid w:val="008C02C1"/>
    <w:rsid w:val="008C49FF"/>
    <w:rsid w:val="008C690C"/>
    <w:rsid w:val="008D59F4"/>
    <w:rsid w:val="008E60A0"/>
    <w:rsid w:val="008F0177"/>
    <w:rsid w:val="008F3943"/>
    <w:rsid w:val="00903EF3"/>
    <w:rsid w:val="009115BD"/>
    <w:rsid w:val="00925101"/>
    <w:rsid w:val="009256FF"/>
    <w:rsid w:val="00925C4A"/>
    <w:rsid w:val="0093147D"/>
    <w:rsid w:val="00935BEE"/>
    <w:rsid w:val="009407AC"/>
    <w:rsid w:val="00953064"/>
    <w:rsid w:val="00961F70"/>
    <w:rsid w:val="009665ED"/>
    <w:rsid w:val="009669D5"/>
    <w:rsid w:val="009703C7"/>
    <w:rsid w:val="00980276"/>
    <w:rsid w:val="009818CA"/>
    <w:rsid w:val="0099450B"/>
    <w:rsid w:val="00995CF0"/>
    <w:rsid w:val="009A0247"/>
    <w:rsid w:val="009A245D"/>
    <w:rsid w:val="009A5002"/>
    <w:rsid w:val="009B6C74"/>
    <w:rsid w:val="009B7790"/>
    <w:rsid w:val="009C5A3E"/>
    <w:rsid w:val="009C60B5"/>
    <w:rsid w:val="009D74F5"/>
    <w:rsid w:val="009E21C8"/>
    <w:rsid w:val="009E5B8F"/>
    <w:rsid w:val="009F5B27"/>
    <w:rsid w:val="00A154F7"/>
    <w:rsid w:val="00A2118B"/>
    <w:rsid w:val="00A21C12"/>
    <w:rsid w:val="00A273C1"/>
    <w:rsid w:val="00A32252"/>
    <w:rsid w:val="00A35273"/>
    <w:rsid w:val="00A353A6"/>
    <w:rsid w:val="00A66701"/>
    <w:rsid w:val="00A721EE"/>
    <w:rsid w:val="00A75755"/>
    <w:rsid w:val="00A76CCF"/>
    <w:rsid w:val="00A8088E"/>
    <w:rsid w:val="00A81AE2"/>
    <w:rsid w:val="00A83C30"/>
    <w:rsid w:val="00A84A73"/>
    <w:rsid w:val="00A91A5D"/>
    <w:rsid w:val="00A938B9"/>
    <w:rsid w:val="00A96F1D"/>
    <w:rsid w:val="00AA4331"/>
    <w:rsid w:val="00AB228C"/>
    <w:rsid w:val="00AB6CCC"/>
    <w:rsid w:val="00AB7B64"/>
    <w:rsid w:val="00AC71C7"/>
    <w:rsid w:val="00AE464B"/>
    <w:rsid w:val="00AF7795"/>
    <w:rsid w:val="00AF77E4"/>
    <w:rsid w:val="00B00D01"/>
    <w:rsid w:val="00B0653C"/>
    <w:rsid w:val="00B10E33"/>
    <w:rsid w:val="00B121DD"/>
    <w:rsid w:val="00B1537D"/>
    <w:rsid w:val="00B24FC1"/>
    <w:rsid w:val="00B31798"/>
    <w:rsid w:val="00B32BAF"/>
    <w:rsid w:val="00B34432"/>
    <w:rsid w:val="00B40F0C"/>
    <w:rsid w:val="00B52AFF"/>
    <w:rsid w:val="00B56E1C"/>
    <w:rsid w:val="00B575A4"/>
    <w:rsid w:val="00B64AC3"/>
    <w:rsid w:val="00B66241"/>
    <w:rsid w:val="00B87746"/>
    <w:rsid w:val="00B905C1"/>
    <w:rsid w:val="00BA37AB"/>
    <w:rsid w:val="00BB2AD7"/>
    <w:rsid w:val="00BC7045"/>
    <w:rsid w:val="00BD1077"/>
    <w:rsid w:val="00BE24BA"/>
    <w:rsid w:val="00BE7E0C"/>
    <w:rsid w:val="00BF31E1"/>
    <w:rsid w:val="00BF332F"/>
    <w:rsid w:val="00BF4F6B"/>
    <w:rsid w:val="00BF5C48"/>
    <w:rsid w:val="00C04EB7"/>
    <w:rsid w:val="00C10246"/>
    <w:rsid w:val="00C138B0"/>
    <w:rsid w:val="00C32807"/>
    <w:rsid w:val="00C36C87"/>
    <w:rsid w:val="00C378DB"/>
    <w:rsid w:val="00C4757F"/>
    <w:rsid w:val="00C52C5B"/>
    <w:rsid w:val="00C543F5"/>
    <w:rsid w:val="00C63FF3"/>
    <w:rsid w:val="00C75E81"/>
    <w:rsid w:val="00C85B2C"/>
    <w:rsid w:val="00C91B71"/>
    <w:rsid w:val="00C91F9E"/>
    <w:rsid w:val="00C935E3"/>
    <w:rsid w:val="00C945C6"/>
    <w:rsid w:val="00CB42AE"/>
    <w:rsid w:val="00CB796F"/>
    <w:rsid w:val="00CC4656"/>
    <w:rsid w:val="00CC5B8B"/>
    <w:rsid w:val="00CD2887"/>
    <w:rsid w:val="00CD3234"/>
    <w:rsid w:val="00CD47E3"/>
    <w:rsid w:val="00CE22A6"/>
    <w:rsid w:val="00CE30BE"/>
    <w:rsid w:val="00CE3F37"/>
    <w:rsid w:val="00CF56A6"/>
    <w:rsid w:val="00CF66CF"/>
    <w:rsid w:val="00CF7BA6"/>
    <w:rsid w:val="00CF7D90"/>
    <w:rsid w:val="00D078A2"/>
    <w:rsid w:val="00D12837"/>
    <w:rsid w:val="00D13AF8"/>
    <w:rsid w:val="00D23B8C"/>
    <w:rsid w:val="00D336BD"/>
    <w:rsid w:val="00D44130"/>
    <w:rsid w:val="00D45DF1"/>
    <w:rsid w:val="00D500CB"/>
    <w:rsid w:val="00D63CE2"/>
    <w:rsid w:val="00D704D6"/>
    <w:rsid w:val="00D753EA"/>
    <w:rsid w:val="00D8076A"/>
    <w:rsid w:val="00D820C4"/>
    <w:rsid w:val="00D82F77"/>
    <w:rsid w:val="00D84B50"/>
    <w:rsid w:val="00D8629F"/>
    <w:rsid w:val="00D921E2"/>
    <w:rsid w:val="00DA3E3A"/>
    <w:rsid w:val="00DB34D8"/>
    <w:rsid w:val="00DB4EAC"/>
    <w:rsid w:val="00DB72DD"/>
    <w:rsid w:val="00DD09B5"/>
    <w:rsid w:val="00DF1E0F"/>
    <w:rsid w:val="00E07856"/>
    <w:rsid w:val="00E1629A"/>
    <w:rsid w:val="00E16FF7"/>
    <w:rsid w:val="00E178C7"/>
    <w:rsid w:val="00E24F04"/>
    <w:rsid w:val="00E25B61"/>
    <w:rsid w:val="00E304BB"/>
    <w:rsid w:val="00E3248E"/>
    <w:rsid w:val="00E35518"/>
    <w:rsid w:val="00E44844"/>
    <w:rsid w:val="00E46D10"/>
    <w:rsid w:val="00E60AC0"/>
    <w:rsid w:val="00E61C59"/>
    <w:rsid w:val="00E75BEF"/>
    <w:rsid w:val="00E80A51"/>
    <w:rsid w:val="00E97338"/>
    <w:rsid w:val="00E97895"/>
    <w:rsid w:val="00EA10BD"/>
    <w:rsid w:val="00EA3162"/>
    <w:rsid w:val="00EA5501"/>
    <w:rsid w:val="00EA584C"/>
    <w:rsid w:val="00EB1053"/>
    <w:rsid w:val="00EB5700"/>
    <w:rsid w:val="00EC2D3E"/>
    <w:rsid w:val="00EC4FC5"/>
    <w:rsid w:val="00ED09CF"/>
    <w:rsid w:val="00ED19F8"/>
    <w:rsid w:val="00ED3FDF"/>
    <w:rsid w:val="00EE6CCB"/>
    <w:rsid w:val="00EE7EAF"/>
    <w:rsid w:val="00EF2C23"/>
    <w:rsid w:val="00EF2FF2"/>
    <w:rsid w:val="00EF7A5D"/>
    <w:rsid w:val="00F024D9"/>
    <w:rsid w:val="00F20440"/>
    <w:rsid w:val="00F30EBF"/>
    <w:rsid w:val="00F41AB2"/>
    <w:rsid w:val="00F44A6C"/>
    <w:rsid w:val="00F545B8"/>
    <w:rsid w:val="00F56179"/>
    <w:rsid w:val="00F6210B"/>
    <w:rsid w:val="00F74E41"/>
    <w:rsid w:val="00FA7E58"/>
    <w:rsid w:val="00FB1DF7"/>
    <w:rsid w:val="00FB243D"/>
    <w:rsid w:val="00FB5BB1"/>
    <w:rsid w:val="00FC35C5"/>
    <w:rsid w:val="00FC3756"/>
    <w:rsid w:val="00FC7E6A"/>
    <w:rsid w:val="00FD2782"/>
    <w:rsid w:val="00FD4229"/>
    <w:rsid w:val="00FF300B"/>
    <w:rsid w:val="00FF5E69"/>
    <w:rsid w:val="00FF5EC4"/>
    <w:rsid w:val="1FF155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26"/>
    <w:qFormat/>
    <w:uiPriority w:val="99"/>
    <w:pPr>
      <w:keepNext/>
      <w:keepLines/>
      <w:numPr>
        <w:ilvl w:val="0"/>
        <w:numId w:val="1"/>
      </w:numPr>
      <w:spacing w:before="340" w:after="330" w:line="578" w:lineRule="auto"/>
      <w:outlineLvl w:val="0"/>
    </w:pPr>
    <w:rPr>
      <w:b/>
      <w:bCs/>
      <w:kern w:val="44"/>
      <w:sz w:val="36"/>
      <w:szCs w:val="44"/>
    </w:rPr>
  </w:style>
  <w:style w:type="paragraph" w:styleId="3">
    <w:name w:val="heading 2"/>
    <w:basedOn w:val="1"/>
    <w:next w:val="1"/>
    <w:link w:val="27"/>
    <w:qFormat/>
    <w:uiPriority w:val="99"/>
    <w:pPr>
      <w:keepNext/>
      <w:keepLines/>
      <w:numPr>
        <w:ilvl w:val="1"/>
        <w:numId w:val="1"/>
      </w:numPr>
      <w:spacing w:before="120" w:after="120" w:line="415" w:lineRule="auto"/>
      <w:outlineLvl w:val="1"/>
    </w:pPr>
    <w:rPr>
      <w:b/>
      <w:bCs/>
      <w:sz w:val="32"/>
      <w:szCs w:val="32"/>
    </w:rPr>
  </w:style>
  <w:style w:type="paragraph" w:styleId="4">
    <w:name w:val="heading 3"/>
    <w:basedOn w:val="1"/>
    <w:next w:val="1"/>
    <w:link w:val="28"/>
    <w:qFormat/>
    <w:uiPriority w:val="99"/>
    <w:pPr>
      <w:keepNext/>
      <w:keepLines/>
      <w:numPr>
        <w:ilvl w:val="2"/>
        <w:numId w:val="1"/>
      </w:numPr>
      <w:spacing w:after="120"/>
      <w:outlineLvl w:val="2"/>
    </w:pPr>
    <w:rPr>
      <w:bCs/>
      <w:szCs w:val="32"/>
    </w:rPr>
  </w:style>
  <w:style w:type="paragraph" w:styleId="5">
    <w:name w:val="heading 4"/>
    <w:basedOn w:val="1"/>
    <w:next w:val="1"/>
    <w:link w:val="29"/>
    <w:qFormat/>
    <w:uiPriority w:val="99"/>
    <w:pPr>
      <w:keepNext/>
      <w:keepLines/>
      <w:numPr>
        <w:ilvl w:val="3"/>
        <w:numId w:val="1"/>
      </w:numPr>
      <w:spacing w:after="120"/>
      <w:outlineLvl w:val="3"/>
    </w:pPr>
    <w:rPr>
      <w:bCs/>
      <w:szCs w:val="28"/>
    </w:rPr>
  </w:style>
  <w:style w:type="character" w:default="1" w:styleId="23">
    <w:name w:val="Default Paragraph Font"/>
    <w:semiHidden/>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iPriority w:val="99"/>
    <w:pPr>
      <w:spacing w:line="240" w:lineRule="auto"/>
      <w:ind w:left="2520" w:leftChars="1200"/>
    </w:pPr>
    <w:rPr>
      <w:rFonts w:ascii="Calibri" w:hAnsi="Calibri"/>
      <w:sz w:val="21"/>
    </w:rPr>
  </w:style>
  <w:style w:type="paragraph" w:styleId="7">
    <w:name w:val="annotation text"/>
    <w:basedOn w:val="1"/>
    <w:link w:val="36"/>
    <w:semiHidden/>
    <w:uiPriority w:val="99"/>
    <w:pPr>
      <w:jc w:val="left"/>
    </w:pPr>
  </w:style>
  <w:style w:type="paragraph" w:styleId="8">
    <w:name w:val="toc 5"/>
    <w:basedOn w:val="1"/>
    <w:next w:val="1"/>
    <w:uiPriority w:val="99"/>
    <w:pPr>
      <w:spacing w:line="240" w:lineRule="auto"/>
      <w:ind w:left="1680" w:leftChars="800"/>
    </w:pPr>
    <w:rPr>
      <w:rFonts w:ascii="Calibri" w:hAnsi="Calibri"/>
      <w:sz w:val="21"/>
    </w:rPr>
  </w:style>
  <w:style w:type="paragraph" w:styleId="9">
    <w:name w:val="toc 3"/>
    <w:basedOn w:val="1"/>
    <w:next w:val="1"/>
    <w:uiPriority w:val="99"/>
    <w:pPr>
      <w:ind w:left="840" w:leftChars="400"/>
    </w:pPr>
  </w:style>
  <w:style w:type="paragraph" w:styleId="10">
    <w:name w:val="toc 8"/>
    <w:basedOn w:val="1"/>
    <w:next w:val="1"/>
    <w:uiPriority w:val="99"/>
    <w:pPr>
      <w:spacing w:line="240" w:lineRule="auto"/>
      <w:ind w:left="2940" w:leftChars="1400"/>
    </w:pPr>
    <w:rPr>
      <w:rFonts w:ascii="Calibri" w:hAnsi="Calibri"/>
      <w:sz w:val="21"/>
    </w:rPr>
  </w:style>
  <w:style w:type="paragraph" w:styleId="11">
    <w:name w:val="Balloon Text"/>
    <w:basedOn w:val="1"/>
    <w:link w:val="38"/>
    <w:semiHidden/>
    <w:uiPriority w:val="99"/>
    <w:pPr>
      <w:spacing w:line="240" w:lineRule="auto"/>
    </w:pPr>
    <w:rPr>
      <w:sz w:val="18"/>
      <w:szCs w:val="18"/>
    </w:rPr>
  </w:style>
  <w:style w:type="paragraph" w:styleId="12">
    <w:name w:val="footer"/>
    <w:basedOn w:val="1"/>
    <w:link w:val="31"/>
    <w:uiPriority w:val="99"/>
    <w:pPr>
      <w:tabs>
        <w:tab w:val="center" w:pos="4153"/>
        <w:tab w:val="right" w:pos="8306"/>
      </w:tabs>
      <w:snapToGrid w:val="0"/>
      <w:spacing w:line="240" w:lineRule="auto"/>
      <w:jc w:val="left"/>
    </w:pPr>
    <w:rPr>
      <w:sz w:val="18"/>
      <w:szCs w:val="18"/>
    </w:rPr>
  </w:style>
  <w:style w:type="paragraph" w:styleId="13">
    <w:name w:val="header"/>
    <w:basedOn w:val="1"/>
    <w:link w:val="30"/>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uiPriority w:val="99"/>
    <w:pPr>
      <w:tabs>
        <w:tab w:val="left" w:pos="420"/>
        <w:tab w:val="right" w:leader="dot" w:pos="8296"/>
      </w:tabs>
      <w:jc w:val="center"/>
    </w:pPr>
    <w:rPr>
      <w:b/>
    </w:rPr>
  </w:style>
  <w:style w:type="paragraph" w:styleId="15">
    <w:name w:val="toc 4"/>
    <w:basedOn w:val="1"/>
    <w:next w:val="1"/>
    <w:uiPriority w:val="99"/>
    <w:pPr>
      <w:spacing w:line="240" w:lineRule="auto"/>
      <w:ind w:left="1260" w:leftChars="600"/>
    </w:pPr>
    <w:rPr>
      <w:rFonts w:ascii="Calibri" w:hAnsi="Calibri"/>
      <w:sz w:val="21"/>
    </w:rPr>
  </w:style>
  <w:style w:type="paragraph" w:styleId="16">
    <w:name w:val="toc 6"/>
    <w:basedOn w:val="1"/>
    <w:next w:val="1"/>
    <w:uiPriority w:val="99"/>
    <w:pPr>
      <w:spacing w:line="240" w:lineRule="auto"/>
      <w:ind w:left="2100" w:leftChars="1000"/>
    </w:pPr>
    <w:rPr>
      <w:rFonts w:ascii="Calibri" w:hAnsi="Calibri"/>
      <w:sz w:val="21"/>
    </w:rPr>
  </w:style>
  <w:style w:type="paragraph" w:styleId="17">
    <w:name w:val="toc 2"/>
    <w:basedOn w:val="1"/>
    <w:next w:val="1"/>
    <w:uiPriority w:val="99"/>
    <w:pPr>
      <w:ind w:left="420" w:leftChars="200"/>
    </w:pPr>
  </w:style>
  <w:style w:type="paragraph" w:styleId="18">
    <w:name w:val="toc 9"/>
    <w:basedOn w:val="1"/>
    <w:next w:val="1"/>
    <w:uiPriority w:val="99"/>
    <w:pPr>
      <w:spacing w:line="240" w:lineRule="auto"/>
      <w:ind w:left="3360" w:leftChars="1600"/>
    </w:pPr>
    <w:rPr>
      <w:rFonts w:ascii="Calibri" w:hAnsi="Calibri"/>
      <w:sz w:val="21"/>
    </w:rPr>
  </w:style>
  <w:style w:type="paragraph" w:styleId="19">
    <w:name w:val="Normal (Web)"/>
    <w:basedOn w:val="1"/>
    <w:uiPriority w:val="99"/>
    <w:pPr>
      <w:widowControl/>
      <w:spacing w:before="100" w:beforeAutospacing="1" w:after="100" w:afterAutospacing="1" w:line="240" w:lineRule="auto"/>
      <w:jc w:val="left"/>
    </w:pPr>
    <w:rPr>
      <w:rFonts w:ascii="宋体" w:hAnsi="宋体" w:cs="宋体"/>
      <w:kern w:val="0"/>
      <w:szCs w:val="24"/>
    </w:rPr>
  </w:style>
  <w:style w:type="paragraph" w:styleId="20">
    <w:name w:val="annotation subject"/>
    <w:basedOn w:val="7"/>
    <w:next w:val="7"/>
    <w:link w:val="37"/>
    <w:semiHidden/>
    <w:uiPriority w:val="99"/>
    <w:rPr>
      <w:b/>
      <w:bCs/>
    </w:rPr>
  </w:style>
  <w:style w:type="table" w:styleId="22">
    <w:name w:val="Table Grid"/>
    <w:basedOn w:val="21"/>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uiPriority w:val="99"/>
    <w:rPr>
      <w:rFonts w:cs="Times New Roman"/>
      <w:color w:val="0563C1"/>
      <w:u w:val="single"/>
    </w:rPr>
  </w:style>
  <w:style w:type="character" w:styleId="25">
    <w:name w:val="annotation reference"/>
    <w:basedOn w:val="23"/>
    <w:semiHidden/>
    <w:uiPriority w:val="99"/>
    <w:rPr>
      <w:rFonts w:cs="Times New Roman"/>
      <w:sz w:val="21"/>
      <w:szCs w:val="21"/>
    </w:rPr>
  </w:style>
  <w:style w:type="character" w:customStyle="1" w:styleId="26">
    <w:name w:val="Heading 1 Char"/>
    <w:basedOn w:val="23"/>
    <w:link w:val="2"/>
    <w:locked/>
    <w:uiPriority w:val="99"/>
    <w:rPr>
      <w:rFonts w:ascii="Times New Roman" w:hAnsi="Times New Roman" w:eastAsia="宋体" w:cs="Times New Roman"/>
      <w:b/>
      <w:bCs/>
      <w:kern w:val="44"/>
      <w:sz w:val="44"/>
      <w:szCs w:val="44"/>
    </w:rPr>
  </w:style>
  <w:style w:type="character" w:customStyle="1" w:styleId="27">
    <w:name w:val="Heading 2 Char"/>
    <w:basedOn w:val="23"/>
    <w:link w:val="3"/>
    <w:locked/>
    <w:uiPriority w:val="99"/>
    <w:rPr>
      <w:rFonts w:ascii="Times New Roman" w:hAnsi="Times New Roman" w:eastAsia="宋体" w:cs="Times New Roman"/>
      <w:b/>
      <w:bCs/>
      <w:sz w:val="32"/>
      <w:szCs w:val="32"/>
    </w:rPr>
  </w:style>
  <w:style w:type="character" w:customStyle="1" w:styleId="28">
    <w:name w:val="Heading 3 Char"/>
    <w:basedOn w:val="23"/>
    <w:link w:val="4"/>
    <w:locked/>
    <w:uiPriority w:val="99"/>
    <w:rPr>
      <w:rFonts w:ascii="Times New Roman" w:hAnsi="Times New Roman" w:cs="Times New Roman"/>
      <w:bCs/>
      <w:sz w:val="32"/>
      <w:szCs w:val="32"/>
    </w:rPr>
  </w:style>
  <w:style w:type="character" w:customStyle="1" w:styleId="29">
    <w:name w:val="Heading 4 Char"/>
    <w:basedOn w:val="23"/>
    <w:link w:val="5"/>
    <w:locked/>
    <w:uiPriority w:val="99"/>
    <w:rPr>
      <w:rFonts w:ascii="Times New Roman" w:hAnsi="Times New Roman" w:eastAsia="宋体" w:cs="Times New Roman"/>
      <w:bCs/>
      <w:sz w:val="28"/>
      <w:szCs w:val="28"/>
    </w:rPr>
  </w:style>
  <w:style w:type="character" w:customStyle="1" w:styleId="30">
    <w:name w:val="Header Char"/>
    <w:basedOn w:val="23"/>
    <w:link w:val="13"/>
    <w:locked/>
    <w:uiPriority w:val="99"/>
    <w:rPr>
      <w:rFonts w:ascii="Times New Roman" w:hAnsi="Times New Roman" w:cs="Times New Roman"/>
      <w:sz w:val="18"/>
      <w:szCs w:val="18"/>
    </w:rPr>
  </w:style>
  <w:style w:type="character" w:customStyle="1" w:styleId="31">
    <w:name w:val="Footer Char"/>
    <w:basedOn w:val="23"/>
    <w:link w:val="12"/>
    <w:locked/>
    <w:uiPriority w:val="99"/>
    <w:rPr>
      <w:rFonts w:ascii="Times New Roman" w:hAnsi="Times New Roman" w:cs="Times New Roman"/>
      <w:sz w:val="18"/>
      <w:szCs w:val="18"/>
    </w:rPr>
  </w:style>
  <w:style w:type="paragraph" w:customStyle="1" w:styleId="32">
    <w:name w:val="Defaul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33">
    <w:name w:val="正文2"/>
    <w:basedOn w:val="1"/>
    <w:link w:val="34"/>
    <w:uiPriority w:val="99"/>
    <w:pPr>
      <w:spacing w:beforeLines="50" w:afterLines="50"/>
      <w:ind w:firstLine="480" w:firstLineChars="200"/>
    </w:pPr>
    <w:rPr>
      <w:rFonts w:ascii="Calibri" w:hAnsi="Calibri"/>
      <w:szCs w:val="24"/>
    </w:rPr>
  </w:style>
  <w:style w:type="character" w:customStyle="1" w:styleId="34">
    <w:name w:val="正文2 Char"/>
    <w:basedOn w:val="23"/>
    <w:link w:val="33"/>
    <w:locked/>
    <w:uiPriority w:val="99"/>
    <w:rPr>
      <w:rFonts w:cs="Times New Roman"/>
      <w:sz w:val="24"/>
      <w:szCs w:val="24"/>
    </w:rPr>
  </w:style>
  <w:style w:type="paragraph" w:styleId="35">
    <w:name w:val="List Paragraph"/>
    <w:basedOn w:val="1"/>
    <w:qFormat/>
    <w:uiPriority w:val="99"/>
    <w:pPr>
      <w:ind w:firstLine="420" w:firstLineChars="200"/>
    </w:pPr>
  </w:style>
  <w:style w:type="character" w:customStyle="1" w:styleId="36">
    <w:name w:val="Comment Text Char"/>
    <w:basedOn w:val="23"/>
    <w:link w:val="7"/>
    <w:semiHidden/>
    <w:locked/>
    <w:uiPriority w:val="99"/>
    <w:rPr>
      <w:rFonts w:ascii="Times New Roman" w:hAnsi="Times New Roman" w:cs="Times New Roman"/>
      <w:sz w:val="24"/>
    </w:rPr>
  </w:style>
  <w:style w:type="character" w:customStyle="1" w:styleId="37">
    <w:name w:val="Comment Subject Char"/>
    <w:basedOn w:val="36"/>
    <w:link w:val="20"/>
    <w:semiHidden/>
    <w:locked/>
    <w:uiPriority w:val="99"/>
    <w:rPr>
      <w:b/>
      <w:bCs/>
    </w:rPr>
  </w:style>
  <w:style w:type="character" w:customStyle="1" w:styleId="38">
    <w:name w:val="Balloon Text Char"/>
    <w:basedOn w:val="23"/>
    <w:link w:val="11"/>
    <w:semiHidden/>
    <w:locked/>
    <w:uiPriority w:val="99"/>
    <w:rPr>
      <w:rFonts w:ascii="Times New Roman" w:hAnsi="Times New Roman" w:cs="Times New Roman"/>
      <w:sz w:val="18"/>
      <w:szCs w:val="18"/>
    </w:rPr>
  </w:style>
  <w:style w:type="paragraph" w:customStyle="1" w:styleId="39">
    <w:name w:val="Revision"/>
    <w:hidden/>
    <w:semiHidden/>
    <w:uiPriority w:val="99"/>
    <w:rPr>
      <w:rFonts w:ascii="Times New Roman" w:hAnsi="Times New Roman" w:eastAsia="宋体" w:cs="Times New Roman"/>
      <w:kern w:val="2"/>
      <w:sz w:val="24"/>
      <w:szCs w:val="22"/>
      <w:lang w:val="en-US" w:eastAsia="zh-CN" w:bidi="ar-SA"/>
    </w:rPr>
  </w:style>
  <w:style w:type="paragraph" w:customStyle="1" w:styleId="40">
    <w:name w:val="表格文字左对齐"/>
    <w:basedOn w:val="1"/>
    <w:uiPriority w:val="99"/>
    <w:pPr>
      <w:tabs>
        <w:tab w:val="left" w:pos="-108"/>
      </w:tabs>
      <w:spacing w:line="240" w:lineRule="auto"/>
      <w:ind w:left="-38" w:leftChars="-16" w:firstLine="8" w:firstLineChars="5"/>
      <w:jc w:val="center"/>
    </w:pPr>
    <w:rPr>
      <w:rFonts w:ascii="黑体" w:eastAsia="黑体"/>
      <w:spacing w:val="-6"/>
      <w:kern w:val="0"/>
      <w:sz w:val="18"/>
      <w:szCs w:val="18"/>
    </w:rPr>
  </w:style>
  <w:style w:type="paragraph" w:customStyle="1" w:styleId="41">
    <w:name w:val="TOC Heading"/>
    <w:basedOn w:val="2"/>
    <w:next w:val="1"/>
    <w:qFormat/>
    <w:uiPriority w:val="99"/>
    <w:pPr>
      <w:widowControl/>
      <w:numPr>
        <w:numId w:val="0"/>
      </w:numPr>
      <w:spacing w:before="240" w:after="0" w:line="259" w:lineRule="auto"/>
      <w:jc w:val="left"/>
      <w:outlineLvl w:val="9"/>
    </w:pPr>
    <w:rPr>
      <w:rFonts w:ascii="Calibri Light" w:hAnsi="Calibri Light"/>
      <w:b w:val="0"/>
      <w:bCs w:val="0"/>
      <w:color w:val="2E74B5"/>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image" Target="media/image17.emf"/><Relationship Id="rId4" Type="http://schemas.openxmlformats.org/officeDocument/2006/relationships/endnotes" Target="endnotes.xml"/><Relationship Id="rId39" Type="http://schemas.openxmlformats.org/officeDocument/2006/relationships/image" Target="media/image16.emf"/><Relationship Id="rId38" Type="http://schemas.openxmlformats.org/officeDocument/2006/relationships/image" Target="media/image15.emf"/><Relationship Id="rId37" Type="http://schemas.openxmlformats.org/officeDocument/2006/relationships/image" Target="media/image14.emf"/><Relationship Id="rId36" Type="http://schemas.openxmlformats.org/officeDocument/2006/relationships/image" Target="media/image13.emf"/><Relationship Id="rId35" Type="http://schemas.openxmlformats.org/officeDocument/2006/relationships/image" Target="media/image12.emf"/><Relationship Id="rId34" Type="http://schemas.openxmlformats.org/officeDocument/2006/relationships/image" Target="media/image11.emf"/><Relationship Id="rId33" Type="http://schemas.openxmlformats.org/officeDocument/2006/relationships/image" Target="media/image10.emf"/><Relationship Id="rId32" Type="http://schemas.openxmlformats.org/officeDocument/2006/relationships/image" Target="media/image9.emf"/><Relationship Id="rId31" Type="http://schemas.openxmlformats.org/officeDocument/2006/relationships/image" Target="media/image8.emf"/><Relationship Id="rId30" Type="http://schemas.openxmlformats.org/officeDocument/2006/relationships/image" Target="media/image7.emf"/><Relationship Id="rId3" Type="http://schemas.openxmlformats.org/officeDocument/2006/relationships/footnotes" Target="footnotes.xml"/><Relationship Id="rId29" Type="http://schemas.openxmlformats.org/officeDocument/2006/relationships/image" Target="media/image6.emf"/><Relationship Id="rId28" Type="http://schemas.openxmlformats.org/officeDocument/2006/relationships/image" Target="media/image5.emf"/><Relationship Id="rId27" Type="http://schemas.openxmlformats.org/officeDocument/2006/relationships/image" Target="media/image4.emf"/><Relationship Id="rId26" Type="http://schemas.openxmlformats.org/officeDocument/2006/relationships/package" Target="embeddings/Microsoft_Visio___4.vsdx"/><Relationship Id="rId25" Type="http://schemas.openxmlformats.org/officeDocument/2006/relationships/image" Target="media/image3.emf"/><Relationship Id="rId24" Type="http://schemas.openxmlformats.org/officeDocument/2006/relationships/package" Target="embeddings/Microsoft_Visio___3.vsdx"/><Relationship Id="rId23" Type="http://schemas.openxmlformats.org/officeDocument/2006/relationships/image" Target="media/image2.emf"/><Relationship Id="rId22" Type="http://schemas.openxmlformats.org/officeDocument/2006/relationships/package" Target="embeddings/Microsoft_Visio___2.vsdx"/><Relationship Id="rId21" Type="http://schemas.openxmlformats.org/officeDocument/2006/relationships/image" Target="media/image1.emf"/><Relationship Id="rId20" Type="http://schemas.openxmlformats.org/officeDocument/2006/relationships/package" Target="embeddings/Microsoft_Visio___1.vsdx"/><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52</Pages>
  <Words>21968</Words>
  <Characters>23730</Characters>
  <Lines>0</Lines>
  <Paragraphs>0</Paragraphs>
  <TotalTime>0</TotalTime>
  <ScaleCrop>false</ScaleCrop>
  <LinksUpToDate>false</LinksUpToDate>
  <CharactersWithSpaces>23978</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2017-10-19T08:26:00Z</dcterms:created>
  <dc:creator>dell</dc:creator>
  <cp:lastModifiedBy>。。。</cp:lastModifiedBy>
  <cp:lastPrinted>2017-10-20T08:45:00Z</cp:lastPrinted>
  <dcterms:modified xsi:type="dcterms:W3CDTF">2023-03-02T10:08:48Z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154C226AA9B2416B9AC5CC8D04A9925D</vt:lpwstr>
  </property>
</Properties>
</file>