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lang w:val="en-US" w:eastAsia="zh-CN"/>
        </w:rPr>
      </w:pPr>
      <w:bookmarkStart w:id="0" w:name="_GoBack"/>
      <w:bookmarkEnd w:id="0"/>
      <w:r>
        <w:rPr>
          <w:sz w:val="44"/>
          <w:szCs w:val="44"/>
        </w:rPr>
        <mc:AlternateContent>
          <mc:Choice Requires="wps">
            <w:drawing>
              <wp:anchor distT="0" distB="0" distL="114300" distR="114300" simplePos="0" relativeHeight="251661312" behindDoc="0" locked="0" layoutInCell="1" allowOverlap="1">
                <wp:simplePos x="0" y="0"/>
                <wp:positionH relativeFrom="column">
                  <wp:posOffset>-305435</wp:posOffset>
                </wp:positionH>
                <wp:positionV relativeFrom="paragraph">
                  <wp:posOffset>-701675</wp:posOffset>
                </wp:positionV>
                <wp:extent cx="821055" cy="370205"/>
                <wp:effectExtent l="0" t="0" r="17145" b="10795"/>
                <wp:wrapNone/>
                <wp:docPr id="2" name="文本框 2"/>
                <wp:cNvGraphicFramePr/>
                <a:graphic xmlns:a="http://schemas.openxmlformats.org/drawingml/2006/main">
                  <a:graphicData uri="http://schemas.microsoft.com/office/word/2010/wordprocessingShape">
                    <wps:wsp>
                      <wps:cNvSpPr txBox="1"/>
                      <wps:spPr>
                        <a:xfrm>
                          <a:off x="608965" y="441325"/>
                          <a:ext cx="821055" cy="370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5pt;margin-top:-55.25pt;height:29.15pt;width:64.65pt;z-index:251661312;mso-width-relative:page;mso-height-relative:page;" fillcolor="#FFFFFF [3201]" filled="t" stroked="f" coordsize="21600,21600" o:gfxdata="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3iZmXVAAAACwEAAA8AAAAAAAAAAQAgAAAAIgAAAGRycy9k&#10;b3ducmV2LnhtbFBLAQIUABQAAAAIAIdO4kDNGaCUPgIAAEoEAAAOAAAAAAAAAAEAIAAAACQBAABk&#10;cnMvZTJvRG9jLnhtbFBLBQYAAAAABgAGAFkBAADUBQAAAAA=&#10;">
                <v:fill on="t" focussize="0,0"/>
                <v:stroke on="f" weight="0.5pt"/>
                <v:imagedata o:title=""/>
                <o:lock v:ext="edit" aspectratio="f"/>
                <v:textbox>
                  <w:txbxContent>
                    <w:p>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w:t>
                      </w:r>
                    </w:p>
                  </w:txbxContent>
                </v:textbox>
              </v:shape>
            </w:pict>
          </mc:Fallback>
        </mc:AlternateContent>
      </w:r>
      <w:r>
        <w:rPr>
          <w:rFonts w:hint="eastAsia" w:ascii="方正小标宋简体" w:hAnsi="方正小标宋简体" w:eastAsia="方正小标宋简体" w:cs="方正小标宋简体"/>
          <w:sz w:val="44"/>
          <w:szCs w:val="44"/>
          <w:lang w:val="en-US" w:eastAsia="zh-CN"/>
        </w:rPr>
        <w:t>公众反馈意见回复情况表</w:t>
      </w:r>
    </w:p>
    <w:tbl>
      <w:tblPr>
        <w:tblStyle w:val="3"/>
        <w:tblW w:w="14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306"/>
        <w:gridCol w:w="1440"/>
        <w:gridCol w:w="5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公众反馈意见</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采纳情况</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回复意见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设计一些类似夜间慢跑道等活动设置。</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采纳</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会根据地块性质及周边社会环境，适量考虑增列一些便民设置。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绿化植物种植要丰富一些，特别是增加开花树木种植。</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采纳</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本项目的绿化设计采用了大量乡土树种，以及结合当地气候地理特征选择适合的园林常用植物品种进行营造各种空间氛围，形成五彩缤纷四季变化的景象。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建议在河涌景观绿化带、绿化隔离带、街头公园增加市民休闲健身场所及公共厕所等服务设施。</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采纳</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根据河涌绿地、街头绿地周边用地功能，目前在居住区周边设置了休闲健身场所，结合群众意见，下阶段在其他区域也多增加布置。绿化隔离带以道路生态绿化防护为主，不考虑在道路绿化隔离带设置健身设施。公共厕所根据规范及人流，将进一步优化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南沙是科创之城，庆盛片区又是教育科创核心区，建议多设计些有创意的公共活动空间和科技智慧设施。</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采纳</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项目多点运用光伏低碳节能，如在景观桥梁、景观廊架中运用太阳能薄膜材料，下阶段将增加融入智能智慧产品等方式来加强庆盛的科技元素，体现科创新城。</w:t>
            </w:r>
          </w:p>
        </w:tc>
      </w:tr>
    </w:tbl>
    <w:p>
      <w:pPr>
        <w:rPr>
          <w:rFonts w:hint="default" w:ascii="方正仿宋_GB2312" w:hAnsi="方正仿宋_GB2312" w:eastAsia="方正仿宋_GB2312" w:cs="方正仿宋_GB2312"/>
          <w:color w:val="auto"/>
          <w:sz w:val="32"/>
          <w:szCs w:val="32"/>
          <w:lang w:val="en-US" w:eastAsia="zh-CN"/>
        </w:rPr>
      </w:pPr>
    </w:p>
    <w:p/>
    <w:sectPr>
      <w:pgSz w:w="16838" w:h="11906" w:orient="landscape"/>
      <w:pgMar w:top="16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45153"/>
    <w:rsid w:val="53F45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2023-01-18T10:33:00Z</dcterms:created>
  <dc:creator>lenovo</dc:creator>
  <cp:lastModifiedBy>lenovo</cp:lastModifiedBy>
  <dcterms:modified xsi:type="dcterms:W3CDTF">2023-01-18T10:34:14Z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