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4"/>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《广州南沙新区</w:t>
      </w:r>
      <w:bookmarkStart w:id="0" w:name="_GoBack"/>
      <w:bookmarkEnd w:id="0"/>
      <w:r>
        <w:rPr>
          <w:rFonts w:hint="eastAsia" w:ascii="方正小标宋简体" w:hAnsi="方正小标宋简体" w:eastAsia="方正小标宋简体" w:cs="方正小标宋简体"/>
          <w:bCs/>
          <w:color w:val="000000"/>
          <w:sz w:val="44"/>
          <w:szCs w:val="44"/>
          <w:lang w:val="en-US" w:eastAsia="zh-CN"/>
        </w:rPr>
        <w:t>（自贸片区）鼓励支持港澳青年创业就业实施细则（征求意见稿）》公众意见采纳情况汇总表</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bCs/>
          <w:color w:val="000000"/>
          <w:sz w:val="44"/>
          <w:szCs w:val="44"/>
          <w:lang w:val="en-US" w:eastAsia="zh-CN"/>
        </w:rPr>
      </w:pPr>
    </w:p>
    <w:tbl>
      <w:tblPr>
        <w:tblStyle w:val="6"/>
        <w:tblW w:w="14506"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425"/>
        <w:gridCol w:w="7336"/>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Cs/>
                <w:color w:val="000000"/>
                <w:sz w:val="32"/>
                <w:szCs w:val="32"/>
                <w:vertAlign w:val="baseline"/>
                <w:lang w:val="en-US" w:eastAsia="zh-CN"/>
              </w:rPr>
            </w:pPr>
            <w:r>
              <w:rPr>
                <w:rFonts w:hint="eastAsia" w:ascii="黑体" w:hAnsi="黑体" w:eastAsia="黑体" w:cs="黑体"/>
                <w:bCs/>
                <w:color w:val="000000"/>
                <w:sz w:val="32"/>
                <w:szCs w:val="32"/>
                <w:vertAlign w:val="baseline"/>
                <w:lang w:val="en-US" w:eastAsia="zh-CN"/>
              </w:rPr>
              <w:t>序号</w:t>
            </w:r>
          </w:p>
        </w:tc>
        <w:tc>
          <w:tcPr>
            <w:tcW w:w="142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Cs/>
                <w:color w:val="000000"/>
                <w:sz w:val="32"/>
                <w:szCs w:val="32"/>
                <w:vertAlign w:val="baseline"/>
                <w:lang w:val="en-US" w:eastAsia="zh-CN"/>
              </w:rPr>
            </w:pPr>
            <w:r>
              <w:rPr>
                <w:rFonts w:hint="eastAsia" w:ascii="黑体" w:hAnsi="黑体" w:eastAsia="黑体" w:cs="黑体"/>
                <w:bCs/>
                <w:color w:val="000000"/>
                <w:sz w:val="32"/>
                <w:szCs w:val="32"/>
                <w:vertAlign w:val="baseline"/>
                <w:lang w:val="en-US" w:eastAsia="zh-CN"/>
              </w:rPr>
              <w:t>提出人</w:t>
            </w:r>
          </w:p>
        </w:tc>
        <w:tc>
          <w:tcPr>
            <w:tcW w:w="733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Cs/>
                <w:color w:val="000000"/>
                <w:sz w:val="32"/>
                <w:szCs w:val="32"/>
                <w:vertAlign w:val="baseline"/>
                <w:lang w:val="en-US" w:eastAsia="zh-CN"/>
              </w:rPr>
            </w:pPr>
            <w:r>
              <w:rPr>
                <w:rFonts w:hint="eastAsia" w:ascii="黑体" w:hAnsi="黑体" w:eastAsia="黑体" w:cs="黑体"/>
                <w:bCs/>
                <w:color w:val="000000"/>
                <w:sz w:val="32"/>
                <w:szCs w:val="32"/>
                <w:vertAlign w:val="baseline"/>
                <w:lang w:val="en-US" w:eastAsia="zh-CN"/>
              </w:rPr>
              <w:t>具体意见</w:t>
            </w:r>
          </w:p>
        </w:tc>
        <w:tc>
          <w:tcPr>
            <w:tcW w:w="487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Cs/>
                <w:color w:val="000000"/>
                <w:sz w:val="32"/>
                <w:szCs w:val="32"/>
                <w:vertAlign w:val="baseline"/>
                <w:lang w:val="en-US" w:eastAsia="zh-CN"/>
              </w:rPr>
            </w:pPr>
            <w:r>
              <w:rPr>
                <w:rFonts w:hint="eastAsia" w:ascii="黑体" w:hAnsi="黑体" w:eastAsia="黑体" w:cs="黑体"/>
                <w:bCs/>
                <w:color w:val="000000"/>
                <w:sz w:val="32"/>
                <w:szCs w:val="32"/>
                <w:vertAlign w:val="baseline"/>
                <w:lang w:val="en-US" w:eastAsia="zh-CN"/>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87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1</w:t>
            </w:r>
          </w:p>
        </w:tc>
        <w:tc>
          <w:tcPr>
            <w:tcW w:w="142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苏传慧</w:t>
            </w:r>
          </w:p>
        </w:tc>
        <w:tc>
          <w:tcPr>
            <w:tcW w:w="7336" w:type="dxa"/>
          </w:tcPr>
          <w:p>
            <w:pPr>
              <w:pStyle w:val="3"/>
              <w:widowControl w:val="0"/>
              <w:numPr>
                <w:ilvl w:val="0"/>
                <w:numId w:val="1"/>
              </w:numPr>
              <w:spacing w:before="0" w:beforeAutospacing="0" w:after="0" w:afterAutospacing="0" w:line="560" w:lineRule="exact"/>
              <w:ind w:firstLine="560" w:firstLineChars="200"/>
              <w:jc w:val="both"/>
              <w:rPr>
                <w:rFonts w:hint="eastAsia" w:ascii="Times New Roman" w:hAnsi="Times New Roman"/>
                <w:sz w:val="28"/>
                <w:szCs w:val="28"/>
                <w:highlight w:val="none"/>
                <w:lang w:eastAsia="zh-CN"/>
              </w:rPr>
            </w:pPr>
            <w:r>
              <w:rPr>
                <w:rFonts w:hint="eastAsia" w:ascii="仿宋_GB2312" w:hAnsi="仿宋_GB2312" w:cs="仿宋_GB2312"/>
                <w:bCs/>
                <w:color w:val="000000"/>
                <w:sz w:val="28"/>
                <w:szCs w:val="28"/>
                <w:highlight w:val="none"/>
                <w:vertAlign w:val="baseline"/>
                <w:lang w:val="en-US" w:eastAsia="zh-CN"/>
              </w:rPr>
              <w:t>第十一条 （四）</w:t>
            </w:r>
            <w:r>
              <w:rPr>
                <w:rFonts w:ascii="Times New Roman" w:hAnsi="Times New Roman" w:eastAsia="楷体"/>
                <w:sz w:val="28"/>
                <w:szCs w:val="28"/>
                <w:highlight w:val="none"/>
              </w:rPr>
              <w:t>医疗保险补贴</w:t>
            </w:r>
            <w:r>
              <w:rPr>
                <w:rFonts w:hint="eastAsia" w:eastAsia="楷体"/>
                <w:sz w:val="28"/>
                <w:szCs w:val="28"/>
                <w:highlight w:val="none"/>
                <w:lang w:val="en-US" w:eastAsia="zh-CN"/>
              </w:rPr>
              <w:t xml:space="preserve"> 奖补标准 </w:t>
            </w:r>
            <w:r>
              <w:rPr>
                <w:rFonts w:ascii="Times New Roman" w:hAnsi="Times New Roman"/>
                <w:sz w:val="28"/>
                <w:szCs w:val="28"/>
                <w:highlight w:val="none"/>
              </w:rPr>
              <w:t>2.商业保险补贴按照申请人在境内取得经营保险业务许可证、营业执照且合法经营的保险机构购买的保费金额进行补贴</w:t>
            </w:r>
            <w:r>
              <w:rPr>
                <w:rFonts w:hint="eastAsia" w:ascii="Times New Roman" w:hAnsi="Times New Roman"/>
                <w:sz w:val="28"/>
                <w:szCs w:val="28"/>
                <w:highlight w:val="none"/>
                <w:lang w:eastAsia="zh-CN"/>
              </w:rPr>
              <w:t>。</w:t>
            </w:r>
          </w:p>
          <w:p>
            <w:pPr>
              <w:pStyle w:val="3"/>
              <w:widowControl w:val="0"/>
              <w:numPr>
                <w:ilvl w:val="0"/>
                <w:numId w:val="0"/>
              </w:numPr>
              <w:spacing w:before="0" w:beforeAutospacing="0" w:after="0" w:afterAutospacing="0" w:line="560" w:lineRule="exact"/>
              <w:ind w:firstLine="640"/>
              <w:jc w:val="both"/>
              <w:rPr>
                <w:rFonts w:hint="eastAsia" w:ascii="Times New Roman" w:hAnsi="Times New Roman"/>
                <w:sz w:val="28"/>
                <w:szCs w:val="28"/>
                <w:highlight w:val="none"/>
                <w:lang w:eastAsia="zh-CN"/>
              </w:rPr>
            </w:pPr>
            <w:r>
              <w:rPr>
                <w:rFonts w:hint="eastAsia" w:ascii="Times New Roman" w:hAnsi="Times New Roman"/>
                <w:sz w:val="28"/>
                <w:szCs w:val="28"/>
                <w:highlight w:val="none"/>
                <w:lang w:val="en-US" w:eastAsia="zh-CN"/>
              </w:rPr>
              <w:t>建议将该条修改为：</w:t>
            </w:r>
            <w:r>
              <w:rPr>
                <w:rFonts w:ascii="Times New Roman" w:hAnsi="Times New Roman"/>
                <w:sz w:val="28"/>
                <w:szCs w:val="28"/>
                <w:highlight w:val="none"/>
              </w:rPr>
              <w:t>商业保险补贴按照申请人</w:t>
            </w:r>
            <w:r>
              <w:rPr>
                <w:rFonts w:hint="eastAsia" w:ascii="Times New Roman" w:hAnsi="Times New Roman"/>
                <w:sz w:val="28"/>
                <w:szCs w:val="28"/>
                <w:highlight w:val="none"/>
                <w:lang w:val="en-US" w:eastAsia="zh-CN"/>
              </w:rPr>
              <w:t>或用人单位</w:t>
            </w:r>
            <w:r>
              <w:rPr>
                <w:rFonts w:ascii="Times New Roman" w:hAnsi="Times New Roman"/>
                <w:sz w:val="28"/>
                <w:szCs w:val="28"/>
                <w:highlight w:val="none"/>
              </w:rPr>
              <w:t>在境内取得经营保险业务许可证、营业执照且合法经营的保险机构购买的保费金额进行补贴</w:t>
            </w:r>
            <w:r>
              <w:rPr>
                <w:rFonts w:hint="eastAsia" w:ascii="Times New Roman" w:hAnsi="Times New Roman"/>
                <w:sz w:val="28"/>
                <w:szCs w:val="28"/>
                <w:highlight w:val="none"/>
                <w:lang w:eastAsia="zh-CN"/>
              </w:rPr>
              <w:t>。</w:t>
            </w:r>
          </w:p>
          <w:p>
            <w:pPr>
              <w:pStyle w:val="3"/>
              <w:widowControl w:val="0"/>
              <w:numPr>
                <w:ilvl w:val="0"/>
                <w:numId w:val="0"/>
              </w:numPr>
              <w:spacing w:before="0" w:beforeAutospacing="0" w:after="0" w:afterAutospacing="0" w:line="560" w:lineRule="exact"/>
              <w:ind w:firstLine="640"/>
              <w:jc w:val="both"/>
              <w:rPr>
                <w:rFonts w:hint="default" w:ascii="仿宋_GB2312" w:hAnsi="仿宋_GB2312" w:eastAsia="楷体" w:cs="仿宋_GB2312"/>
                <w:bCs/>
                <w:color w:val="000000"/>
                <w:sz w:val="28"/>
                <w:szCs w:val="28"/>
                <w:vertAlign w:val="baseline"/>
                <w:lang w:val="en-US" w:eastAsia="zh-CN"/>
              </w:rPr>
            </w:pPr>
            <w:r>
              <w:rPr>
                <w:rFonts w:hint="eastAsia" w:ascii="Times New Roman" w:hAnsi="Times New Roman"/>
                <w:sz w:val="28"/>
                <w:szCs w:val="28"/>
                <w:highlight w:val="none"/>
                <w:lang w:val="en-US" w:eastAsia="zh-CN"/>
              </w:rPr>
              <w:t>原因如下：如果是港澳籍人员自行购买商业保险，那么这个补贴就只能激励到个人；但如果是用人单位统一给港澳籍青年购买了商业保险，那么这个奖补政策也能惠及用人单位，对港澳籍青年和用人单位都是双赢，既然增加用人单位提高人员福利的意愿，也能增加用人单位的招工吸引力，最终惠及的都是港澳籍青年。</w:t>
            </w:r>
          </w:p>
        </w:tc>
        <w:tc>
          <w:tcPr>
            <w:tcW w:w="487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bCs/>
                <w:color w:val="000000"/>
                <w:sz w:val="28"/>
                <w:szCs w:val="28"/>
                <w:vertAlign w:val="baseline"/>
                <w:lang w:val="en-US" w:eastAsia="zh-CN"/>
              </w:rPr>
            </w:pPr>
            <w:r>
              <w:rPr>
                <w:rFonts w:hint="eastAsia" w:ascii="仿宋_GB2312" w:hAnsi="仿宋_GB2312" w:cs="仿宋_GB2312"/>
                <w:bCs/>
                <w:color w:val="000000"/>
                <w:sz w:val="28"/>
                <w:szCs w:val="28"/>
                <w:lang w:val="en-US" w:eastAsia="zh-CN"/>
              </w:rPr>
              <w:t>不采纳。</w:t>
            </w:r>
            <w:r>
              <w:rPr>
                <w:rFonts w:hint="default" w:ascii="仿宋_GB2312" w:hAnsi="仿宋_GB2312" w:eastAsia="仿宋_GB2312" w:cs="仿宋_GB2312"/>
                <w:bCs/>
                <w:color w:val="000000"/>
                <w:sz w:val="28"/>
                <w:szCs w:val="28"/>
                <w:lang w:val="en-US" w:eastAsia="zh-CN"/>
              </w:rPr>
              <w:t>《广州南沙新区（自贸片区）鼓励支持港澳青年</w:t>
            </w:r>
            <w:r>
              <w:rPr>
                <w:rFonts w:hint="eastAsia" w:ascii="仿宋_GB2312" w:hAnsi="仿宋_GB2312" w:cs="仿宋_GB2312"/>
                <w:bCs/>
                <w:color w:val="000000"/>
                <w:sz w:val="28"/>
                <w:szCs w:val="28"/>
                <w:lang w:val="en-US" w:eastAsia="zh-CN"/>
              </w:rPr>
              <w:t>创业就业</w:t>
            </w:r>
            <w:r>
              <w:rPr>
                <w:rFonts w:hint="default" w:ascii="仿宋_GB2312" w:hAnsi="仿宋_GB2312" w:eastAsia="仿宋_GB2312" w:cs="仿宋_GB2312"/>
                <w:bCs/>
                <w:color w:val="000000"/>
                <w:sz w:val="28"/>
                <w:szCs w:val="28"/>
                <w:lang w:val="en-US" w:eastAsia="zh-CN"/>
              </w:rPr>
              <w:t>实施</w:t>
            </w:r>
            <w:r>
              <w:rPr>
                <w:rFonts w:hint="eastAsia" w:ascii="仿宋_GB2312" w:hAnsi="仿宋_GB2312" w:cs="仿宋_GB2312"/>
                <w:bCs/>
                <w:color w:val="000000"/>
                <w:sz w:val="28"/>
                <w:szCs w:val="28"/>
                <w:lang w:val="en-US" w:eastAsia="zh-CN"/>
              </w:rPr>
              <w:t>细则</w:t>
            </w:r>
            <w:r>
              <w:rPr>
                <w:rFonts w:hint="default" w:ascii="仿宋_GB2312" w:hAnsi="仿宋_GB2312" w:eastAsia="仿宋_GB2312" w:cs="仿宋_GB2312"/>
                <w:bCs/>
                <w:color w:val="000000"/>
                <w:sz w:val="28"/>
                <w:szCs w:val="28"/>
                <w:lang w:val="en-US" w:eastAsia="zh-CN"/>
              </w:rPr>
              <w:t>》</w:t>
            </w:r>
            <w:r>
              <w:rPr>
                <w:rFonts w:hint="eastAsia" w:ascii="仿宋_GB2312" w:hAnsi="仿宋_GB2312" w:cs="仿宋_GB2312"/>
                <w:bCs/>
                <w:color w:val="000000"/>
                <w:sz w:val="28"/>
                <w:szCs w:val="28"/>
                <w:vertAlign w:val="baseline"/>
                <w:lang w:val="en-US" w:eastAsia="zh-CN"/>
              </w:rPr>
              <w:t>根据《实施办法》制定执行，</w:t>
            </w:r>
            <w:r>
              <w:rPr>
                <w:rFonts w:hint="default" w:ascii="仿宋_GB2312" w:hAnsi="仿宋_GB2312" w:eastAsia="仿宋_GB2312" w:cs="仿宋_GB2312"/>
                <w:bCs/>
                <w:color w:val="000000"/>
                <w:sz w:val="28"/>
                <w:szCs w:val="28"/>
                <w:lang w:val="en-US" w:eastAsia="zh-CN"/>
              </w:rPr>
              <w:t>《广州南沙新区（自贸片区）鼓励支持港澳青年</w:t>
            </w:r>
            <w:r>
              <w:rPr>
                <w:rFonts w:hint="eastAsia" w:ascii="仿宋_GB2312" w:hAnsi="仿宋_GB2312" w:cs="仿宋_GB2312"/>
                <w:bCs/>
                <w:color w:val="000000"/>
                <w:sz w:val="28"/>
                <w:szCs w:val="28"/>
                <w:lang w:val="en-US" w:eastAsia="zh-CN"/>
              </w:rPr>
              <w:t>创业就业</w:t>
            </w:r>
            <w:r>
              <w:rPr>
                <w:rFonts w:hint="default" w:ascii="仿宋_GB2312" w:hAnsi="仿宋_GB2312" w:eastAsia="仿宋_GB2312" w:cs="仿宋_GB2312"/>
                <w:bCs/>
                <w:color w:val="000000"/>
                <w:sz w:val="28"/>
                <w:szCs w:val="28"/>
                <w:lang w:val="en-US" w:eastAsia="zh-CN"/>
              </w:rPr>
              <w:t>实施</w:t>
            </w:r>
            <w:r>
              <w:rPr>
                <w:rFonts w:hint="eastAsia" w:ascii="仿宋_GB2312" w:hAnsi="仿宋_GB2312" w:cs="仿宋_GB2312"/>
                <w:bCs/>
                <w:color w:val="000000"/>
                <w:sz w:val="28"/>
                <w:szCs w:val="28"/>
                <w:lang w:val="en-US" w:eastAsia="zh-CN"/>
              </w:rPr>
              <w:t>办法</w:t>
            </w:r>
            <w:r>
              <w:rPr>
                <w:rFonts w:hint="default" w:ascii="仿宋_GB2312" w:hAnsi="仿宋_GB2312" w:eastAsia="仿宋_GB2312" w:cs="仿宋_GB2312"/>
                <w:bCs/>
                <w:color w:val="000000"/>
                <w:sz w:val="28"/>
                <w:szCs w:val="28"/>
                <w:lang w:val="en-US" w:eastAsia="zh-CN"/>
              </w:rPr>
              <w:t>》</w:t>
            </w:r>
            <w:r>
              <w:rPr>
                <w:rFonts w:hint="eastAsia" w:ascii="仿宋_GB2312" w:hAnsi="仿宋_GB2312" w:cs="仿宋_GB2312"/>
                <w:bCs/>
                <w:color w:val="000000"/>
                <w:sz w:val="28"/>
                <w:szCs w:val="28"/>
                <w:lang w:val="en-US" w:eastAsia="zh-CN"/>
              </w:rPr>
              <w:t>（简称“《实施办法》”）</w:t>
            </w:r>
            <w:r>
              <w:rPr>
                <w:rFonts w:hint="eastAsia" w:ascii="仿宋_GB2312" w:hAnsi="仿宋_GB2312" w:cs="仿宋_GB2312"/>
                <w:bCs/>
                <w:color w:val="000000"/>
                <w:sz w:val="28"/>
                <w:szCs w:val="28"/>
                <w:vertAlign w:val="baseline"/>
                <w:lang w:val="en-US" w:eastAsia="zh-CN"/>
              </w:rPr>
              <w:t>已正式印发并明确“医疗保险补贴”是对港澳青年个人进行补贴，《实施细则》不应突破、变更《实施办法》规定，故暂不采纳。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2</w:t>
            </w:r>
          </w:p>
        </w:tc>
        <w:tc>
          <w:tcPr>
            <w:tcW w:w="142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杨淑媚</w:t>
            </w:r>
          </w:p>
        </w:tc>
        <w:tc>
          <w:tcPr>
            <w:tcW w:w="7336" w:type="dxa"/>
            <w:vAlign w:val="top"/>
          </w:tcPr>
          <w:p>
            <w:pPr>
              <w:jc w:val="both"/>
              <w:rPr>
                <w:rFonts w:hint="eastAsia"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第</w:t>
            </w:r>
            <w:r>
              <w:rPr>
                <w:rFonts w:hint="eastAsia" w:ascii="Times New Roman" w:hAnsi="Times New Roman" w:eastAsia="仿宋_GB2312" w:cs="Times New Roman"/>
                <w:color w:val="auto"/>
                <w:sz w:val="28"/>
                <w:szCs w:val="28"/>
                <w:highlight w:val="none"/>
                <w:lang w:val="en-US" w:eastAsia="zh-CN"/>
              </w:rPr>
              <w:t>九</w:t>
            </w:r>
            <w:r>
              <w:rPr>
                <w:rFonts w:hint="default" w:ascii="Times New Roman" w:hAnsi="Times New Roman" w:eastAsia="仿宋_GB2312" w:cs="Times New Roman"/>
                <w:color w:val="auto"/>
                <w:sz w:val="28"/>
                <w:szCs w:val="28"/>
                <w:highlight w:val="none"/>
              </w:rPr>
              <w:t>条</w:t>
            </w:r>
            <w:r>
              <w:rPr>
                <w:rFonts w:hint="eastAsia" w:ascii="Times New Roman" w:hAnsi="Times New Roman" w:eastAsia="仿宋_GB2312" w:cs="Times New Roman"/>
                <w:color w:val="auto"/>
                <w:sz w:val="28"/>
                <w:szCs w:val="28"/>
                <w:highlight w:val="none"/>
                <w:lang w:eastAsia="zh-CN"/>
              </w:rPr>
              <w:t>（</w:t>
            </w:r>
            <w:r>
              <w:rPr>
                <w:rFonts w:hint="eastAsia" w:ascii="Times New Roman" w:hAnsi="Times New Roman" w:eastAsia="仿宋_GB2312" w:cs="Times New Roman"/>
                <w:color w:val="auto"/>
                <w:sz w:val="28"/>
                <w:szCs w:val="28"/>
                <w:highlight w:val="none"/>
                <w:lang w:val="en-US" w:eastAsia="zh-CN"/>
              </w:rPr>
              <w:t>一</w:t>
            </w:r>
            <w:r>
              <w:rPr>
                <w:rFonts w:hint="eastAsia" w:ascii="Times New Roman" w:hAnsi="Times New Roman" w:eastAsia="仿宋_GB2312" w:cs="Times New Roman"/>
                <w:color w:val="auto"/>
                <w:sz w:val="28"/>
                <w:szCs w:val="28"/>
                <w:highlight w:val="none"/>
                <w:lang w:eastAsia="zh-CN"/>
              </w:rPr>
              <w:t>）</w:t>
            </w:r>
            <w:r>
              <w:rPr>
                <w:rFonts w:hint="eastAsia" w:ascii="Times New Roman" w:hAnsi="Times New Roman" w:eastAsia="仿宋_GB2312" w:cs="Times New Roman"/>
                <w:color w:val="auto"/>
                <w:sz w:val="28"/>
                <w:szCs w:val="28"/>
                <w:highlight w:val="none"/>
                <w:lang w:val="en-US" w:eastAsia="zh-CN"/>
              </w:rPr>
              <w:t>重大活动补贴申请条件中有关“境内外主流媒体”建议作进一步界定明确。</w:t>
            </w:r>
          </w:p>
          <w:p>
            <w:pPr>
              <w:jc w:val="both"/>
              <w:rPr>
                <w:rFonts w:hint="eastAsia" w:ascii="仿宋_GB2312" w:hAnsi="仿宋_GB2312" w:eastAsia="仿宋_GB2312" w:cs="仿宋_GB2312"/>
                <w:bCs/>
                <w:color w:val="000000"/>
                <w:kern w:val="2"/>
                <w:sz w:val="32"/>
                <w:szCs w:val="32"/>
                <w:vertAlign w:val="baseline"/>
                <w:lang w:val="en-US" w:eastAsia="zh-CN" w:bidi="ar-SA"/>
              </w:rPr>
            </w:pPr>
            <w:r>
              <w:rPr>
                <w:rFonts w:hint="eastAsia" w:cs="Times New Roman"/>
                <w:color w:val="auto"/>
                <w:sz w:val="28"/>
                <w:szCs w:val="28"/>
                <w:highlight w:val="none"/>
                <w:lang w:val="en-US" w:eastAsia="zh-CN"/>
              </w:rPr>
              <w:t>理由：</w:t>
            </w:r>
            <w:r>
              <w:rPr>
                <w:rFonts w:hint="eastAsia" w:ascii="Times New Roman" w:hAnsi="Times New Roman" w:eastAsia="仿宋_GB2312" w:cs="Times New Roman"/>
                <w:color w:val="auto"/>
                <w:sz w:val="28"/>
                <w:szCs w:val="28"/>
                <w:highlight w:val="none"/>
                <w:lang w:val="en-US" w:eastAsia="zh-CN"/>
              </w:rPr>
              <w:t>目前征求意见稿中无关于境内外主流媒体的界定，无法判定哪些为主流媒体。</w:t>
            </w:r>
          </w:p>
        </w:tc>
        <w:tc>
          <w:tcPr>
            <w:tcW w:w="4870" w:type="dxa"/>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bCs/>
                <w:color w:val="000000"/>
                <w:kern w:val="2"/>
                <w:sz w:val="28"/>
                <w:szCs w:val="28"/>
                <w:vertAlign w:val="baseline"/>
                <w:lang w:val="en-US" w:eastAsia="zh-CN" w:bidi="ar-SA"/>
              </w:rPr>
            </w:pPr>
            <w:r>
              <w:rPr>
                <w:rFonts w:hint="eastAsia" w:ascii="仿宋_GB2312" w:hAnsi="仿宋_GB2312" w:cs="仿宋_GB2312"/>
                <w:bCs/>
                <w:color w:val="000000"/>
                <w:sz w:val="28"/>
                <w:szCs w:val="28"/>
                <w:vertAlign w:val="baseline"/>
                <w:lang w:val="en-US" w:eastAsia="zh-CN"/>
              </w:rPr>
              <w:t>采纳。将进一步完善定义，拟将“主流媒体”定义为“影响力大、起主导作用、具有一定代表性的境内外纸报、广播电台、电视台和新闻网站，或具有较强公信力，报道和评论被社会大多数人群广泛关注并引以为思想和行动依据的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3</w:t>
            </w:r>
          </w:p>
        </w:tc>
        <w:tc>
          <w:tcPr>
            <w:tcW w:w="0" w:type="auto"/>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杨淑媚</w:t>
            </w:r>
          </w:p>
        </w:tc>
        <w:tc>
          <w:tcPr>
            <w:tcW w:w="0" w:type="auto"/>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color w:val="auto"/>
                <w:sz w:val="28"/>
                <w:szCs w:val="28"/>
                <w:highlight w:val="none"/>
                <w:lang w:val="en-US" w:eastAsia="zh-CN"/>
              </w:rPr>
            </w:pPr>
            <w:r>
              <w:rPr>
                <w:rFonts w:hint="eastAsia" w:ascii="Times New Roman" w:hAnsi="Times New Roman" w:eastAsia="仿宋_GB2312" w:cs="Times New Roman"/>
                <w:color w:val="auto"/>
                <w:sz w:val="28"/>
                <w:szCs w:val="28"/>
                <w:highlight w:val="none"/>
                <w:lang w:val="en-US" w:eastAsia="zh-CN"/>
              </w:rPr>
              <w:t>研学交流基地举办的活动若同时满足第九条（四）艺术展示奖励的申请条件，以及第十条（一）研学交流奖励的粤港澳青少年特色活动的条件，那么这场活动是否可用来同时申请此两项奖补？建议进一步明确。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Cs/>
                <w:color w:val="000000"/>
                <w:kern w:val="2"/>
                <w:sz w:val="32"/>
                <w:szCs w:val="32"/>
                <w:vertAlign w:val="baseline"/>
                <w:lang w:val="en-US" w:eastAsia="zh-CN" w:bidi="ar-SA"/>
              </w:rPr>
            </w:pPr>
            <w:r>
              <w:rPr>
                <w:rFonts w:hint="eastAsia" w:cs="Times New Roman"/>
                <w:color w:val="auto"/>
                <w:sz w:val="28"/>
                <w:szCs w:val="28"/>
                <w:highlight w:val="none"/>
                <w:lang w:val="en-US" w:eastAsia="zh-CN"/>
              </w:rPr>
              <w:t>理由：</w:t>
            </w:r>
            <w:r>
              <w:rPr>
                <w:rFonts w:hint="eastAsia" w:ascii="Times New Roman" w:hAnsi="Times New Roman" w:eastAsia="仿宋_GB2312" w:cs="Times New Roman"/>
                <w:color w:val="auto"/>
                <w:sz w:val="28"/>
                <w:szCs w:val="28"/>
                <w:highlight w:val="none"/>
                <w:lang w:val="en-US" w:eastAsia="zh-CN"/>
              </w:rPr>
              <w:t>相关活动可同时满足不同条款的申请条件，活动主办方无法判断是否可同时申请。</w:t>
            </w:r>
          </w:p>
        </w:tc>
        <w:tc>
          <w:tcPr>
            <w:tcW w:w="0" w:type="auto"/>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bCs/>
                <w:color w:val="000000"/>
                <w:kern w:val="2"/>
                <w:sz w:val="28"/>
                <w:szCs w:val="28"/>
                <w:vertAlign w:val="baseline"/>
                <w:lang w:val="en-US" w:eastAsia="zh-CN" w:bidi="ar-SA"/>
              </w:rPr>
            </w:pPr>
            <w:r>
              <w:rPr>
                <w:rFonts w:hint="eastAsia" w:ascii="仿宋_GB2312" w:hAnsi="仿宋_GB2312" w:cs="仿宋_GB2312"/>
                <w:bCs/>
                <w:color w:val="000000"/>
                <w:sz w:val="28"/>
                <w:szCs w:val="28"/>
                <w:vertAlign w:val="baseline"/>
                <w:lang w:val="en-US" w:eastAsia="zh-CN"/>
              </w:rPr>
              <w:t>采纳。将进一步完善明确，拟在</w:t>
            </w:r>
            <w:r>
              <w:rPr>
                <w:rFonts w:hint="eastAsia" w:ascii="Times New Roman" w:hAnsi="Times New Roman" w:eastAsia="仿宋_GB2312" w:cs="Times New Roman"/>
                <w:color w:val="auto"/>
                <w:sz w:val="28"/>
                <w:szCs w:val="28"/>
                <w:highlight w:val="none"/>
                <w:lang w:val="en-US" w:eastAsia="zh-CN"/>
              </w:rPr>
              <w:t>第十条（一）研学交流奖励</w:t>
            </w:r>
            <w:r>
              <w:rPr>
                <w:rFonts w:hint="eastAsia" w:cs="Times New Roman"/>
                <w:color w:val="auto"/>
                <w:sz w:val="28"/>
                <w:szCs w:val="28"/>
                <w:highlight w:val="none"/>
                <w:lang w:val="en-US" w:eastAsia="zh-CN"/>
              </w:rPr>
              <w:t>的申请条件中明确粤港澳青少年特色活动与本细则其他活动奖补不可重复申请。</w:t>
            </w:r>
          </w:p>
        </w:tc>
      </w:tr>
    </w:tbl>
    <w:p/>
    <w:sectPr>
      <w:pgSz w:w="16838" w:h="11906" w:orient="landscape"/>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5B1491"/>
    <w:multiLevelType w:val="singleLevel"/>
    <w:tmpl w:val="6E5B1491"/>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NjYzNGJkMjhhNjE5NGFkYTQ1NjZjZTA4ZGUxZTUifQ=="/>
  </w:docVars>
  <w:rsids>
    <w:rsidRoot w:val="6B88555A"/>
    <w:rsid w:val="13AF4C2A"/>
    <w:rsid w:val="33E1209F"/>
    <w:rsid w:val="35270096"/>
    <w:rsid w:val="36CB1F9E"/>
    <w:rsid w:val="3C6C3CEB"/>
    <w:rsid w:val="3D27623A"/>
    <w:rsid w:val="3F3D24C7"/>
    <w:rsid w:val="3FA42546"/>
    <w:rsid w:val="493E4324"/>
    <w:rsid w:val="4A380CB2"/>
    <w:rsid w:val="4AAC67F9"/>
    <w:rsid w:val="4C250294"/>
    <w:rsid w:val="4EC471E8"/>
    <w:rsid w:val="6B88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Times New Roman"/>
      <w:b/>
      <w:bCs/>
      <w:kern w:val="0"/>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99"/>
    <w:pPr>
      <w:widowControl/>
      <w:spacing w:before="100" w:beforeAutospacing="1" w:after="100" w:afterAutospacing="1"/>
      <w:jc w:val="left"/>
    </w:pPr>
    <w:rPr>
      <w:rFonts w:ascii="宋体" w:hAnsi="宋体" w:cs="Times New Roman"/>
      <w:kern w:val="0"/>
      <w:sz w:val="24"/>
    </w:rPr>
  </w:style>
  <w:style w:type="paragraph" w:styleId="4">
    <w:name w:val="Plain Text"/>
    <w:basedOn w:val="1"/>
    <w:qFormat/>
    <w:uiPriority w:val="0"/>
    <w:rPr>
      <w:rFonts w:ascii="宋体" w:hAnsi="Courier New"/>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省共青团广东省委</Company>
  <Pages>3</Pages>
  <Words>861</Words>
  <Characters>862</Characters>
  <Lines>0</Lines>
  <Paragraphs>0</Paragraphs>
  <TotalTime>1</TotalTime>
  <ScaleCrop>false</ScaleCrop>
  <LinksUpToDate>false</LinksUpToDate>
  <CharactersWithSpaces>865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2022-01-04T06:40:00Z</dcterms:created>
  <dc:creator>_高苑勤</dc:creator>
  <cp:lastModifiedBy>高</cp:lastModifiedBy>
  <cp:lastPrinted>2023-01-13T04:24:37Z</cp:lastPrinted>
  <dcterms:modified xsi:type="dcterms:W3CDTF">2023-01-13T04:24:40Z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4D63B0F63B31459AAE4BCCBD5ECAD0B1</vt:lpwstr>
  </property>
</Properties>
</file>