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Helvetica" w:eastAsia="方正小标宋简体" w:cs="Helvetica"/>
          <w:b/>
          <w:color w:val="000000" w:themeColor="text1"/>
          <w:sz w:val="44"/>
          <w:szCs w:val="44"/>
          <w:shd w:val="clear" w:color="auto" w:fill="FFFFFF"/>
          <w14:textFill>
            <w14:solidFill>
              <w14:schemeClr w14:val="tx1"/>
            </w14:solidFill>
          </w14:textFill>
        </w:rPr>
      </w:pPr>
    </w:p>
    <w:p>
      <w:pPr>
        <w:jc w:val="center"/>
        <w:rPr>
          <w:rFonts w:ascii="方正小标宋简体" w:hAnsi="Helvetica" w:eastAsia="方正小标宋简体" w:cs="Helvetica"/>
          <w:b/>
          <w:color w:val="000000" w:themeColor="text1"/>
          <w:sz w:val="44"/>
          <w:szCs w:val="44"/>
          <w:shd w:val="clear" w:color="auto" w:fill="FFFFFF"/>
          <w14:textFill>
            <w14:solidFill>
              <w14:schemeClr w14:val="tx1"/>
            </w14:solidFill>
          </w14:textFill>
        </w:rPr>
      </w:pPr>
      <w:r>
        <w:rPr>
          <w:rFonts w:hint="eastAsia" w:ascii="方正小标宋简体" w:hAnsi="Helvetica" w:eastAsia="方正小标宋简体" w:cs="Helvetica"/>
          <w:b/>
          <w:color w:val="000000" w:themeColor="text1"/>
          <w:sz w:val="44"/>
          <w:szCs w:val="44"/>
          <w:shd w:val="clear" w:color="auto" w:fill="FFFFFF"/>
          <w:lang w:val="en-US" w:eastAsia="zh-CN"/>
          <w14:textFill>
            <w14:solidFill>
              <w14:schemeClr w14:val="tx1"/>
            </w14:solidFill>
          </w14:textFill>
        </w:rPr>
        <w:t>宜居宜业人口增加，“三区”聚能素质提升——</w:t>
      </w:r>
      <w:r>
        <w:rPr>
          <w:rFonts w:hint="eastAsia" w:ascii="方正小标宋简体" w:hAnsi="Helvetica" w:eastAsia="方正小标宋简体" w:cs="Helvetica"/>
          <w:b w:val="0"/>
          <w:bCs/>
          <w:color w:val="000000" w:themeColor="text1"/>
          <w:sz w:val="32"/>
          <w:szCs w:val="32"/>
          <w:shd w:val="clear" w:color="auto" w:fill="FFFFFF"/>
          <w14:textFill>
            <w14:solidFill>
              <w14:schemeClr w14:val="tx1"/>
            </w14:solidFill>
          </w14:textFill>
        </w:rPr>
        <w:t>南沙区第七次全国人口普查数据解读</w:t>
      </w:r>
    </w:p>
    <w:p>
      <w:pPr>
        <w:ind w:firstLine="640" w:firstLineChars="200"/>
        <w:rPr>
          <w:rFonts w:ascii="仿宋_GB2312" w:hAnsi="Helvetica" w:eastAsia="仿宋_GB2312" w:cs="Helvetica"/>
          <w:color w:val="000000" w:themeColor="text1"/>
          <w:sz w:val="32"/>
          <w:szCs w:val="32"/>
          <w:shd w:val="clear" w:color="auto" w:fill="FFFFFF"/>
          <w14:textFill>
            <w14:solidFill>
              <w14:schemeClr w14:val="tx1"/>
            </w14:solidFill>
          </w14:textFill>
        </w:rPr>
      </w:pPr>
    </w:p>
    <w:p>
      <w:pPr>
        <w:spacing w:line="560" w:lineRule="exact"/>
        <w:ind w:firstLine="640" w:firstLineChars="200"/>
        <w:rPr>
          <w:rFonts w:ascii="仿宋_GB2312" w:hAnsi="Helvetica" w:eastAsia="仿宋_GB2312" w:cs="Helvetica"/>
          <w:color w:val="000000" w:themeColor="text1"/>
          <w:sz w:val="32"/>
          <w:szCs w:val="32"/>
          <w:shd w:val="clear" w:color="auto" w:fill="FFFFFF"/>
          <w14:textFill>
            <w14:solidFill>
              <w14:schemeClr w14:val="tx1"/>
            </w14:solidFill>
          </w14:textFill>
        </w:rPr>
      </w:pPr>
      <w:r>
        <w:rPr>
          <w:rFonts w:hint="eastAsia" w:ascii="仿宋_GB2312" w:hAnsi="Helvetica" w:eastAsia="仿宋_GB2312" w:cs="Helvetica"/>
          <w:color w:val="000000" w:themeColor="text1"/>
          <w:sz w:val="32"/>
          <w:szCs w:val="32"/>
          <w:shd w:val="clear" w:color="auto" w:fill="FFFFFF"/>
          <w14:textFill>
            <w14:solidFill>
              <w14:schemeClr w14:val="tx1"/>
            </w14:solidFill>
          </w14:textFill>
        </w:rPr>
        <w:t>第七次全国人口普查是在中国特色社会主义进入新时代，第一个百年奋斗目标即将实现的重要历史节点，人口发展进入重要转折期开展的重大国情国力调查。普查获得的详实数据，为南沙区制定下一阶段经济社会发展规划和人口发展战略提供了重要依据。普查公报中有关人口规模、结构、素质等方面的数据，不仅揭示出南沙区人口的基本状况和十年来的发展变化，也彰显了南沙区经济社会发展、人口结构优化的进程。</w:t>
      </w:r>
    </w:p>
    <w:p>
      <w:pPr>
        <w:spacing w:line="560" w:lineRule="exact"/>
        <w:ind w:firstLine="640" w:firstLineChars="200"/>
        <w:rPr>
          <w:rFonts w:hint="default" w:ascii="黑体" w:hAnsi="黑体" w:eastAsia="黑体" w:cs="黑体"/>
          <w:b w:val="0"/>
          <w:bCs/>
          <w:color w:val="000000" w:themeColor="text1"/>
          <w:sz w:val="32"/>
          <w:szCs w:val="32"/>
          <w:shd w:val="clear" w:color="auto" w:fill="FFFFFF"/>
          <w14:textFill>
            <w14:solidFill>
              <w14:schemeClr w14:val="tx1"/>
            </w14:solidFill>
          </w14:textFill>
        </w:rPr>
      </w:pPr>
      <w:r>
        <w:rPr>
          <w:rFonts w:hint="eastAsia" w:ascii="黑体" w:hAnsi="黑体" w:eastAsia="黑体" w:cs="黑体"/>
          <w:b w:val="0"/>
          <w:bCs/>
          <w:color w:val="000000" w:themeColor="text1"/>
          <w:sz w:val="32"/>
          <w:szCs w:val="32"/>
          <w:shd w:val="clear" w:color="auto" w:fill="FFFFFF"/>
          <w14:textFill>
            <w14:solidFill>
              <w14:schemeClr w14:val="tx1"/>
            </w14:solidFill>
          </w14:textFill>
        </w:rPr>
        <w:t>一、</w:t>
      </w: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人口规模加速增长，“三区”叠加吸引力不断提升</w:t>
      </w:r>
    </w:p>
    <w:p>
      <w:pPr>
        <w:spacing w:line="560" w:lineRule="exact"/>
        <w:ind w:firstLine="640" w:firstLineChars="200"/>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第七次全国人口普查结果显示，</w:t>
      </w:r>
      <w:r>
        <w:rPr>
          <w:rFonts w:hint="eastAsia" w:ascii="仿宋_GB2312" w:hAnsi="Helvetica" w:eastAsia="仿宋_GB2312" w:cs="Helvetica"/>
          <w:color w:val="000000" w:themeColor="text1"/>
          <w:sz w:val="32"/>
          <w:szCs w:val="32"/>
          <w:lang w:val="en-US" w:eastAsia="zh-CN"/>
          <w14:textFill>
            <w14:solidFill>
              <w14:schemeClr w14:val="tx1"/>
            </w14:solidFill>
          </w14:textFill>
        </w:rPr>
        <w:t>2020年11月1日零时，南沙</w:t>
      </w:r>
      <w:r>
        <w:rPr>
          <w:rStyle w:val="9"/>
          <w:rFonts w:hint="eastAsia" w:ascii="仿宋_GB2312" w:hAnsi="Helvetica" w:eastAsia="仿宋_GB2312" w:cs="Helvetica"/>
          <w:b w:val="0"/>
          <w:color w:val="000000" w:themeColor="text1"/>
          <w:sz w:val="32"/>
          <w:szCs w:val="32"/>
          <w14:textFill>
            <w14:solidFill>
              <w14:schemeClr w14:val="tx1"/>
            </w14:solidFill>
          </w14:textFill>
        </w:rPr>
        <w:t>全区</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共有</w:t>
      </w:r>
      <w:r>
        <w:rPr>
          <w:rStyle w:val="9"/>
          <w:rFonts w:hint="eastAsia" w:ascii="仿宋_GB2312" w:hAnsi="Helvetica" w:eastAsia="仿宋_GB2312" w:cs="Helvetica"/>
          <w:b w:val="0"/>
          <w:color w:val="000000" w:themeColor="text1"/>
          <w:sz w:val="32"/>
          <w:szCs w:val="32"/>
          <w14:textFill>
            <w14:solidFill>
              <w14:schemeClr w14:val="tx1"/>
            </w14:solidFill>
          </w14:textFill>
        </w:rPr>
        <w:t>常住人口84.66万人，与2010年第六次全国人口普查的60.52万人相比</w:t>
      </w:r>
      <w:r>
        <w:rPr>
          <w:rStyle w:val="10"/>
          <w:rFonts w:hint="eastAsia" w:ascii="仿宋_GB2312" w:hAnsi="Helvetica" w:eastAsia="仿宋_GB2312" w:cs="Helvetica"/>
          <w:b w:val="0"/>
          <w:color w:val="000000" w:themeColor="text1"/>
          <w:sz w:val="32"/>
          <w:szCs w:val="32"/>
          <w14:textFill>
            <w14:solidFill>
              <w14:schemeClr w14:val="tx1"/>
            </w14:solidFill>
          </w14:textFill>
        </w:rPr>
        <w:footnoteReference w:id="0"/>
      </w:r>
      <w:r>
        <w:rPr>
          <w:rStyle w:val="9"/>
          <w:rFonts w:hint="eastAsia" w:ascii="仿宋_GB2312" w:hAnsi="Helvetica" w:eastAsia="仿宋_GB2312" w:cs="Helvetica"/>
          <w:b w:val="0"/>
          <w:color w:val="000000" w:themeColor="text1"/>
          <w:sz w:val="32"/>
          <w:szCs w:val="32"/>
          <w14:textFill>
            <w14:solidFill>
              <w14:schemeClr w14:val="tx1"/>
            </w14:solidFill>
          </w14:textFill>
        </w:rPr>
        <w:t>，</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全区常住人口</w:t>
      </w:r>
      <w:r>
        <w:rPr>
          <w:rStyle w:val="9"/>
          <w:rFonts w:hint="eastAsia" w:ascii="仿宋_GB2312" w:hAnsi="Helvetica" w:eastAsia="仿宋_GB2312" w:cs="Helvetica"/>
          <w:b w:val="0"/>
          <w:color w:val="000000" w:themeColor="text1"/>
          <w:sz w:val="32"/>
          <w:szCs w:val="32"/>
          <w14:textFill>
            <w14:solidFill>
              <w14:schemeClr w14:val="tx1"/>
            </w14:solidFill>
          </w14:textFill>
        </w:rPr>
        <w:t>增加24.14万人，增长39.88%，年平均增长率为3.41%。年均增速高于全国的0.53%和全省的1.91%，略低于全市的3.93%。</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从占全市人口比重情况看，南沙人口占全市比重从2010年的2.05%提升至4.53%，超越从化排名全市第10。</w:t>
      </w:r>
    </w:p>
    <w:p>
      <w:pPr>
        <w:spacing w:line="560" w:lineRule="exact"/>
        <w:ind w:firstLine="640" w:firstLineChars="200"/>
        <w:rPr>
          <w:rStyle w:val="9"/>
          <w:rFonts w:hint="eastAsia" w:ascii="仿宋_GB2312" w:hAnsi="Helvetica" w:eastAsia="仿宋_GB2312" w:cs="Helvetica"/>
          <w:b w:val="0"/>
          <w:color w:val="000000" w:themeColor="text1"/>
          <w:sz w:val="32"/>
          <w:szCs w:val="32"/>
          <w14:textFill>
            <w14:solidFill>
              <w14:schemeClr w14:val="tx1"/>
            </w14:solidFill>
          </w14:textFill>
        </w:rPr>
      </w:pP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十</w:t>
      </w:r>
      <w:r>
        <w:rPr>
          <w:rStyle w:val="9"/>
          <w:rFonts w:hint="eastAsia" w:ascii="仿宋_GB2312" w:hAnsi="Helvetica" w:eastAsia="仿宋_GB2312" w:cs="Helvetica"/>
          <w:b w:val="0"/>
          <w:color w:val="000000" w:themeColor="text1"/>
          <w:sz w:val="32"/>
          <w:szCs w:val="32"/>
          <w14:textFill>
            <w14:solidFill>
              <w14:schemeClr w14:val="tx1"/>
            </w14:solidFill>
          </w14:textFill>
        </w:rPr>
        <w:t>年来</w:t>
      </w:r>
      <w:r>
        <w:rPr>
          <w:rStyle w:val="9"/>
          <w:rFonts w:hint="eastAsia" w:ascii="仿宋_GB2312" w:hAnsi="Helvetica" w:eastAsia="仿宋_GB2312" w:cs="Helvetica"/>
          <w:b w:val="0"/>
          <w:color w:val="000000" w:themeColor="text1"/>
          <w:sz w:val="32"/>
          <w:szCs w:val="32"/>
          <w:lang w:eastAsia="zh-CN"/>
          <w14:textFill>
            <w14:solidFill>
              <w14:schemeClr w14:val="tx1"/>
            </w14:solidFill>
          </w14:textFill>
        </w:rPr>
        <w:t>，</w:t>
      </w:r>
      <w:r>
        <w:rPr>
          <w:rStyle w:val="9"/>
          <w:rFonts w:hint="eastAsia" w:ascii="仿宋_GB2312" w:hAnsi="Helvetica" w:eastAsia="仿宋_GB2312" w:cs="Helvetica"/>
          <w:b w:val="0"/>
          <w:color w:val="000000" w:themeColor="text1"/>
          <w:sz w:val="32"/>
          <w:szCs w:val="32"/>
          <w14:textFill>
            <w14:solidFill>
              <w14:schemeClr w14:val="tx1"/>
            </w14:solidFill>
          </w14:textFill>
        </w:rPr>
        <w:t>南沙区的人口增长基本与广州市保持同步，</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但从2015年4月自贸区挂牌成立后，南沙的人口增长速度不断加快，“</w:t>
      </w:r>
      <w:r>
        <w:rPr>
          <w:rStyle w:val="9"/>
          <w:rFonts w:hint="eastAsia" w:ascii="仿宋_GB2312" w:hAnsi="Helvetica" w:eastAsia="仿宋_GB2312" w:cs="Helvetica"/>
          <w:b w:val="0"/>
          <w:color w:val="000000" w:themeColor="text1"/>
          <w:sz w:val="32"/>
          <w:szCs w:val="32"/>
          <w14:textFill>
            <w14:solidFill>
              <w14:schemeClr w14:val="tx1"/>
            </w14:solidFill>
          </w14:textFill>
        </w:rPr>
        <w:t>十三五</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w:t>
      </w:r>
      <w:r>
        <w:rPr>
          <w:rStyle w:val="9"/>
          <w:rFonts w:hint="eastAsia" w:ascii="仿宋_GB2312" w:hAnsi="Helvetica" w:eastAsia="仿宋_GB2312" w:cs="Helvetica"/>
          <w:b w:val="0"/>
          <w:color w:val="000000" w:themeColor="text1"/>
          <w:sz w:val="32"/>
          <w:szCs w:val="32"/>
          <w14:textFill>
            <w14:solidFill>
              <w14:schemeClr w14:val="tx1"/>
            </w14:solidFill>
          </w14:textFill>
        </w:rPr>
        <w:t>期间年均增长5.24%。</w:t>
      </w:r>
    </w:p>
    <w:p>
      <w:pPr>
        <w:ind w:firstLine="0" w:firstLineChars="0"/>
        <w:rPr>
          <w:rStyle w:val="9"/>
          <w:rFonts w:ascii="仿宋_GB2312" w:hAnsi="Helvetica" w:eastAsia="仿宋_GB2312" w:cs="Helvetica"/>
          <w:b w:val="0"/>
          <w:color w:val="000000" w:themeColor="text1"/>
          <w:sz w:val="32"/>
          <w:szCs w:val="32"/>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-20955</wp:posOffset>
            </wp:positionH>
            <wp:positionV relativeFrom="paragraph">
              <wp:posOffset>270510</wp:posOffset>
            </wp:positionV>
            <wp:extent cx="5269230" cy="3064510"/>
            <wp:effectExtent l="4445" t="4445" r="22225" b="1714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2"/>
        <w:rPr>
          <w:rStyle w:val="9"/>
          <w:rFonts w:ascii="仿宋_GB2312" w:hAnsi="Helvetica" w:eastAsia="仿宋_GB2312" w:cs="Helvetica"/>
          <w:b w:val="0"/>
          <w:color w:val="000000" w:themeColor="text1"/>
          <w:sz w:val="32"/>
          <w:szCs w:val="32"/>
          <w14:textFill>
            <w14:solidFill>
              <w14:schemeClr w14:val="tx1"/>
            </w14:solidFill>
          </w14:textFill>
        </w:rPr>
      </w:pPr>
    </w:p>
    <w:p>
      <w:pPr>
        <w:rPr>
          <w:rStyle w:val="9"/>
          <w:rFonts w:ascii="仿宋_GB2312" w:hAnsi="Helvetica" w:eastAsia="仿宋_GB2312" w:cs="Helvetica"/>
          <w:b w:val="0"/>
          <w:color w:val="000000" w:themeColor="text1"/>
          <w:sz w:val="32"/>
          <w:szCs w:val="32"/>
          <w14:textFill>
            <w14:solidFill>
              <w14:schemeClr w14:val="tx1"/>
            </w14:solidFill>
          </w14:textFill>
        </w:rPr>
      </w:pPr>
    </w:p>
    <w:p>
      <w:pPr>
        <w:pStyle w:val="2"/>
        <w:rPr>
          <w:rStyle w:val="9"/>
          <w:rFonts w:ascii="仿宋_GB2312" w:hAnsi="Helvetica" w:eastAsia="仿宋_GB2312" w:cs="Helvetica"/>
          <w:b w:val="0"/>
          <w:color w:val="000000" w:themeColor="text1"/>
          <w:sz w:val="32"/>
          <w:szCs w:val="32"/>
          <w14:textFill>
            <w14:solidFill>
              <w14:schemeClr w14:val="tx1"/>
            </w14:solidFill>
          </w14:textFill>
        </w:rPr>
      </w:pPr>
    </w:p>
    <w:p>
      <w:pPr>
        <w:rPr>
          <w:rStyle w:val="9"/>
          <w:rFonts w:ascii="仿宋_GB2312" w:hAnsi="Helvetica" w:eastAsia="仿宋_GB2312" w:cs="Helvetica"/>
          <w:b w:val="0"/>
          <w:color w:val="000000" w:themeColor="text1"/>
          <w:sz w:val="32"/>
          <w:szCs w:val="32"/>
          <w14:textFill>
            <w14:solidFill>
              <w14:schemeClr w14:val="tx1"/>
            </w14:solidFill>
          </w14:textFill>
        </w:rPr>
      </w:pPr>
    </w:p>
    <w:p>
      <w:pPr>
        <w:pStyle w:val="2"/>
        <w:rPr>
          <w:rStyle w:val="9"/>
          <w:rFonts w:ascii="仿宋_GB2312" w:hAnsi="Helvetica" w:eastAsia="仿宋_GB2312" w:cs="Helvetica"/>
          <w:b w:val="0"/>
          <w:color w:val="000000" w:themeColor="text1"/>
          <w:sz w:val="32"/>
          <w:szCs w:val="32"/>
          <w14:textFill>
            <w14:solidFill>
              <w14:schemeClr w14:val="tx1"/>
            </w14:solidFill>
          </w14:textFill>
        </w:rPr>
      </w:pPr>
    </w:p>
    <w:p>
      <w:pPr>
        <w:rPr>
          <w:rStyle w:val="9"/>
          <w:rFonts w:ascii="仿宋_GB2312" w:hAnsi="Helvetica" w:eastAsia="仿宋_GB2312" w:cs="Helvetica"/>
          <w:b w:val="0"/>
          <w:color w:val="000000" w:themeColor="text1"/>
          <w:sz w:val="32"/>
          <w:szCs w:val="32"/>
          <w14:textFill>
            <w14:solidFill>
              <w14:schemeClr w14:val="tx1"/>
            </w14:solidFill>
          </w14:textFill>
        </w:rPr>
      </w:pPr>
    </w:p>
    <w:p>
      <w:pPr>
        <w:pStyle w:val="2"/>
        <w:rPr>
          <w:rStyle w:val="9"/>
          <w:rFonts w:ascii="仿宋_GB2312" w:hAnsi="Helvetica" w:eastAsia="仿宋_GB2312" w:cs="Helvetica"/>
          <w:b w:val="0"/>
          <w:color w:val="000000" w:themeColor="text1"/>
          <w:sz w:val="32"/>
          <w:szCs w:val="32"/>
          <w14:textFill>
            <w14:solidFill>
              <w14:schemeClr w14:val="tx1"/>
            </w14:solidFill>
          </w14:textFill>
        </w:rPr>
      </w:pPr>
    </w:p>
    <w:p>
      <w:pPr>
        <w:rPr>
          <w:rStyle w:val="9"/>
          <w:rFonts w:ascii="仿宋_GB2312" w:hAnsi="Helvetica" w:eastAsia="仿宋_GB2312" w:cs="Helvetica"/>
          <w:b w:val="0"/>
          <w:color w:val="000000" w:themeColor="text1"/>
          <w:sz w:val="32"/>
          <w:szCs w:val="32"/>
          <w14:textFill>
            <w14:solidFill>
              <w14:schemeClr w14:val="tx1"/>
            </w14:solidFill>
          </w14:textFill>
        </w:rPr>
      </w:pPr>
    </w:p>
    <w:p>
      <w:pPr>
        <w:pStyle w:val="2"/>
      </w:pPr>
    </w:p>
    <w:p>
      <w:pPr>
        <w:spacing w:line="560" w:lineRule="exact"/>
        <w:ind w:firstLine="640" w:firstLineChars="200"/>
        <w:rPr>
          <w:rStyle w:val="9"/>
          <w:rFonts w:hint="eastAsia" w:ascii="仿宋_GB2312" w:hAnsi="Helvetica" w:eastAsia="仿宋_GB2312" w:cs="Helvetica"/>
          <w:b w:val="0"/>
          <w:color w:val="000000" w:themeColor="text1"/>
          <w:sz w:val="32"/>
          <w:szCs w:val="32"/>
          <w14:textFill>
            <w14:solidFill>
              <w14:schemeClr w14:val="tx1"/>
            </w14:solidFill>
          </w14:textFill>
        </w:rPr>
      </w:pPr>
      <w:r>
        <w:rPr>
          <w:rStyle w:val="9"/>
          <w:rFonts w:hint="eastAsia" w:ascii="仿宋_GB2312" w:hAnsi="Helvetica" w:eastAsia="仿宋_GB2312" w:cs="Helvetica"/>
          <w:b w:val="0"/>
          <w:color w:val="000000" w:themeColor="text1"/>
          <w:sz w:val="32"/>
          <w:szCs w:val="32"/>
          <w14:textFill>
            <w14:solidFill>
              <w14:schemeClr w14:val="tx1"/>
            </w14:solidFill>
          </w14:textFill>
        </w:rPr>
        <w:t>南沙区</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常住</w:t>
      </w:r>
      <w:r>
        <w:rPr>
          <w:rStyle w:val="9"/>
          <w:rFonts w:hint="eastAsia" w:ascii="仿宋_GB2312" w:hAnsi="Helvetica" w:eastAsia="仿宋_GB2312" w:cs="Helvetica"/>
          <w:b w:val="0"/>
          <w:color w:val="000000" w:themeColor="text1"/>
          <w:sz w:val="32"/>
          <w:szCs w:val="32"/>
          <w14:textFill>
            <w14:solidFill>
              <w14:schemeClr w14:val="tx1"/>
            </w14:solidFill>
          </w14:textFill>
        </w:rPr>
        <w:t>人口</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不断加快</w:t>
      </w:r>
      <w:r>
        <w:rPr>
          <w:rStyle w:val="9"/>
          <w:rFonts w:hint="eastAsia" w:ascii="仿宋_GB2312" w:hAnsi="Helvetica" w:eastAsia="仿宋_GB2312" w:cs="Helvetica"/>
          <w:b w:val="0"/>
          <w:color w:val="000000" w:themeColor="text1"/>
          <w:sz w:val="32"/>
          <w:szCs w:val="32"/>
          <w14:textFill>
            <w14:solidFill>
              <w14:schemeClr w14:val="tx1"/>
            </w14:solidFill>
          </w14:textFill>
        </w:rPr>
        <w:t>增长，</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与南沙经济社会的快速发展密切相关：</w:t>
      </w:r>
      <w:r>
        <w:rPr>
          <w:rStyle w:val="9"/>
          <w:rFonts w:hint="eastAsia" w:ascii="仿宋_GB2312" w:hAnsi="Helvetica" w:eastAsia="仿宋_GB2312" w:cs="Helvetica"/>
          <w:color w:val="000000" w:themeColor="text1"/>
          <w:sz w:val="32"/>
          <w:szCs w:val="32"/>
          <w14:textFill>
            <w14:solidFill>
              <w14:schemeClr w14:val="tx1"/>
            </w14:solidFill>
          </w14:textFill>
        </w:rPr>
        <w:t>一是</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经济规模快速增长</w:t>
      </w:r>
      <w:r>
        <w:rPr>
          <w:rStyle w:val="9"/>
          <w:rFonts w:hint="eastAsia" w:ascii="仿宋_GB2312" w:hAnsi="Helvetica" w:eastAsia="仿宋_GB2312" w:cs="Helvetica"/>
          <w:b w:val="0"/>
          <w:color w:val="000000" w:themeColor="text1"/>
          <w:sz w:val="32"/>
          <w:szCs w:val="32"/>
          <w14:textFill>
            <w14:solidFill>
              <w14:schemeClr w14:val="tx1"/>
            </w14:solidFill>
          </w14:textFill>
        </w:rPr>
        <w:t>，</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2020年南沙区实现GDP1846.11亿元，是2010年的3.7倍，年均增长11%，增速领跑全市；人均GDP达22.48万元，排名全市第4，是2010年的2倍</w:t>
      </w:r>
      <w:r>
        <w:rPr>
          <w:rStyle w:val="9"/>
          <w:rFonts w:hint="eastAsia" w:ascii="仿宋_GB2312" w:hAnsi="Helvetica" w:eastAsia="仿宋_GB2312" w:cs="Helvetica"/>
          <w:b w:val="0"/>
          <w:color w:val="000000" w:themeColor="text1"/>
          <w:sz w:val="32"/>
          <w:szCs w:val="32"/>
          <w:lang w:eastAsia="zh-CN"/>
          <w14:textFill>
            <w14:solidFill>
              <w14:schemeClr w14:val="tx1"/>
            </w14:solidFill>
          </w14:textFill>
        </w:rPr>
        <w:t>。</w:t>
      </w:r>
      <w:r>
        <w:rPr>
          <w:rStyle w:val="9"/>
          <w:rFonts w:hint="eastAsia" w:ascii="仿宋_GB2312" w:hAnsi="Helvetica" w:eastAsia="仿宋_GB2312" w:cs="Helvetica"/>
          <w:color w:val="000000" w:themeColor="text1"/>
          <w:sz w:val="32"/>
          <w:szCs w:val="32"/>
          <w14:textFill>
            <w14:solidFill>
              <w14:schemeClr w14:val="tx1"/>
            </w14:solidFill>
          </w14:textFill>
        </w:rPr>
        <w:t>二是</w:t>
      </w:r>
      <w:r>
        <w:rPr>
          <w:rStyle w:val="9"/>
          <w:rFonts w:hint="eastAsia" w:ascii="仿宋_GB2312" w:hAnsi="Helvetica" w:eastAsia="仿宋_GB2312" w:cs="Helvetica"/>
          <w:b w:val="0"/>
          <w:color w:val="000000" w:themeColor="text1"/>
          <w:sz w:val="32"/>
          <w:szCs w:val="32"/>
          <w14:textFill>
            <w14:solidFill>
              <w14:schemeClr w14:val="tx1"/>
            </w14:solidFill>
          </w14:textFill>
        </w:rPr>
        <w:t>营商环境</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不断提升，南沙牢牢把握国家级新区、自贸区、经开区“三区”叠加的发展机遇，出台“1+1+10”政策体系，吸引外界投资者前来南沙发展，2018年全国第四次经济普查结果显示，南沙全区法人数量达62916家，排名全市第4，较2013年增长10.9倍，增速远远高于全市平均水平（2.8倍）。</w:t>
      </w:r>
      <w:r>
        <w:rPr>
          <w:rStyle w:val="9"/>
          <w:rFonts w:hint="eastAsia" w:ascii="仿宋_GB2312" w:hAnsi="Helvetica" w:eastAsia="仿宋_GB2312" w:cs="Helvetica"/>
          <w:b/>
          <w:bCs w:val="0"/>
          <w:color w:val="000000" w:themeColor="text1"/>
          <w:sz w:val="32"/>
          <w:szCs w:val="32"/>
          <w:lang w:val="en-US" w:eastAsia="zh-CN"/>
          <w14:textFill>
            <w14:solidFill>
              <w14:schemeClr w14:val="tx1"/>
            </w14:solidFill>
          </w14:textFill>
        </w:rPr>
        <w:t>三是</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生活、</w:t>
      </w:r>
      <w:r>
        <w:rPr>
          <w:rStyle w:val="9"/>
          <w:rFonts w:hint="eastAsia" w:ascii="仿宋_GB2312" w:hAnsi="Helvetica" w:eastAsia="仿宋_GB2312" w:cs="Helvetica"/>
          <w:b w:val="0"/>
          <w:color w:val="000000" w:themeColor="text1"/>
          <w:sz w:val="32"/>
          <w:szCs w:val="32"/>
          <w14:textFill>
            <w14:solidFill>
              <w14:schemeClr w14:val="tx1"/>
            </w14:solidFill>
          </w14:textFill>
        </w:rPr>
        <w:t>教育、医疗</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资源的不断提升</w:t>
      </w:r>
      <w:r>
        <w:rPr>
          <w:rStyle w:val="9"/>
          <w:rFonts w:hint="eastAsia" w:ascii="仿宋_GB2312" w:hAnsi="Helvetica" w:eastAsia="仿宋_GB2312" w:cs="Helvetica"/>
          <w:b w:val="0"/>
          <w:color w:val="000000" w:themeColor="text1"/>
          <w:sz w:val="32"/>
          <w:szCs w:val="32"/>
          <w14:textFill>
            <w14:solidFill>
              <w14:schemeClr w14:val="tx1"/>
            </w14:solidFill>
          </w14:textFill>
        </w:rPr>
        <w:t>，</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十年来，南沙居民的生活配套不断完善，万达广场、华汇广场等一批商业综合体建成使用，方便了南沙居民的生活；引进了华师附中、湾区实验学校、修仕倍励、广外附设南沙外国语学校等14家学校，省中医、中山一、市妇儿等6家医院，极大丰富了南沙教育和医疗资源。</w:t>
      </w:r>
      <w:r>
        <w:rPr>
          <w:rStyle w:val="9"/>
          <w:rFonts w:hint="eastAsia" w:ascii="仿宋_GB2312" w:hAnsi="Helvetica" w:eastAsia="仿宋_GB2312" w:cs="Helvetica"/>
          <w:color w:val="000000" w:themeColor="text1"/>
          <w:sz w:val="32"/>
          <w:szCs w:val="32"/>
          <w:lang w:val="en-US" w:eastAsia="zh-CN"/>
          <w14:textFill>
            <w14:solidFill>
              <w14:schemeClr w14:val="tx1"/>
            </w14:solidFill>
          </w14:textFill>
        </w:rPr>
        <w:t>四</w:t>
      </w:r>
      <w:r>
        <w:rPr>
          <w:rStyle w:val="9"/>
          <w:rFonts w:hint="eastAsia" w:ascii="仿宋_GB2312" w:hAnsi="Helvetica" w:eastAsia="仿宋_GB2312" w:cs="Helvetica"/>
          <w:color w:val="000000" w:themeColor="text1"/>
          <w:sz w:val="32"/>
          <w:szCs w:val="32"/>
          <w14:textFill>
            <w14:solidFill>
              <w14:schemeClr w14:val="tx1"/>
            </w14:solidFill>
          </w14:textFill>
        </w:rPr>
        <w:t>是</w:t>
      </w:r>
      <w:r>
        <w:rPr>
          <w:rFonts w:hint="eastAsia" w:ascii="仿宋_GB2312" w:hAnsi="Helvetica" w:eastAsia="仿宋_GB2312" w:cs="Helvetica"/>
          <w:color w:val="000000" w:themeColor="text1"/>
          <w:sz w:val="32"/>
          <w:szCs w:val="32"/>
          <w14:textFill>
            <w14:solidFill>
              <w14:schemeClr w14:val="tx1"/>
            </w14:solidFill>
          </w14:textFill>
        </w:rPr>
        <w:t>国家“单独二孩”“全面两孩”生育政策的陆续实施取得了积极成效，自然增长人口数量</w:t>
      </w:r>
      <w:r>
        <w:rPr>
          <w:rFonts w:hint="eastAsia" w:ascii="仿宋_GB2312" w:hAnsi="Helvetica" w:eastAsia="仿宋_GB2312" w:cs="Helvetica"/>
          <w:color w:val="000000" w:themeColor="text1"/>
          <w:sz w:val="32"/>
          <w:szCs w:val="32"/>
          <w:lang w:val="en-US" w:eastAsia="zh-CN"/>
          <w14:textFill>
            <w14:solidFill>
              <w14:schemeClr w14:val="tx1"/>
            </w14:solidFill>
          </w14:textFill>
        </w:rPr>
        <w:t>保持较高水平，根据卫健部门提供数据，2016年放开二孩后，南沙自然增长人口累计达38241人，年均7648人，是放开前的（2015年</w:t>
      </w:r>
      <w:r>
        <w:rPr>
          <w:rFonts w:hint="eastAsia" w:ascii="仿宋_GB2312" w:eastAsia="仿宋_GB2312"/>
          <w:color w:val="000000" w:themeColor="text1"/>
          <w:sz w:val="32"/>
          <w:szCs w:val="32"/>
          <w:lang w:val="en-US" w:eastAsia="zh-CN"/>
          <w14:textFill>
            <w14:solidFill>
              <w14:schemeClr w14:val="tx1"/>
            </w14:solidFill>
          </w14:textFill>
        </w:rPr>
        <w:t>2441人</w:t>
      </w:r>
      <w:r>
        <w:rPr>
          <w:rFonts w:hint="eastAsia" w:ascii="仿宋_GB2312" w:hAnsi="Helvetica" w:eastAsia="仿宋_GB2312" w:cs="Helvetica"/>
          <w:color w:val="000000" w:themeColor="text1"/>
          <w:sz w:val="32"/>
          <w:szCs w:val="32"/>
          <w:lang w:val="en-US" w:eastAsia="zh-CN"/>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3.1倍</w:t>
      </w:r>
      <w:r>
        <w:rPr>
          <w:rStyle w:val="9"/>
          <w:rFonts w:hint="eastAsia" w:ascii="仿宋_GB2312" w:hAnsi="Helvetica" w:eastAsia="仿宋_GB2312" w:cs="Helvetica"/>
          <w:b w:val="0"/>
          <w:color w:val="000000" w:themeColor="text1"/>
          <w:sz w:val="32"/>
          <w:szCs w:val="32"/>
          <w14:textFill>
            <w14:solidFill>
              <w14:schemeClr w14:val="tx1"/>
            </w14:solidFill>
          </w14:textFill>
        </w:rPr>
        <w:t>。</w:t>
      </w:r>
    </w:p>
    <w:p>
      <w:pPr>
        <w:numPr>
          <w:ilvl w:val="-1"/>
          <w:numId w:val="0"/>
        </w:numPr>
        <w:spacing w:line="560" w:lineRule="exact"/>
        <w:ind w:firstLine="640" w:firstLineChars="200"/>
        <w:rPr>
          <w:rFonts w:hint="eastAsia" w:ascii="黑体" w:hAnsi="黑体" w:eastAsia="黑体" w:cs="黑体"/>
          <w:b w:val="0"/>
          <w:bCs/>
          <w:color w:val="000000" w:themeColor="text1"/>
          <w:sz w:val="32"/>
          <w:szCs w:val="32"/>
          <w:lang w:val="en-US"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二、中部区域集聚近半人口，北部三镇人口占比下降</w:t>
      </w:r>
    </w:p>
    <w:p>
      <w:pPr>
        <w:numPr>
          <w:ilvl w:val="-1"/>
          <w:numId w:val="0"/>
        </w:numPr>
        <w:spacing w:line="560" w:lineRule="exact"/>
        <w:ind w:firstLine="640" w:firstLineChars="200"/>
        <w:rPr>
          <w:rFonts w:hint="eastAsia" w:ascii="仿宋_GB2312" w:hAnsi="Helvetica" w:eastAsia="仿宋_GB2312" w:cs="Helvetica"/>
          <w:b w:val="0"/>
          <w:bCs/>
          <w:color w:val="000000" w:themeColor="text1"/>
          <w:sz w:val="32"/>
          <w:szCs w:val="32"/>
          <w:lang w:val="en-US" w:eastAsia="zh-CN"/>
          <w14:textFill>
            <w14:solidFill>
              <w14:schemeClr w14:val="tx1"/>
            </w14:solidFill>
          </w14:textFill>
        </w:rPr>
      </w:pPr>
      <w:r>
        <w:rPr>
          <w:rFonts w:hint="eastAsia" w:ascii="仿宋_GB2312" w:hAnsi="Helvetica" w:eastAsia="仿宋_GB2312" w:cs="Helvetica"/>
          <w:b w:val="0"/>
          <w:bCs/>
          <w:color w:val="000000" w:themeColor="text1"/>
          <w:sz w:val="32"/>
          <w:szCs w:val="32"/>
          <w:lang w:val="en-US" w:eastAsia="zh-CN"/>
          <w14:textFill>
            <w14:solidFill>
              <w14:schemeClr w14:val="tx1"/>
            </w14:solidFill>
          </w14:textFill>
        </w:rPr>
        <w:t>从各街（镇）常住人口分部情况看，如按照南北中分块，全区常住人口总体呈现向中部区域集中的趋势。其中，中部区域的南沙街道和黄阁镇常住人口占比分别从2010年的18.53%、7.24%提升至2020年的28.01%和11.20%，合计人口占比接近4成；北部区域的东涌镇、大岗镇、榄核镇常住人口占比出现较大幅度下降，较2010年下降12.87个百分点。</w:t>
      </w:r>
    </w:p>
    <w:tbl>
      <w:tblPr>
        <w:tblStyle w:val="7"/>
        <w:tblW w:w="8336" w:type="dxa"/>
        <w:tblInd w:w="0" w:type="dxa"/>
        <w:tblLayout w:type="fixed"/>
        <w:tblCellMar>
          <w:top w:w="0" w:type="dxa"/>
          <w:left w:w="0" w:type="dxa"/>
          <w:bottom w:w="0" w:type="dxa"/>
          <w:right w:w="0" w:type="dxa"/>
        </w:tblCellMar>
      </w:tblPr>
      <w:tblGrid>
        <w:gridCol w:w="1233"/>
        <w:gridCol w:w="1233"/>
        <w:gridCol w:w="935"/>
        <w:gridCol w:w="1083"/>
        <w:gridCol w:w="936"/>
        <w:gridCol w:w="1083"/>
        <w:gridCol w:w="1833"/>
      </w:tblGrid>
      <w:tr>
        <w:tblPrEx>
          <w:tblCellMar>
            <w:top w:w="0" w:type="dxa"/>
            <w:left w:w="0" w:type="dxa"/>
            <w:bottom w:w="0" w:type="dxa"/>
            <w:right w:w="0" w:type="dxa"/>
          </w:tblCellMar>
        </w:tblPrEx>
        <w:trPr>
          <w:trHeight w:val="285" w:hRule="atLeast"/>
        </w:trPr>
        <w:tc>
          <w:tcPr>
            <w:tcW w:w="8336" w:type="dxa"/>
            <w:gridSpan w:val="7"/>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全区常住</w:t>
            </w:r>
            <w:r>
              <w:rPr>
                <w:rFonts w:hint="eastAsia" w:ascii="宋体" w:hAnsi="宋体" w:cs="宋体"/>
                <w:b/>
                <w:bCs/>
                <w:color w:val="000000" w:themeColor="text1"/>
                <w:kern w:val="0"/>
                <w:sz w:val="30"/>
                <w:szCs w:val="30"/>
                <w14:textFill>
                  <w14:solidFill>
                    <w14:schemeClr w14:val="tx1"/>
                  </w14:solidFill>
                </w14:textFill>
              </w:rPr>
              <w:t>人口分布变化</w:t>
            </w:r>
          </w:p>
        </w:tc>
      </w:tr>
      <w:tr>
        <w:tblPrEx>
          <w:tblCellMar>
            <w:top w:w="0" w:type="dxa"/>
            <w:left w:w="0" w:type="dxa"/>
            <w:bottom w:w="0" w:type="dxa"/>
            <w:right w:w="0" w:type="dxa"/>
          </w:tblCellMar>
        </w:tblPrEx>
        <w:trPr>
          <w:trHeight w:val="285" w:hRule="atLeast"/>
        </w:trPr>
        <w:tc>
          <w:tcPr>
            <w:tcW w:w="123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123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935"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108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936"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1083" w:type="dxa"/>
            <w:tcBorders>
              <w:top w:val="nil"/>
              <w:left w:val="nil"/>
              <w:bottom w:val="nil"/>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rPr>
                <w:rFonts w:ascii="宋体" w:hAnsi="宋体" w:cs="宋体"/>
                <w:color w:val="000000" w:themeColor="text1"/>
                <w:szCs w:val="21"/>
                <w14:textFill>
                  <w14:solidFill>
                    <w14:schemeClr w14:val="tx1"/>
                  </w14:solidFill>
                </w14:textFill>
              </w:rPr>
            </w:pPr>
          </w:p>
        </w:tc>
        <w:tc>
          <w:tcPr>
            <w:tcW w:w="1833" w:type="dxa"/>
            <w:tcBorders>
              <w:top w:val="nil"/>
              <w:left w:val="nil"/>
              <w:bottom w:val="nil"/>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right"/>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单位：人</w:t>
            </w: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区域</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地区</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eastAsiaTheme="minorEastAsia"/>
                <w:b/>
                <w:bCs/>
                <w:color w:val="000000" w:themeColor="text1"/>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2020年</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占比</w:t>
            </w: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cs="宋体" w:eastAsiaTheme="minorEastAsia"/>
                <w:b/>
                <w:bCs/>
                <w:color w:val="000000" w:themeColor="text1"/>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2010年</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占比</w:t>
            </w:r>
          </w:p>
        </w:tc>
        <w:tc>
          <w:tcPr>
            <w:tcW w:w="183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构成变化</w:t>
            </w:r>
          </w:p>
        </w:tc>
      </w:tr>
      <w:tr>
        <w:tblPrEx>
          <w:tblCellMar>
            <w:top w:w="0" w:type="dxa"/>
            <w:left w:w="0" w:type="dxa"/>
            <w:bottom w:w="0" w:type="dxa"/>
            <w:right w:w="0" w:type="dxa"/>
          </w:tblCellMar>
        </w:tblPrEx>
        <w:trPr>
          <w:trHeight w:val="360"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全区</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846584</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100.00%</w:t>
            </w: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b/>
                <w:bCs/>
                <w:color w:val="000000" w:themeColor="text1"/>
                <w:szCs w:val="21"/>
                <w:lang w:val="en-US" w:eastAsia="zh-CN"/>
                <w14:textFill>
                  <w14:solidFill>
                    <w14:schemeClr w14:val="tx1"/>
                  </w14:solidFill>
                </w14:textFill>
              </w:rPr>
            </w:pPr>
            <w:r>
              <w:rPr>
                <w:rFonts w:hint="eastAsia" w:ascii="宋体" w:hAnsi="宋体" w:cs="宋体"/>
                <w:b/>
                <w:bCs/>
                <w:color w:val="000000" w:themeColor="text1"/>
                <w:kern w:val="0"/>
                <w:szCs w:val="21"/>
                <w:lang w:val="en-US" w:eastAsia="zh-CN"/>
                <w14:textFill>
                  <w14:solidFill>
                    <w14:schemeClr w14:val="tx1"/>
                  </w14:solidFill>
                </w14:textFill>
              </w:rPr>
              <w:t>605216</w:t>
            </w:r>
          </w:p>
        </w:tc>
        <w:tc>
          <w:tcPr>
            <w:tcW w:w="10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100.00%</w:t>
            </w:r>
          </w:p>
        </w:tc>
        <w:tc>
          <w:tcPr>
            <w:tcW w:w="1833"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w:t>
            </w: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东涌镇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170772</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44.18%</w:t>
            </w: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147228</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57.06%</w:t>
            </w:r>
          </w:p>
        </w:tc>
        <w:tc>
          <w:tcPr>
            <w:tcW w:w="1833"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-12.87%</w:t>
            </w: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大岗镇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114324</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125011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榄核镇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88966</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73078</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中心片区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南沙街</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237089</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44.20%</w:t>
            </w: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112150</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30.80%</w:t>
            </w:r>
          </w:p>
        </w:tc>
        <w:tc>
          <w:tcPr>
            <w:tcW w:w="1833"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13.39%</w:t>
            </w: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中心片区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横沥镇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42281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30492</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中心片区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黄阁镇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94809</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43791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珠江街</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38710</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11.62%</w:t>
            </w: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28575</w:t>
            </w:r>
          </w:p>
        </w:tc>
        <w:tc>
          <w:tcPr>
            <w:tcW w:w="10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12.14%</w:t>
            </w:r>
          </w:p>
        </w:tc>
        <w:tc>
          <w:tcPr>
            <w:tcW w:w="1833"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-0.52%</w:t>
            </w: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龙穴街</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13588</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r>
        <w:tblPrEx>
          <w:tblCellMar>
            <w:top w:w="0" w:type="dxa"/>
            <w:left w:w="0" w:type="dxa"/>
            <w:bottom w:w="0" w:type="dxa"/>
            <w:right w:w="0" w:type="dxa"/>
          </w:tblCellMar>
        </w:tblPrEx>
        <w:trPr>
          <w:trHeight w:val="285" w:hRule="atLeast"/>
        </w:trPr>
        <w:tc>
          <w:tcPr>
            <w:tcW w:w="1233"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南部片区</w:t>
            </w:r>
          </w:p>
        </w:tc>
        <w:tc>
          <w:tcPr>
            <w:tcW w:w="12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万顷沙镇</w:t>
            </w:r>
          </w:p>
        </w:tc>
        <w:tc>
          <w:tcPr>
            <w:tcW w:w="9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46045</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9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44891</w:t>
            </w:r>
          </w:p>
        </w:tc>
        <w:tc>
          <w:tcPr>
            <w:tcW w:w="10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c>
          <w:tcPr>
            <w:tcW w:w="1833"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ascii="宋体" w:hAnsi="宋体" w:cs="宋体"/>
                <w:color w:val="000000" w:themeColor="text1"/>
                <w:szCs w:val="21"/>
                <w14:textFill>
                  <w14:solidFill>
                    <w14:schemeClr w14:val="tx1"/>
                  </w14:solidFill>
                </w14:textFill>
              </w:rPr>
            </w:pPr>
          </w:p>
        </w:tc>
      </w:tr>
    </w:tbl>
    <w:p>
      <w:pPr>
        <w:numPr>
          <w:ilvl w:val="-1"/>
          <w:numId w:val="0"/>
        </w:numPr>
        <w:spacing w:line="560" w:lineRule="exact"/>
        <w:ind w:firstLine="640" w:firstLineChars="200"/>
        <w:rPr>
          <w:rFonts w:hint="default" w:ascii="仿宋_GB2312" w:hAnsi="Helvetica" w:eastAsia="仿宋_GB2312" w:cs="Helvetica"/>
          <w:b w:val="0"/>
          <w:bCs/>
          <w:color w:val="000000" w:themeColor="text1"/>
          <w:sz w:val="32"/>
          <w:szCs w:val="32"/>
          <w:lang w:val="en-US" w:eastAsia="zh-CN"/>
          <w14:textFill>
            <w14:solidFill>
              <w14:schemeClr w14:val="tx1"/>
            </w14:solidFill>
          </w14:textFill>
        </w:rPr>
      </w:pPr>
      <w:r>
        <w:rPr>
          <w:rFonts w:hint="eastAsia" w:ascii="仿宋_GB2312" w:hAnsi="Helvetica" w:eastAsia="仿宋_GB2312" w:cs="Helvetica"/>
          <w:b w:val="0"/>
          <w:bCs/>
          <w:color w:val="000000" w:themeColor="text1"/>
          <w:sz w:val="32"/>
          <w:szCs w:val="32"/>
          <w:lang w:val="en-US" w:eastAsia="zh-CN"/>
          <w14:textFill>
            <w14:solidFill>
              <w14:schemeClr w14:val="tx1"/>
            </w14:solidFill>
          </w14:textFill>
        </w:rPr>
        <w:t>主要影响因素一是自贸区的七大版块中有4块在中部区域且占据先发优势，蕉门河中心区“城市客厅”、明珠湾起步区、南沙湾片区建设步伐不断加快，滨海新城日渐成型。二是中部区域发展程度领先，商业、居住、办公资源集中，居民、企业因此集聚，统计局基本单位名录库数据显示，中部区域集聚了全区超8成的法人单位，提供了大量就业岗位；三是广州实施退二进三战略，三镇部分劳动密集型企业停业搬迁，导致工人数量大幅下降。</w:t>
      </w:r>
    </w:p>
    <w:p>
      <w:pPr>
        <w:spacing w:line="560" w:lineRule="exact"/>
        <w:ind w:firstLine="640" w:firstLineChars="200"/>
        <w:rPr>
          <w:rFonts w:hint="eastAsia" w:ascii="黑体" w:hAnsi="黑体" w:eastAsia="黑体" w:cs="黑体"/>
          <w:b w:val="0"/>
          <w:bCs/>
          <w:color w:val="000000" w:themeColor="text1"/>
          <w:sz w:val="32"/>
          <w:szCs w:val="32"/>
          <w:lang w:val="en-US"/>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三、年轻人选择扎根南沙，教育水平获居民认可</w:t>
      </w:r>
    </w:p>
    <w:p>
      <w:pPr>
        <w:spacing w:line="560" w:lineRule="exact"/>
        <w:ind w:firstLine="640" w:firstLineChars="200"/>
        <w:rPr>
          <w:rFonts w:hint="default" w:ascii="仿宋_GB2312" w:hAnsi="Helvetica" w:eastAsia="仿宋_GB2312" w:cs="Helvetica"/>
          <w:color w:val="000000" w:themeColor="text1"/>
          <w:sz w:val="32"/>
          <w:szCs w:val="32"/>
          <w:lang w:val="en-US" w:eastAsia="zh-CN"/>
          <w14:textFill>
            <w14:solidFill>
              <w14:schemeClr w14:val="tx1"/>
            </w14:solidFill>
          </w14:textFill>
        </w:rPr>
      </w:pPr>
      <w:r>
        <w:rPr>
          <w:rFonts w:hint="eastAsia" w:ascii="仿宋_GB2312" w:hAnsi="Helvetica" w:eastAsia="仿宋_GB2312" w:cs="Helvetica"/>
          <w:color w:val="000000" w:themeColor="text1"/>
          <w:sz w:val="32"/>
          <w:szCs w:val="32"/>
          <w:lang w:val="en-US" w:eastAsia="zh-CN"/>
          <w14:textFill>
            <w14:solidFill>
              <w14:schemeClr w14:val="tx1"/>
            </w14:solidFill>
          </w14:textFill>
        </w:rPr>
        <w:t>从年龄分布结构看，南沙区0-4岁人口占比从2010年的3.77%提高至2020年的6.60%，新生人口比重大幅提高。十年来，南沙不断提升自身软硬件水平，发挥商事改革、政策洼地等效应，吸引众多优质企业落户南沙，提供越来越多的就业机会，也吸引了众多年轻人落户南沙，扎根南沙，并在此培育下一代。</w:t>
      </w:r>
    </w:p>
    <w:p>
      <w:pPr>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r>
        <w:rPr>
          <w:rFonts w:hint="eastAsia" w:ascii="仿宋_GB2312" w:hAnsi="Helvetica" w:eastAsia="仿宋_GB2312" w:cs="Helvetica"/>
          <w:color w:val="000000" w:themeColor="text1"/>
          <w:sz w:val="32"/>
          <w:szCs w:val="32"/>
          <w:lang w:val="en-US" w:eastAsia="zh-CN"/>
          <w14:textFill>
            <w14:solidFill>
              <w14:schemeClr w14:val="tx1"/>
            </w14:solidFill>
          </w14:textFill>
        </w:rPr>
        <w:t>5-14岁学龄人口占比从2010年的7.95%提升至2020年的8.66%，随着南沙的教育水平不断提升，越来越多家长选择让孩子在南沙读书。从另一项侧面数据看，2015年每年申请转学的“回南生”</w:t>
      </w:r>
      <w:r>
        <w:rPr>
          <w:rStyle w:val="10"/>
          <w:rFonts w:hint="eastAsia" w:ascii="仿宋_GB2312" w:hAnsi="Helvetica" w:eastAsia="仿宋_GB2312" w:cs="Helvetica"/>
          <w:color w:val="000000" w:themeColor="text1"/>
          <w:sz w:val="32"/>
          <w:szCs w:val="32"/>
          <w:lang w:val="en-US" w:eastAsia="zh-CN"/>
          <w14:textFill>
            <w14:solidFill>
              <w14:schemeClr w14:val="tx1"/>
            </w14:solidFill>
          </w14:textFill>
        </w:rPr>
        <w:footnoteReference w:id="1"/>
      </w:r>
      <w:r>
        <w:rPr>
          <w:rFonts w:hint="eastAsia" w:ascii="仿宋_GB2312" w:hAnsi="Helvetica" w:eastAsia="仿宋_GB2312" w:cs="Helvetica"/>
          <w:color w:val="000000" w:themeColor="text1"/>
          <w:sz w:val="32"/>
          <w:szCs w:val="32"/>
          <w:lang w:val="en-US" w:eastAsia="zh-CN"/>
          <w14:textFill>
            <w14:solidFill>
              <w14:schemeClr w14:val="tx1"/>
            </w14:solidFill>
          </w14:textFill>
        </w:rPr>
        <w:t>约100多人，目前每年申请转学的近1500人，进一步证明了家长对南沙教育的认可。</w:t>
      </w:r>
    </w:p>
    <w:p>
      <w:pPr>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p>
    <w:p>
      <w:pPr>
        <w:pStyle w:val="2"/>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-1905</wp:posOffset>
            </wp:positionH>
            <wp:positionV relativeFrom="paragraph">
              <wp:posOffset>77470</wp:posOffset>
            </wp:positionV>
            <wp:extent cx="5267960" cy="3568065"/>
            <wp:effectExtent l="4445" t="4445" r="23495" b="8890"/>
            <wp:wrapNone/>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rFonts w:hint="eastAsia" w:ascii="仿宋_GB2312" w:hAnsi="Helvetica" w:eastAsia="仿宋_GB2312" w:cs="Helvetica"/>
          <w:color w:val="000000" w:themeColor="text1"/>
          <w:sz w:val="32"/>
          <w:szCs w:val="32"/>
          <w:lang w:val="en-US" w:eastAsia="zh-CN"/>
          <w14:textFill>
            <w14:solidFill>
              <w14:schemeClr w14:val="tx1"/>
            </w14:solidFill>
          </w14:textFill>
        </w:rPr>
      </w:pPr>
    </w:p>
    <w:p>
      <w:pPr>
        <w:rPr>
          <w:rFonts w:hint="default"/>
          <w:color w:val="000000" w:themeColor="text1"/>
          <w:lang w:val="en-US" w:eastAsia="zh-CN"/>
          <w14:textFill>
            <w14:solidFill>
              <w14:schemeClr w14:val="tx1"/>
            </w14:solidFill>
          </w14:textFill>
        </w:rPr>
      </w:pPr>
    </w:p>
    <w:p>
      <w:p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p>
    <w:p>
      <w:pPr>
        <w:spacing w:line="560" w:lineRule="exact"/>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四、老龄化水平低于全市，</w:t>
      </w:r>
      <w:r>
        <w:rPr>
          <w:rStyle w:val="9"/>
          <w:rFonts w:hint="eastAsia" w:ascii="黑体" w:hAnsi="黑体" w:eastAsia="黑体" w:cs="黑体"/>
          <w:b w:val="0"/>
          <w:color w:val="000000" w:themeColor="text1"/>
          <w:sz w:val="32"/>
          <w:szCs w:val="32"/>
          <w:lang w:val="en-US" w:eastAsia="zh-CN"/>
          <w14:textFill>
            <w14:solidFill>
              <w14:schemeClr w14:val="tx1"/>
            </w14:solidFill>
          </w14:textFill>
        </w:rPr>
        <w:t>全球最适宜居住城区名副其实</w:t>
      </w:r>
    </w:p>
    <w:p>
      <w:pPr>
        <w:spacing w:line="560" w:lineRule="exact"/>
        <w:ind w:firstLine="640" w:firstLineChars="200"/>
        <w:rPr>
          <w:rStyle w:val="9"/>
          <w:rFonts w:hint="default" w:ascii="仿宋_GB2312" w:hAnsi="Helvetica" w:eastAsia="仿宋_GB2312" w:cs="Helvetica"/>
          <w:b w:val="0"/>
          <w:color w:val="000000" w:themeColor="text1"/>
          <w:sz w:val="32"/>
          <w:szCs w:val="32"/>
          <w:lang w:val="en-US" w:eastAsia="zh-CN"/>
          <w14:textFill>
            <w14:solidFill>
              <w14:schemeClr w14:val="tx1"/>
            </w14:solidFill>
          </w14:textFill>
        </w:rPr>
      </w:pPr>
      <w:r>
        <w:rPr>
          <w:rFonts w:hint="eastAsia" w:ascii="仿宋_GB2312" w:hAnsi="Helvetica" w:eastAsia="仿宋_GB2312" w:cs="Helvetica"/>
          <w:color w:val="000000" w:themeColor="text1"/>
          <w:sz w:val="32"/>
          <w:szCs w:val="32"/>
          <w:lang w:val="en-US" w:eastAsia="zh-CN"/>
          <w14:textFill>
            <w14:solidFill>
              <w14:schemeClr w14:val="tx1"/>
            </w14:solidFill>
          </w14:textFill>
        </w:rPr>
        <w:t>2020年，南沙区</w:t>
      </w:r>
      <w:r>
        <w:rPr>
          <w:rFonts w:hint="eastAsia" w:ascii="仿宋_GB2312" w:hAnsi="Helvetica" w:eastAsia="仿宋_GB2312" w:cs="Helvetica"/>
          <w:color w:val="000000" w:themeColor="text1"/>
          <w:sz w:val="32"/>
          <w:szCs w:val="32"/>
          <w14:textFill>
            <w14:solidFill>
              <w14:schemeClr w14:val="tx1"/>
            </w14:solidFill>
          </w14:textFill>
        </w:rPr>
        <w:t>60岁及以上人口占比为10.89%，其中65岁及以上人口占比7.45%，分别比全市平均水平低0.52个百分点、0.37个百分点。与2010年相比，60岁及以上人口占比提高2.43个百分点；65岁及以上人口占比提高1.69个百分点。</w:t>
      </w:r>
      <w:r>
        <w:rPr>
          <w:rStyle w:val="9"/>
          <w:rFonts w:hint="eastAsia" w:ascii="仿宋_GB2312" w:hAnsi="Helvetica" w:eastAsia="仿宋_GB2312" w:cs="Helvetica"/>
          <w:b w:val="0"/>
          <w:color w:val="000000" w:themeColor="text1"/>
          <w:sz w:val="32"/>
          <w:szCs w:val="32"/>
          <w14:textFill>
            <w14:solidFill>
              <w14:schemeClr w14:val="tx1"/>
            </w14:solidFill>
          </w14:textFill>
        </w:rPr>
        <w:t>按照联合国通用的“60岁及以上人口占比超过10%或65岁及以上人口占比超过7%，意味着该地区进入老龄化”的标准，</w:t>
      </w:r>
      <w:r>
        <w:rPr>
          <w:rStyle w:val="9"/>
          <w:rFonts w:hint="eastAsia" w:ascii="仿宋_GB2312" w:hAnsi="Helvetica" w:eastAsia="仿宋_GB2312" w:cs="Helvetica"/>
          <w:b w:val="0"/>
          <w:bCs w:val="0"/>
          <w:color w:val="000000" w:themeColor="text1"/>
          <w:sz w:val="32"/>
          <w:szCs w:val="32"/>
          <w:highlight w:val="none"/>
          <w14:textFill>
            <w14:solidFill>
              <w14:schemeClr w14:val="tx1"/>
            </w14:solidFill>
          </w14:textFill>
        </w:rPr>
        <w:t>南沙刚刚好跨入老龄化社会</w:t>
      </w:r>
      <w:r>
        <w:rPr>
          <w:rStyle w:val="9"/>
          <w:rFonts w:hint="eastAsia" w:ascii="仿宋_GB2312" w:hAnsi="Helvetica" w:eastAsia="仿宋_GB2312" w:cs="Helvetica"/>
          <w:b w:val="0"/>
          <w:color w:val="000000" w:themeColor="text1"/>
          <w:sz w:val="32"/>
          <w:szCs w:val="32"/>
          <w14:textFill>
            <w14:solidFill>
              <w14:schemeClr w14:val="tx1"/>
            </w14:solidFill>
          </w14:textFill>
        </w:rPr>
        <w:t>。</w:t>
      </w:r>
      <w:r>
        <w:rPr>
          <w:rStyle w:val="9"/>
          <w:rFonts w:hint="eastAsia" w:ascii="仿宋_GB2312" w:hAnsi="Helvetica" w:eastAsia="仿宋_GB2312" w:cs="Helvetica"/>
          <w:b w:val="0"/>
          <w:color w:val="000000" w:themeColor="text1"/>
          <w:sz w:val="32"/>
          <w:szCs w:val="32"/>
          <w:lang w:val="en-US" w:eastAsia="zh-CN"/>
          <w14:textFill>
            <w14:solidFill>
              <w14:schemeClr w14:val="tx1"/>
            </w14:solidFill>
          </w14:textFill>
        </w:rPr>
        <w:t>百岁以上老人数量从8个提升至59个，南沙全球最适宜居住城区金奖名副其实。</w:t>
      </w:r>
    </w:p>
    <w:p>
      <w:pPr>
        <w:spacing w:line="560" w:lineRule="exact"/>
        <w:ind w:firstLine="640" w:firstLineChars="200"/>
        <w:rPr>
          <w:rFonts w:eastAsia="仿宋_GB2312"/>
          <w:color w:val="000000" w:themeColor="text1"/>
          <w:sz w:val="32"/>
          <w:szCs w:val="32"/>
          <w14:textFill>
            <w14:solidFill>
              <w14:schemeClr w14:val="tx1"/>
            </w14:solidFill>
          </w14:textFill>
        </w:rPr>
      </w:pPr>
      <w:r>
        <w:rPr>
          <w:rStyle w:val="9"/>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t>此次普查结果显示，南沙区常住人口</w:t>
      </w:r>
      <w:r>
        <w:rPr>
          <w:rStyle w:val="9"/>
          <w:rFonts w:hint="eastAsia" w:ascii="仿宋_GB2312" w:hAnsi="Helvetica" w:eastAsia="仿宋_GB2312" w:cs="Helvetica"/>
          <w:b w:val="0"/>
          <w:color w:val="000000" w:themeColor="text1"/>
          <w:sz w:val="32"/>
          <w:szCs w:val="32"/>
          <w:shd w:val="clear" w:color="auto" w:fill="FFFFFF"/>
          <w:lang w:val="en-US" w:eastAsia="zh-CN"/>
          <w14:textFill>
            <w14:solidFill>
              <w14:schemeClr w14:val="tx1"/>
            </w14:solidFill>
          </w14:textFill>
        </w:rPr>
        <w:t>抚养</w:t>
      </w:r>
      <w:r>
        <w:rPr>
          <w:rStyle w:val="9"/>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t>系数</w:t>
      </w:r>
      <w:r>
        <w:rPr>
          <w:rStyle w:val="10"/>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footnoteReference w:id="2"/>
      </w:r>
      <w:r>
        <w:rPr>
          <w:rStyle w:val="9"/>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t>（0-14岁和65岁及以上人口与15-64岁人口之比）为</w:t>
      </w:r>
      <w:r>
        <w:rPr>
          <w:rStyle w:val="9"/>
          <w:rFonts w:hint="eastAsia" w:ascii="仿宋_GB2312" w:hAnsi="Helvetica" w:eastAsia="仿宋_GB2312" w:cs="Helvetica"/>
          <w:b w:val="0"/>
          <w:color w:val="000000" w:themeColor="text1"/>
          <w:sz w:val="32"/>
          <w:szCs w:val="32"/>
          <w:shd w:val="clear" w:color="auto" w:fill="FFFFFF"/>
          <w:lang w:val="en-US" w:eastAsia="zh-CN"/>
          <w14:textFill>
            <w14:solidFill>
              <w14:schemeClr w14:val="tx1"/>
            </w14:solidFill>
          </w14:textFill>
        </w:rPr>
        <w:t>29.40</w:t>
      </w:r>
      <w:r>
        <w:rPr>
          <w:rStyle w:val="9"/>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t>%，明显低于</w:t>
      </w:r>
      <w:r>
        <w:rPr>
          <w:rFonts w:eastAsia="仿宋_GB2312"/>
          <w:color w:val="000000" w:themeColor="text1"/>
          <w:sz w:val="32"/>
          <w:szCs w:val="32"/>
          <w14:textFill>
            <w14:solidFill>
              <w14:schemeClr w14:val="tx1"/>
            </w14:solidFill>
          </w14:textFill>
        </w:rPr>
        <w:t>国际公认的人口红利期的临界线</w:t>
      </w:r>
      <w:r>
        <w:rPr>
          <w:rFonts w:hint="eastAsia" w:eastAsia="仿宋_GB2312"/>
          <w:color w:val="000000" w:themeColor="text1"/>
          <w:sz w:val="32"/>
          <w:szCs w:val="32"/>
          <w:lang w:eastAsia="zh-CN"/>
          <w14:textFill>
            <w14:solidFill>
              <w14:schemeClr w14:val="tx1"/>
            </w14:solidFill>
          </w14:textFill>
        </w:rPr>
        <w:t>（</w:t>
      </w:r>
      <w:r>
        <w:rPr>
          <w:rStyle w:val="9"/>
          <w:rFonts w:hint="eastAsia" w:ascii="仿宋_GB2312" w:hAnsi="Helvetica" w:eastAsia="仿宋_GB2312" w:cs="Helvetica"/>
          <w:b w:val="0"/>
          <w:color w:val="000000" w:themeColor="text1"/>
          <w:sz w:val="32"/>
          <w:szCs w:val="32"/>
          <w:shd w:val="clear" w:color="auto" w:fill="FFFFFF"/>
          <w14:textFill>
            <w14:solidFill>
              <w14:schemeClr w14:val="tx1"/>
            </w14:solidFill>
          </w14:textFill>
        </w:rPr>
        <w:t>50%</w:t>
      </w:r>
      <w:r>
        <w:rPr>
          <w:rStyle w:val="9"/>
          <w:rFonts w:hint="eastAsia" w:ascii="仿宋_GB2312" w:hAnsi="Helvetica" w:eastAsia="仿宋_GB2312" w:cs="Helvetica"/>
          <w:b w:val="0"/>
          <w:color w:val="000000" w:themeColor="text1"/>
          <w:sz w:val="32"/>
          <w:szCs w:val="32"/>
          <w:shd w:val="clear" w:color="auto" w:fill="FFFFFF"/>
          <w:lang w:eastAsia="zh-CN"/>
          <w14:textFill>
            <w14:solidFill>
              <w14:schemeClr w14:val="tx1"/>
            </w14:solidFill>
          </w14:textFill>
        </w:rPr>
        <w:t>）</w:t>
      </w:r>
      <w:r>
        <w:rPr>
          <w:rFonts w:hint="eastAsia" w:ascii="仿宋_GB2312" w:hAnsi="Helvetica" w:eastAsia="仿宋_GB2312" w:cs="Helvetica"/>
          <w:color w:val="000000" w:themeColor="text1"/>
          <w:sz w:val="32"/>
          <w:szCs w:val="32"/>
          <w:shd w:val="clear" w:color="auto" w:fill="FFFFFF"/>
          <w14:textFill>
            <w14:solidFill>
              <w14:schemeClr w14:val="tx1"/>
            </w14:solidFill>
          </w14:textFill>
        </w:rPr>
        <w:t>，也明显低于全国的45.9%和全省的37.8%，略</w:t>
      </w:r>
      <w:r>
        <w:rPr>
          <w:rFonts w:hint="eastAsia" w:ascii="仿宋_GB2312" w:hAnsi="Helvetica" w:eastAsia="仿宋_GB2312" w:cs="Helvetica"/>
          <w:color w:val="000000" w:themeColor="text1"/>
          <w:sz w:val="32"/>
          <w:szCs w:val="32"/>
          <w:shd w:val="clear" w:color="auto" w:fill="FFFFFF"/>
          <w:lang w:val="en-US" w:eastAsia="zh-CN"/>
          <w14:textFill>
            <w14:solidFill>
              <w14:schemeClr w14:val="tx1"/>
            </w14:solidFill>
          </w14:textFill>
        </w:rPr>
        <w:t>高</w:t>
      </w:r>
      <w:r>
        <w:rPr>
          <w:rFonts w:hint="eastAsia" w:ascii="仿宋_GB2312" w:hAnsi="Helvetica" w:eastAsia="仿宋_GB2312" w:cs="Helvetica"/>
          <w:color w:val="000000" w:themeColor="text1"/>
          <w:sz w:val="32"/>
          <w:szCs w:val="32"/>
          <w:shd w:val="clear" w:color="auto" w:fill="FFFFFF"/>
          <w14:textFill>
            <w14:solidFill>
              <w14:schemeClr w14:val="tx1"/>
            </w14:solidFill>
          </w14:textFill>
        </w:rPr>
        <w:t>于全市的27.69%。说明南沙人口红利黄金期</w:t>
      </w:r>
      <w:r>
        <w:rPr>
          <w:rFonts w:eastAsia="仿宋_GB2312"/>
          <w:color w:val="000000" w:themeColor="text1"/>
          <w:sz w:val="32"/>
          <w:szCs w:val="32"/>
          <w14:textFill>
            <w14:solidFill>
              <w14:schemeClr w14:val="tx1"/>
            </w14:solidFill>
          </w14:textFill>
        </w:rPr>
        <w:t>特点依然明显，劳动力资源依然丰富。</w:t>
      </w:r>
    </w:p>
    <w:p>
      <w:pPr>
        <w:spacing w:line="560" w:lineRule="exact"/>
        <w:ind w:firstLine="640" w:firstLineChars="200"/>
        <w:rPr>
          <w:rFonts w:eastAsia="仿宋_GB2312"/>
          <w:color w:val="000000" w:themeColor="text1"/>
          <w:sz w:val="32"/>
          <w:szCs w:val="32"/>
          <w14:textFill>
            <w14:solidFill>
              <w14:schemeClr w14:val="tx1"/>
            </w14:solidFill>
          </w14:textFill>
        </w:rPr>
      </w:pPr>
    </w:p>
    <w:p>
      <w:pPr>
        <w:spacing w:line="560" w:lineRule="exact"/>
        <w:ind w:firstLine="420" w:firstLineChars="200"/>
        <w:rPr>
          <w:rFonts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4445</wp:posOffset>
            </wp:positionH>
            <wp:positionV relativeFrom="paragraph">
              <wp:posOffset>47625</wp:posOffset>
            </wp:positionV>
            <wp:extent cx="5273675" cy="3888740"/>
            <wp:effectExtent l="4445" t="4445" r="17780" b="12065"/>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560" w:lineRule="exact"/>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eastAsia="仿宋_GB2312"/>
          <w:color w:val="000000" w:themeColor="text1"/>
          <w:sz w:val="32"/>
          <w:szCs w:val="32"/>
          <w14:textFill>
            <w14:solidFill>
              <w14:schemeClr w14:val="tx1"/>
            </w14:solidFill>
          </w14:textFill>
        </w:rPr>
      </w:pPr>
    </w:p>
    <w:p>
      <w:pPr>
        <w:ind w:firstLine="640" w:firstLineChars="200"/>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pPr>
    </w:p>
    <w:p>
      <w:pPr>
        <w:spacing w:line="560" w:lineRule="exact"/>
        <w:ind w:firstLine="640" w:firstLineChars="200"/>
        <w:rPr>
          <w:rFonts w:hint="default" w:ascii="黑体" w:hAnsi="黑体" w:eastAsia="黑体" w:cs="黑体"/>
          <w:b w:val="0"/>
          <w:bCs/>
          <w:color w:val="000000" w:themeColor="text1"/>
          <w:sz w:val="32"/>
          <w:szCs w:val="32"/>
          <w:shd w:val="clear" w:color="auto" w:fill="FFFFFF"/>
          <w:lang w:val="en-US" w:eastAsia="zh-CN"/>
          <w14:textFill>
            <w14:solidFill>
              <w14:schemeClr w14:val="tx1"/>
            </w14:solidFill>
          </w14:textFill>
        </w:rPr>
      </w:pP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五</w:t>
      </w:r>
      <w:r>
        <w:rPr>
          <w:rFonts w:hint="eastAsia" w:ascii="黑体" w:hAnsi="黑体" w:eastAsia="黑体" w:cs="黑体"/>
          <w:b w:val="0"/>
          <w:bCs/>
          <w:color w:val="000000" w:themeColor="text1"/>
          <w:sz w:val="32"/>
          <w:szCs w:val="32"/>
          <w:shd w:val="clear" w:color="auto" w:fill="FFFFFF"/>
          <w14:textFill>
            <w14:solidFill>
              <w14:schemeClr w14:val="tx1"/>
            </w14:solidFill>
          </w14:textFill>
        </w:rPr>
        <w:t>、</w:t>
      </w:r>
      <w:r>
        <w:rPr>
          <w:rFonts w:hint="eastAsia" w:ascii="黑体" w:hAnsi="黑体" w:eastAsia="黑体" w:cs="黑体"/>
          <w:b w:val="0"/>
          <w:bCs/>
          <w:color w:val="000000" w:themeColor="text1"/>
          <w:sz w:val="32"/>
          <w:szCs w:val="32"/>
          <w:shd w:val="clear" w:color="auto" w:fill="FFFFFF"/>
          <w:lang w:val="en-US" w:eastAsia="zh-CN"/>
          <w14:textFill>
            <w14:solidFill>
              <w14:schemeClr w14:val="tx1"/>
            </w14:solidFill>
          </w14:textFill>
        </w:rPr>
        <w:t>人才政策效用明显，人口文化素质大幅提升</w:t>
      </w:r>
    </w:p>
    <w:p>
      <w:pPr>
        <w:adjustRightInd w:val="0"/>
        <w:snapToGrid w:val="0"/>
        <w:spacing w:line="560" w:lineRule="exact"/>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r>
        <w:rPr>
          <w:rFonts w:hint="eastAsia" w:ascii="仿宋_GB2312" w:hAnsi="Helvetica" w:eastAsia="仿宋_GB2312" w:cs="Helvetica"/>
          <w:color w:val="000000" w:themeColor="text1"/>
          <w:sz w:val="32"/>
          <w:szCs w:val="32"/>
          <w14:textFill>
            <w14:solidFill>
              <w14:schemeClr w14:val="tx1"/>
            </w14:solidFill>
          </w14:textFill>
        </w:rPr>
        <w:t>南沙区人口的变化不仅在于“量”的增加，“质”的提</w:t>
      </w:r>
      <w:r>
        <w:rPr>
          <w:rFonts w:hint="eastAsia" w:ascii="仿宋_GB2312" w:hAnsi="Helvetica" w:eastAsia="仿宋_GB2312" w:cs="Helvetica"/>
          <w:color w:val="000000" w:themeColor="text1"/>
          <w:sz w:val="32"/>
          <w:szCs w:val="32"/>
          <w:highlight w:val="none"/>
          <w14:textFill>
            <w14:solidFill>
              <w14:schemeClr w14:val="tx1"/>
            </w14:solidFill>
          </w14:textFill>
        </w:rPr>
        <w:t>升同样令人惊喜。从受教育程度看，</w:t>
      </w:r>
      <w:r>
        <w:rPr>
          <w:rStyle w:val="9"/>
          <w:rFonts w:hint="eastAsia" w:ascii="仿宋_GB2312" w:hAnsi="Helvetica" w:eastAsia="仿宋_GB2312" w:cs="Helvetica"/>
          <w:b w:val="0"/>
          <w:color w:val="000000" w:themeColor="text1"/>
          <w:sz w:val="32"/>
          <w:szCs w:val="32"/>
          <w:highlight w:val="none"/>
          <w14:textFill>
            <w14:solidFill>
              <w14:schemeClr w14:val="tx1"/>
            </w14:solidFill>
          </w14:textFill>
        </w:rPr>
        <w:t>拥有大学受教育程度的人口数</w:t>
      </w:r>
      <w:r>
        <w:rPr>
          <w:rStyle w:val="9"/>
          <w:rFonts w:hint="eastAsia" w:ascii="仿宋_GB2312" w:hAnsi="Helvetica" w:eastAsia="仿宋_GB2312" w:cs="Helvetica"/>
          <w:b w:val="0"/>
          <w:color w:val="000000" w:themeColor="text1"/>
          <w:sz w:val="32"/>
          <w:szCs w:val="32"/>
          <w:highlight w:val="none"/>
          <w:lang w:val="en-US" w:eastAsia="zh-CN"/>
          <w14:textFill>
            <w14:solidFill>
              <w14:schemeClr w14:val="tx1"/>
            </w14:solidFill>
          </w14:textFill>
        </w:rPr>
        <w:t>为151487人，较2010年增长201.14%，高于全国、全省、全市的平均水平。占全区常住人口的比重为17.89%，较2010年提高了11.95个百分点，比全市高3.9个百分点。</w:t>
      </w:r>
      <w:r>
        <w:rPr>
          <w:rFonts w:hint="eastAsia" w:ascii="仿宋_GB2312" w:hAnsi="Helvetica" w:eastAsia="仿宋_GB2312" w:cs="Helvetica"/>
          <w:color w:val="000000" w:themeColor="text1"/>
          <w:sz w:val="32"/>
          <w:szCs w:val="32"/>
          <w:highlight w:val="none"/>
          <w:lang w:val="en-US" w:eastAsia="zh-CN"/>
          <w14:textFill>
            <w14:solidFill>
              <w14:schemeClr w14:val="tx1"/>
            </w14:solidFill>
          </w14:textFill>
        </w:rPr>
        <w:t>这种跨越式的增长，一方面与南沙就业机会增多，吸引高水</w:t>
      </w:r>
      <w:r>
        <w:rPr>
          <w:rFonts w:hint="eastAsia" w:ascii="仿宋_GB2312" w:hAnsi="Helvetica" w:eastAsia="仿宋_GB2312" w:cs="Helvetica"/>
          <w:color w:val="000000" w:themeColor="text1"/>
          <w:sz w:val="32"/>
          <w:szCs w:val="32"/>
          <w:lang w:val="en-US" w:eastAsia="zh-CN"/>
          <w14:textFill>
            <w14:solidFill>
              <w14:schemeClr w14:val="tx1"/>
            </w14:solidFill>
          </w14:textFill>
        </w:rPr>
        <w:t>平人才前来就业有关，另一方面，也是我区人才政策的效用不断显现的成果。截至</w:t>
      </w:r>
      <w:bookmarkStart w:id="0" w:name="_GoBack"/>
      <w:bookmarkEnd w:id="0"/>
      <w:r>
        <w:rPr>
          <w:rFonts w:hint="eastAsia" w:ascii="仿宋_GB2312" w:hAnsi="Helvetica" w:eastAsia="仿宋_GB2312" w:cs="Helvetica"/>
          <w:color w:val="000000" w:themeColor="text1"/>
          <w:sz w:val="32"/>
          <w:szCs w:val="32"/>
          <w:lang w:val="en-US" w:eastAsia="zh-CN"/>
          <w14:textFill>
            <w14:solidFill>
              <w14:schemeClr w14:val="tx1"/>
            </w14:solidFill>
          </w14:textFill>
        </w:rPr>
        <w:t>目前，全区集聚院士30人，比2015年增长5倍，国家重大人才工程入选者37人，比2015年增长3倍，南沙区高端领军人才和骨干人才增至11429人，是2015年的8.9倍。</w:t>
      </w:r>
    </w:p>
    <w:p>
      <w:pPr>
        <w:adjustRightInd w:val="0"/>
        <w:snapToGrid w:val="0"/>
        <w:spacing w:line="560" w:lineRule="exact"/>
        <w:ind w:firstLine="640" w:firstLineChars="200"/>
        <w:rPr>
          <w:rFonts w:hint="eastAsia" w:eastAsia="仿宋_GB2312"/>
          <w:color w:val="000000" w:themeColor="text1"/>
          <w:sz w:val="32"/>
          <w:szCs w:val="32"/>
          <w:shd w:val="clear" w:color="auto" w:fill="FFFFFF"/>
          <w14:textFill>
            <w14:solidFill>
              <w14:schemeClr w14:val="tx1"/>
            </w14:solidFill>
          </w14:textFill>
        </w:rPr>
      </w:pPr>
      <w:r>
        <w:rPr>
          <w:rFonts w:hint="eastAsia" w:ascii="仿宋_GB2312" w:hAnsi="Helvetica" w:eastAsia="仿宋_GB2312" w:cs="Helvetica"/>
          <w:i w:val="0"/>
          <w:caps w:val="0"/>
          <w:color w:val="000000" w:themeColor="text1"/>
          <w:spacing w:val="0"/>
          <w:sz w:val="32"/>
          <w:szCs w:val="32"/>
          <w14:textFill>
            <w14:solidFill>
              <w14:schemeClr w14:val="tx1"/>
            </w14:solidFill>
          </w14:textFill>
        </w:rPr>
        <w:t>2010-2020年这十年间，</w:t>
      </w:r>
      <w:r>
        <w:rPr>
          <w:rFonts w:hint="eastAsia" w:ascii="仿宋_GB2312" w:hAnsi="Helvetica" w:eastAsia="仿宋_GB2312" w:cs="Helvetica"/>
          <w:i w:val="0"/>
          <w:caps w:val="0"/>
          <w:color w:val="000000" w:themeColor="text1"/>
          <w:spacing w:val="0"/>
          <w:sz w:val="32"/>
          <w:szCs w:val="32"/>
          <w:lang w:val="en-US" w:eastAsia="zh-CN"/>
          <w14:textFill>
            <w14:solidFill>
              <w14:schemeClr w14:val="tx1"/>
            </w14:solidFill>
          </w14:textFill>
        </w:rPr>
        <w:t>南沙</w:t>
      </w:r>
      <w:r>
        <w:rPr>
          <w:rFonts w:hint="eastAsia" w:ascii="仿宋_GB2312" w:hAnsi="Helvetica" w:eastAsia="仿宋_GB2312" w:cs="Helvetica"/>
          <w:i w:val="0"/>
          <w:caps w:val="0"/>
          <w:color w:val="000000" w:themeColor="text1"/>
          <w:spacing w:val="0"/>
          <w:sz w:val="32"/>
          <w:szCs w:val="32"/>
          <w14:textFill>
            <w14:solidFill>
              <w14:schemeClr w14:val="tx1"/>
            </w14:solidFill>
          </w14:textFill>
        </w:rPr>
        <w:t>区</w:t>
      </w:r>
      <w:r>
        <w:rPr>
          <w:rFonts w:hint="eastAsia" w:ascii="仿宋_GB2312" w:hAnsi="Helvetica" w:eastAsia="仿宋_GB2312" w:cs="Helvetica"/>
          <w:i w:val="0"/>
          <w:caps w:val="0"/>
          <w:color w:val="000000" w:themeColor="text1"/>
          <w:spacing w:val="0"/>
          <w:sz w:val="32"/>
          <w:szCs w:val="32"/>
          <w:lang w:val="en-US" w:eastAsia="zh-CN"/>
          <w14:textFill>
            <w14:solidFill>
              <w14:schemeClr w14:val="tx1"/>
            </w14:solidFill>
          </w14:textFill>
        </w:rPr>
        <w:t>充分</w:t>
      </w:r>
      <w:r>
        <w:rPr>
          <w:rFonts w:hint="eastAsia" w:ascii="仿宋_GB2312" w:hAnsi="Helvetica" w:eastAsia="仿宋_GB2312" w:cs="Helvetica"/>
          <w:b w:val="0"/>
          <w:color w:val="000000" w:themeColor="text1"/>
          <w:sz w:val="32"/>
          <w:szCs w:val="32"/>
          <w:lang w:val="en-US" w:eastAsia="zh-CN"/>
          <w14:textFill>
            <w14:solidFill>
              <w14:schemeClr w14:val="tx1"/>
            </w14:solidFill>
          </w14:textFill>
        </w:rPr>
        <w:t>把握国家级新区、自贸区、经开区“三区”叠加的发展机遇，不断优化人才政策、营商环境、产业布局，在此背景下</w:t>
      </w:r>
      <w:r>
        <w:rPr>
          <w:rFonts w:hint="eastAsia" w:ascii="仿宋_GB2312" w:hAnsi="Helvetica" w:eastAsia="仿宋_GB2312" w:cs="Helvetica"/>
          <w:i w:val="0"/>
          <w:caps w:val="0"/>
          <w:color w:val="000000" w:themeColor="text1"/>
          <w:spacing w:val="0"/>
          <w:sz w:val="32"/>
          <w:szCs w:val="32"/>
          <w:lang w:val="en-US" w:eastAsia="zh-CN"/>
          <w14:textFill>
            <w14:solidFill>
              <w14:schemeClr w14:val="tx1"/>
            </w14:solidFill>
          </w14:textFill>
        </w:rPr>
        <w:t>南沙人口</w:t>
      </w:r>
      <w:r>
        <w:rPr>
          <w:rFonts w:hint="eastAsia" w:ascii="仿宋_GB2312" w:hAnsi="Helvetica" w:eastAsia="仿宋_GB2312" w:cs="Helvetica"/>
          <w:i w:val="0"/>
          <w:iCs w:val="0"/>
          <w:caps w:val="0"/>
          <w:color w:val="000000" w:themeColor="text1"/>
          <w:spacing w:val="0"/>
          <w:sz w:val="32"/>
          <w:szCs w:val="32"/>
          <w14:textFill>
            <w14:solidFill>
              <w14:schemeClr w14:val="tx1"/>
            </w14:solidFill>
          </w14:textFill>
        </w:rPr>
        <w:t>在总量</w:t>
      </w:r>
      <w:r>
        <w:rPr>
          <w:rFonts w:hint="eastAsia" w:ascii="仿宋_GB2312" w:hAnsi="Helvetica" w:eastAsia="仿宋_GB2312" w:cs="Helvetica"/>
          <w:i w:val="0"/>
          <w:iCs w:val="0"/>
          <w:caps w:val="0"/>
          <w:color w:val="000000" w:themeColor="text1"/>
          <w:spacing w:val="0"/>
          <w:sz w:val="32"/>
          <w:szCs w:val="32"/>
          <w:lang w:eastAsia="zh-CN"/>
          <w14:textFill>
            <w14:solidFill>
              <w14:schemeClr w14:val="tx1"/>
            </w14:solidFill>
          </w14:textFill>
        </w:rPr>
        <w:t>、</w:t>
      </w:r>
      <w:r>
        <w:rPr>
          <w:rFonts w:hint="eastAsia" w:ascii="仿宋_GB2312" w:hAnsi="Helvetica" w:eastAsia="仿宋_GB2312" w:cs="Helvetica"/>
          <w:i w:val="0"/>
          <w:iCs w:val="0"/>
          <w:caps w:val="0"/>
          <w:color w:val="000000" w:themeColor="text1"/>
          <w:spacing w:val="0"/>
          <w:sz w:val="32"/>
          <w:szCs w:val="32"/>
          <w14:textFill>
            <w14:solidFill>
              <w14:schemeClr w14:val="tx1"/>
            </w14:solidFill>
          </w14:textFill>
        </w:rPr>
        <w:t>结构</w:t>
      </w:r>
      <w:r>
        <w:rPr>
          <w:rFonts w:hint="eastAsia" w:ascii="仿宋_GB2312" w:hAnsi="Helvetica" w:eastAsia="仿宋_GB2312" w:cs="Helvetica"/>
          <w:i w:val="0"/>
          <w:iCs w:val="0"/>
          <w:caps w:val="0"/>
          <w:color w:val="000000" w:themeColor="text1"/>
          <w:spacing w:val="0"/>
          <w:sz w:val="32"/>
          <w:szCs w:val="32"/>
          <w:lang w:eastAsia="zh-CN"/>
          <w14:textFill>
            <w14:solidFill>
              <w14:schemeClr w14:val="tx1"/>
            </w14:solidFill>
          </w14:textFill>
        </w:rPr>
        <w:t>、</w:t>
      </w:r>
      <w:r>
        <w:rPr>
          <w:rFonts w:hint="eastAsia" w:ascii="仿宋_GB2312" w:hAnsi="Helvetica" w:eastAsia="仿宋_GB2312" w:cs="Helvetica"/>
          <w:i w:val="0"/>
          <w:iCs w:val="0"/>
          <w:caps w:val="0"/>
          <w:color w:val="000000" w:themeColor="text1"/>
          <w:spacing w:val="0"/>
          <w:sz w:val="32"/>
          <w:szCs w:val="32"/>
          <w14:textFill>
            <w14:solidFill>
              <w14:schemeClr w14:val="tx1"/>
            </w14:solidFill>
          </w14:textFill>
        </w:rPr>
        <w:t>分布</w:t>
      </w:r>
      <w:r>
        <w:rPr>
          <w:rFonts w:hint="eastAsia" w:ascii="仿宋_GB2312" w:hAnsi="Helvetica" w:eastAsia="仿宋_GB2312" w:cs="Helvetica"/>
          <w:i w:val="0"/>
          <w:iCs w:val="0"/>
          <w:caps w:val="0"/>
          <w:color w:val="000000" w:themeColor="text1"/>
          <w:spacing w:val="0"/>
          <w:sz w:val="32"/>
          <w:szCs w:val="32"/>
          <w:lang w:eastAsia="zh-CN"/>
          <w14:textFill>
            <w14:solidFill>
              <w14:schemeClr w14:val="tx1"/>
            </w14:solidFill>
          </w14:textFill>
        </w:rPr>
        <w:t>、</w:t>
      </w:r>
      <w:r>
        <w:rPr>
          <w:rFonts w:hint="eastAsia" w:ascii="仿宋_GB2312" w:hAnsi="Helvetica" w:eastAsia="仿宋_GB2312" w:cs="Helvetica"/>
          <w:i w:val="0"/>
          <w:iCs w:val="0"/>
          <w:caps w:val="0"/>
          <w:color w:val="000000" w:themeColor="text1"/>
          <w:spacing w:val="0"/>
          <w:sz w:val="32"/>
          <w:szCs w:val="32"/>
          <w14:textFill>
            <w14:solidFill>
              <w14:schemeClr w14:val="tx1"/>
            </w14:solidFill>
          </w14:textFill>
        </w:rPr>
        <w:t>素质等方面都发生了巨大变化,人口出现快速增长,劳动力资源相对充足</w:t>
      </w:r>
      <w:r>
        <w:rPr>
          <w:rFonts w:hint="eastAsia" w:ascii="仿宋_GB2312" w:hAnsi="Helvetica" w:eastAsia="仿宋_GB2312" w:cs="Helvetica"/>
          <w:i w:val="0"/>
          <w:caps w:val="0"/>
          <w:color w:val="000000" w:themeColor="text1"/>
          <w:spacing w:val="0"/>
          <w:sz w:val="32"/>
          <w:szCs w:val="32"/>
          <w:lang w:val="en-US" w:eastAsia="zh-CN"/>
          <w14:textFill>
            <w14:solidFill>
              <w14:schemeClr w14:val="tx1"/>
            </w14:solidFill>
          </w14:textFill>
        </w:rPr>
        <w:t>，人口</w:t>
      </w:r>
      <w:r>
        <w:rPr>
          <w:rFonts w:hint="eastAsia" w:ascii="仿宋_GB2312" w:hAnsi="Helvetica" w:eastAsia="仿宋_GB2312" w:cs="Helvetica"/>
          <w:color w:val="000000" w:themeColor="text1"/>
          <w:sz w:val="32"/>
          <w:szCs w:val="32"/>
          <w:shd w:val="clear" w:color="auto" w:fill="auto"/>
          <w14:textFill>
            <w14:solidFill>
              <w14:schemeClr w14:val="tx1"/>
            </w14:solidFill>
          </w14:textFill>
        </w:rPr>
        <w:t>素质不断提</w:t>
      </w:r>
      <w:r>
        <w:rPr>
          <w:rFonts w:hint="eastAsia" w:eastAsia="仿宋_GB2312"/>
          <w:color w:val="000000" w:themeColor="text1"/>
          <w:sz w:val="32"/>
          <w:szCs w:val="32"/>
          <w:shd w:val="clear" w:color="auto" w:fill="FFFFFF"/>
          <w14:textFill>
            <w14:solidFill>
              <w14:schemeClr w14:val="tx1"/>
            </w14:solidFill>
          </w14:textFill>
        </w:rPr>
        <w:t>升，人才红利逐渐释放。</w:t>
      </w:r>
      <w:r>
        <w:rPr>
          <w:rFonts w:hint="eastAsia" w:ascii="仿宋_GB2312" w:hAnsi="Helvetica" w:eastAsia="仿宋_GB2312" w:cs="Helvetica"/>
          <w:color w:val="000000" w:themeColor="text1"/>
          <w:sz w:val="32"/>
          <w:szCs w:val="32"/>
          <w:shd w:val="clear"/>
          <w:lang w:val="en-US" w:eastAsia="zh-CN"/>
          <w14:textFill>
            <w14:solidFill>
              <w14:schemeClr w14:val="tx1"/>
            </w14:solidFill>
          </w14:textFill>
        </w:rPr>
        <w:t>但</w:t>
      </w:r>
      <w:r>
        <w:rPr>
          <w:rFonts w:eastAsia="仿宋_GB2312"/>
          <w:color w:val="000000" w:themeColor="text1"/>
          <w:sz w:val="32"/>
          <w:szCs w:val="32"/>
          <w14:textFill>
            <w14:solidFill>
              <w14:schemeClr w14:val="tx1"/>
            </w14:solidFill>
          </w14:textFill>
        </w:rPr>
        <w:t>人口老龄化的趋势不容忽视</w:t>
      </w:r>
      <w:r>
        <w:rPr>
          <w:rFonts w:hint="eastAsia" w:ascii="仿宋_GB2312" w:hAnsi="Helvetica" w:eastAsia="仿宋_GB2312" w:cs="Helvetica"/>
          <w:color w:val="000000" w:themeColor="text1"/>
          <w:sz w:val="32"/>
          <w:szCs w:val="32"/>
          <w:shd w:val="clear"/>
          <w:lang w:val="en-US" w:eastAsia="zh-CN"/>
          <w14:textFill>
            <w14:solidFill>
              <w14:schemeClr w14:val="tx1"/>
            </w14:solidFill>
          </w14:textFill>
        </w:rPr>
        <w:t>，一方面要</w:t>
      </w:r>
      <w:r>
        <w:rPr>
          <w:rFonts w:eastAsia="仿宋_GB2312"/>
          <w:color w:val="000000" w:themeColor="text1"/>
          <w:sz w:val="32"/>
          <w:szCs w:val="32"/>
          <w14:textFill>
            <w14:solidFill>
              <w14:schemeClr w14:val="tx1"/>
            </w14:solidFill>
          </w14:textFill>
        </w:rPr>
        <w:t>加大养老资源配备，</w:t>
      </w:r>
      <w:r>
        <w:rPr>
          <w:rFonts w:hint="eastAsia" w:eastAsia="仿宋_GB2312"/>
          <w:color w:val="000000" w:themeColor="text1"/>
          <w:sz w:val="32"/>
          <w:szCs w:val="32"/>
          <w:lang w:val="en-US" w:eastAsia="zh-CN"/>
          <w14:textFill>
            <w14:solidFill>
              <w14:schemeClr w14:val="tx1"/>
            </w14:solidFill>
          </w14:textFill>
        </w:rPr>
        <w:t>提升养老服务水平，建设“</w:t>
      </w:r>
      <w:r>
        <w:rPr>
          <w:rFonts w:eastAsia="仿宋_GB2312"/>
          <w:color w:val="000000" w:themeColor="text1"/>
          <w:sz w:val="32"/>
          <w:szCs w:val="32"/>
          <w14:textFill>
            <w14:solidFill>
              <w14:schemeClr w14:val="tx1"/>
            </w14:solidFill>
          </w14:textFill>
        </w:rPr>
        <w:t>老年友好型社会</w:t>
      </w:r>
      <w:r>
        <w:rPr>
          <w:rFonts w:hint="eastAsia" w:eastAsia="仿宋_GB2312"/>
          <w:color w:val="000000" w:themeColor="text1"/>
          <w:sz w:val="32"/>
          <w:szCs w:val="32"/>
          <w:lang w:eastAsia="zh-CN"/>
          <w14:textFill>
            <w14:solidFill>
              <w14:schemeClr w14:val="tx1"/>
            </w14:solidFill>
          </w14:textFill>
        </w:rPr>
        <w:t>”；</w:t>
      </w:r>
      <w:r>
        <w:rPr>
          <w:rFonts w:hint="eastAsia" w:eastAsia="仿宋_GB2312"/>
          <w:color w:val="000000" w:themeColor="text1"/>
          <w:sz w:val="32"/>
          <w:szCs w:val="32"/>
          <w:lang w:val="en-US" w:eastAsia="zh-CN"/>
          <w14:textFill>
            <w14:solidFill>
              <w14:schemeClr w14:val="tx1"/>
            </w14:solidFill>
          </w14:textFill>
        </w:rPr>
        <w:t>一方面要</w:t>
      </w:r>
      <w:r>
        <w:rPr>
          <w:rFonts w:eastAsia="仿宋_GB2312"/>
          <w:color w:val="000000" w:themeColor="text1"/>
          <w:sz w:val="32"/>
          <w:szCs w:val="32"/>
          <w14:textFill>
            <w14:solidFill>
              <w14:schemeClr w14:val="tx1"/>
            </w14:solidFill>
          </w14:textFill>
        </w:rPr>
        <w:t>进一步挖掘人才红利潜力，进一步加快</w:t>
      </w:r>
      <w:r>
        <w:rPr>
          <w:rFonts w:hint="eastAsia" w:eastAsia="仿宋_GB2312"/>
          <w:color w:val="000000" w:themeColor="text1"/>
          <w:sz w:val="32"/>
          <w:szCs w:val="32"/>
          <w14:textFill>
            <w14:solidFill>
              <w14:schemeClr w14:val="tx1"/>
            </w14:solidFill>
          </w14:textFill>
        </w:rPr>
        <w:t>培育</w:t>
      </w:r>
      <w:r>
        <w:rPr>
          <w:rFonts w:eastAsia="仿宋_GB2312"/>
          <w:color w:val="000000" w:themeColor="text1"/>
          <w:sz w:val="32"/>
          <w:szCs w:val="32"/>
          <w14:textFill>
            <w14:solidFill>
              <w14:schemeClr w14:val="tx1"/>
            </w14:solidFill>
          </w14:textFill>
        </w:rPr>
        <w:t>和引进高层次人才</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推进</w:t>
      </w:r>
      <w:r>
        <w:rPr>
          <w:rFonts w:hint="eastAsia" w:eastAsia="仿宋_GB2312"/>
          <w:color w:val="000000" w:themeColor="text1"/>
          <w:sz w:val="32"/>
          <w:szCs w:val="32"/>
          <w:lang w:val="en-US" w:eastAsia="zh-CN"/>
          <w14:textFill>
            <w14:solidFill>
              <w14:schemeClr w14:val="tx1"/>
            </w14:solidFill>
          </w14:textFill>
        </w:rPr>
        <w:t>南沙</w:t>
      </w:r>
      <w:r>
        <w:rPr>
          <w:rFonts w:eastAsia="仿宋_GB2312"/>
          <w:color w:val="000000" w:themeColor="text1"/>
          <w:sz w:val="32"/>
          <w:szCs w:val="32"/>
          <w14:textFill>
            <w14:solidFill>
              <w14:schemeClr w14:val="tx1"/>
            </w14:solidFill>
          </w14:textFill>
        </w:rPr>
        <w:t>人口素质与产业</w:t>
      </w:r>
      <w:r>
        <w:rPr>
          <w:rFonts w:hint="eastAsia" w:eastAsia="仿宋_GB2312"/>
          <w:color w:val="000000" w:themeColor="text1"/>
          <w:sz w:val="32"/>
          <w:szCs w:val="32"/>
          <w:lang w:val="en-US" w:eastAsia="zh-CN"/>
          <w14:textFill>
            <w14:solidFill>
              <w14:schemeClr w14:val="tx1"/>
            </w14:solidFill>
          </w14:textFill>
        </w:rPr>
        <w:t>经济</w:t>
      </w:r>
      <w:r>
        <w:rPr>
          <w:rFonts w:eastAsia="仿宋_GB2312"/>
          <w:color w:val="000000" w:themeColor="text1"/>
          <w:sz w:val="32"/>
          <w:szCs w:val="32"/>
          <w14:textFill>
            <w14:solidFill>
              <w14:schemeClr w14:val="tx1"/>
            </w14:solidFill>
          </w14:textFill>
        </w:rPr>
        <w:t>协调发展</w:t>
      </w:r>
      <w:r>
        <w:rPr>
          <w:rFonts w:hint="eastAsia" w:eastAsia="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Helvetica" w:eastAsia="仿宋_GB2312" w:cs="Helvetica"/>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snapToGrid w:val="0"/>
        <w:rPr>
          <w:rFonts w:hint="default" w:eastAsiaTheme="minorEastAsia"/>
          <w:lang w:val="en-US" w:eastAsia="zh-CN"/>
        </w:rPr>
      </w:pPr>
      <w:r>
        <w:rPr>
          <w:rStyle w:val="10"/>
        </w:rPr>
        <w:footnoteRef/>
      </w:r>
      <w:r>
        <w:t xml:space="preserve"> </w:t>
      </w:r>
      <w:r>
        <w:rPr>
          <w:rFonts w:hint="eastAsia"/>
          <w:lang w:val="en-US" w:eastAsia="zh-CN"/>
        </w:rPr>
        <w:t>该数据包含东涌镇、榄核镇、大岗镇2010年人口数据。</w:t>
      </w:r>
    </w:p>
  </w:footnote>
  <w:footnote w:id="1">
    <w:p>
      <w:pPr>
        <w:pStyle w:val="6"/>
        <w:snapToGrid w:val="0"/>
      </w:pPr>
      <w:r>
        <w:rPr>
          <w:rStyle w:val="10"/>
        </w:rPr>
        <w:footnoteRef/>
      </w:r>
      <w:r>
        <w:t xml:space="preserve"> </w:t>
      </w:r>
      <w:r>
        <w:rPr>
          <w:rFonts w:hint="eastAsia"/>
        </w:rPr>
        <w:t>南沙区户籍的学生申请非起始年级转回南沙。</w:t>
      </w:r>
    </w:p>
  </w:footnote>
  <w:footnote w:id="2">
    <w:p>
      <w:pPr>
        <w:pStyle w:val="6"/>
        <w:snapToGrid w:val="0"/>
        <w:rPr>
          <w:rFonts w:hint="default" w:eastAsiaTheme="minorEastAsia"/>
          <w:lang w:val="en-US" w:eastAsia="zh-CN"/>
        </w:rPr>
      </w:pPr>
      <w:r>
        <w:rPr>
          <w:rStyle w:val="10"/>
        </w:rPr>
        <w:footnoteRef/>
      </w:r>
      <w:r>
        <w:t xml:space="preserve"> </w:t>
      </w:r>
      <w:r>
        <w:rPr>
          <w:rFonts w:hint="eastAsia"/>
          <w:lang w:val="en-US" w:eastAsia="zh-CN"/>
        </w:rPr>
        <w:t>人口抚养系数（GDR）又称人口抚养比，是指人口总体中非劳动年龄人口与劳动年龄人口之比。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3E"/>
    <w:rsid w:val="00090F7E"/>
    <w:rsid w:val="00124ECD"/>
    <w:rsid w:val="001E74F0"/>
    <w:rsid w:val="00273F18"/>
    <w:rsid w:val="0039256F"/>
    <w:rsid w:val="00460C46"/>
    <w:rsid w:val="0055712D"/>
    <w:rsid w:val="005B7409"/>
    <w:rsid w:val="00662D1F"/>
    <w:rsid w:val="00740D8A"/>
    <w:rsid w:val="00753B98"/>
    <w:rsid w:val="008164B2"/>
    <w:rsid w:val="00913C3E"/>
    <w:rsid w:val="009E2253"/>
    <w:rsid w:val="00A76F72"/>
    <w:rsid w:val="00B31A7B"/>
    <w:rsid w:val="00CE0752"/>
    <w:rsid w:val="00D256F9"/>
    <w:rsid w:val="00F10B4A"/>
    <w:rsid w:val="00F2173F"/>
    <w:rsid w:val="00FC3A36"/>
    <w:rsid w:val="01155503"/>
    <w:rsid w:val="01D265C2"/>
    <w:rsid w:val="0202553C"/>
    <w:rsid w:val="020A226A"/>
    <w:rsid w:val="03272D72"/>
    <w:rsid w:val="033E7366"/>
    <w:rsid w:val="03A7765C"/>
    <w:rsid w:val="03B90E42"/>
    <w:rsid w:val="040E216D"/>
    <w:rsid w:val="05586413"/>
    <w:rsid w:val="06DF2BDB"/>
    <w:rsid w:val="07DD7A77"/>
    <w:rsid w:val="0816555A"/>
    <w:rsid w:val="084749B0"/>
    <w:rsid w:val="092C4E55"/>
    <w:rsid w:val="09A26874"/>
    <w:rsid w:val="0AA9051A"/>
    <w:rsid w:val="0AB717ED"/>
    <w:rsid w:val="0B877F94"/>
    <w:rsid w:val="0C456F86"/>
    <w:rsid w:val="0FC27E76"/>
    <w:rsid w:val="1074503C"/>
    <w:rsid w:val="11F3365D"/>
    <w:rsid w:val="12255634"/>
    <w:rsid w:val="12F830F4"/>
    <w:rsid w:val="139F3E2F"/>
    <w:rsid w:val="13FE6DDD"/>
    <w:rsid w:val="14CC5771"/>
    <w:rsid w:val="151E6FD9"/>
    <w:rsid w:val="152F44B8"/>
    <w:rsid w:val="15AC1C39"/>
    <w:rsid w:val="17682A01"/>
    <w:rsid w:val="17C0622D"/>
    <w:rsid w:val="181008F4"/>
    <w:rsid w:val="18606A50"/>
    <w:rsid w:val="18881ECA"/>
    <w:rsid w:val="18BF0856"/>
    <w:rsid w:val="18BF20C2"/>
    <w:rsid w:val="19B87E5B"/>
    <w:rsid w:val="1A5A4EB2"/>
    <w:rsid w:val="1C030CD7"/>
    <w:rsid w:val="1C3D60D3"/>
    <w:rsid w:val="1CE3239F"/>
    <w:rsid w:val="1CEA1F1E"/>
    <w:rsid w:val="1E931E89"/>
    <w:rsid w:val="1F241CFD"/>
    <w:rsid w:val="1FA41658"/>
    <w:rsid w:val="206F3269"/>
    <w:rsid w:val="230C766A"/>
    <w:rsid w:val="23597FD3"/>
    <w:rsid w:val="2503411D"/>
    <w:rsid w:val="25192DB5"/>
    <w:rsid w:val="255E5394"/>
    <w:rsid w:val="26471673"/>
    <w:rsid w:val="26AB2680"/>
    <w:rsid w:val="26EC784C"/>
    <w:rsid w:val="27A45343"/>
    <w:rsid w:val="2AE64173"/>
    <w:rsid w:val="2BCE5894"/>
    <w:rsid w:val="2D1A310D"/>
    <w:rsid w:val="2D6222B5"/>
    <w:rsid w:val="2E3F64E6"/>
    <w:rsid w:val="323A06FF"/>
    <w:rsid w:val="33FA36E7"/>
    <w:rsid w:val="34244C00"/>
    <w:rsid w:val="362E3631"/>
    <w:rsid w:val="37711A3D"/>
    <w:rsid w:val="37A4174E"/>
    <w:rsid w:val="39DB56A2"/>
    <w:rsid w:val="3A061366"/>
    <w:rsid w:val="3A8A57AB"/>
    <w:rsid w:val="3A912AC0"/>
    <w:rsid w:val="3B04344D"/>
    <w:rsid w:val="3D3573C4"/>
    <w:rsid w:val="3D6970DC"/>
    <w:rsid w:val="3ED829A2"/>
    <w:rsid w:val="3F0063A2"/>
    <w:rsid w:val="3F0F4D1F"/>
    <w:rsid w:val="40433ABD"/>
    <w:rsid w:val="412631E9"/>
    <w:rsid w:val="4231430D"/>
    <w:rsid w:val="43DD6C43"/>
    <w:rsid w:val="443C5490"/>
    <w:rsid w:val="47196A99"/>
    <w:rsid w:val="488A558B"/>
    <w:rsid w:val="4B31739B"/>
    <w:rsid w:val="4B330B53"/>
    <w:rsid w:val="4B7E4942"/>
    <w:rsid w:val="4D1F50C1"/>
    <w:rsid w:val="4E642E7D"/>
    <w:rsid w:val="4F5732CB"/>
    <w:rsid w:val="4FC43C39"/>
    <w:rsid w:val="505B258E"/>
    <w:rsid w:val="509C017D"/>
    <w:rsid w:val="50F20700"/>
    <w:rsid w:val="51610A55"/>
    <w:rsid w:val="51C02A7B"/>
    <w:rsid w:val="51FC2D78"/>
    <w:rsid w:val="54A17C29"/>
    <w:rsid w:val="54B50B76"/>
    <w:rsid w:val="567E513F"/>
    <w:rsid w:val="57083B41"/>
    <w:rsid w:val="58AB4BAD"/>
    <w:rsid w:val="58D402DF"/>
    <w:rsid w:val="592711BF"/>
    <w:rsid w:val="5B3E3CE5"/>
    <w:rsid w:val="5BC30044"/>
    <w:rsid w:val="5C3B5FD3"/>
    <w:rsid w:val="5C423280"/>
    <w:rsid w:val="5D1F20D5"/>
    <w:rsid w:val="5D346549"/>
    <w:rsid w:val="5EA53407"/>
    <w:rsid w:val="5EAE62A5"/>
    <w:rsid w:val="5EB35E3F"/>
    <w:rsid w:val="61BC33E2"/>
    <w:rsid w:val="61DC2D86"/>
    <w:rsid w:val="626C1F44"/>
    <w:rsid w:val="65B44807"/>
    <w:rsid w:val="65FA5B02"/>
    <w:rsid w:val="66537DE1"/>
    <w:rsid w:val="669628D0"/>
    <w:rsid w:val="66BE72A1"/>
    <w:rsid w:val="6A99172C"/>
    <w:rsid w:val="6AB568DD"/>
    <w:rsid w:val="6C973E31"/>
    <w:rsid w:val="6DAA6F2A"/>
    <w:rsid w:val="6DD07897"/>
    <w:rsid w:val="6DD34F97"/>
    <w:rsid w:val="6EBF1869"/>
    <w:rsid w:val="700026D8"/>
    <w:rsid w:val="70D4193D"/>
    <w:rsid w:val="71DE0CAD"/>
    <w:rsid w:val="71E93D6C"/>
    <w:rsid w:val="73CA0D84"/>
    <w:rsid w:val="748F39A5"/>
    <w:rsid w:val="753D3ECE"/>
    <w:rsid w:val="763F233B"/>
    <w:rsid w:val="7644032B"/>
    <w:rsid w:val="76CC2567"/>
    <w:rsid w:val="782B3CDB"/>
    <w:rsid w:val="78701B6E"/>
    <w:rsid w:val="787A2723"/>
    <w:rsid w:val="790E4743"/>
    <w:rsid w:val="7D4F00CD"/>
    <w:rsid w:val="7DC60EF6"/>
    <w:rsid w:val="7FDE4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insoku w:val="0"/>
      <w:overflowPunct w:val="0"/>
      <w:autoSpaceDE w:val="0"/>
      <w:autoSpaceDN w:val="0"/>
      <w:adjustRightInd w:val="0"/>
      <w:snapToGrid w:val="0"/>
      <w:spacing w:line="680" w:lineRule="exact"/>
      <w:jc w:val="center"/>
      <w:outlineLvl w:val="1"/>
    </w:pPr>
    <w:rPr>
      <w:rFonts w:hint="eastAsia" w:ascii="Calibri Light" w:hAnsi="Calibri Light" w:eastAsia="楷体_GB2312"/>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120" w:line="400" w:lineRule="exact"/>
      <w:ind w:firstLine="200" w:firstLineChars="200"/>
      <w:jc w:val="left"/>
    </w:pPr>
    <w:rPr>
      <w:rFonts w:ascii="仿宋" w:hAnsi="宋体" w:eastAsia="仿宋"/>
      <w:sz w:val="28"/>
      <w:szCs w:val="2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unhideWhenUsed/>
    <w:qFormat/>
    <w:uiPriority w:val="99"/>
    <w:pPr>
      <w:snapToGrid w:val="0"/>
      <w:jc w:val="left"/>
    </w:pPr>
    <w:rPr>
      <w:sz w:val="18"/>
    </w:rPr>
  </w:style>
  <w:style w:type="character" w:styleId="9">
    <w:name w:val="Strong"/>
    <w:basedOn w:val="8"/>
    <w:qFormat/>
    <w:uiPriority w:val="22"/>
    <w:rPr>
      <w:b/>
      <w:bCs/>
    </w:rPr>
  </w:style>
  <w:style w:type="character" w:styleId="10">
    <w:name w:val="footnote reference"/>
    <w:basedOn w:val="8"/>
    <w:semiHidden/>
    <w:unhideWhenUsed/>
    <w:qFormat/>
    <w:uiPriority w:val="99"/>
    <w:rPr>
      <w:vertAlign w:val="superscript"/>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020&#24180;&#31532;&#19971;&#27425;&#20840;&#22269;&#20154;&#21475;&#26222;&#26597;\&#19971;&#20154;&#26222;&#24066;&#21453;&#39304;&#25968;\&#20844;&#25253;&#30456;&#20851;\&#21335;&#27801;&#21306;&#31532;&#19971;&#27425;&#20840;&#22269;&#20154;&#21475;&#26222;&#26597;&#20027;&#35201;&#25968;&#25454;&#20844;&#25253;\&#32534;&#36753;&#36807;&#31243;&#31295;\&#19971;&#20154;&#26222;&#24037;&#20316;&#25253;&#21578;&#25968;&#25454;&#35745;&#31639;&#20381;&#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020&#24180;&#31532;&#19971;&#27425;&#20840;&#22269;&#20154;&#21475;&#26222;&#26597;\&#19971;&#20154;&#26222;&#24066;&#21453;&#39304;&#25968;\&#20844;&#25253;&#30456;&#20851;\&#21335;&#27801;&#21306;&#31532;&#19971;&#27425;&#20840;&#22269;&#20154;&#21475;&#26222;&#26597;&#20027;&#35201;&#25968;&#25454;&#20844;&#25253;\&#32534;&#36753;&#36807;&#31243;&#31295;\&#19971;&#20154;&#26222;&#24037;&#20316;&#25253;&#21578;&#25968;&#25454;&#35745;&#31639;&#20381;&#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020&#24180;&#31532;&#19971;&#27425;&#20840;&#22269;&#20154;&#21475;&#26222;&#26597;\&#19971;&#20154;&#26222;&#24066;&#21453;&#39304;&#25968;\&#20844;&#25253;&#30456;&#20851;\&#21335;&#27801;&#21306;&#31532;&#19971;&#27425;&#20840;&#22269;&#20154;&#21475;&#26222;&#26597;&#20027;&#35201;&#25968;&#25454;&#20844;&#25253;\&#32534;&#36753;&#36807;&#31243;&#31295;\&#19971;&#20154;&#26222;&#24037;&#20316;&#25253;&#21578;&#25968;&#25454;&#35745;&#31639;&#20381;&#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lang="en-US" alt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2011</a:t>
            </a:r>
            <a:r>
              <a:rPr altLang="en-US">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年</a:t>
            </a:r>
            <a:r>
              <a:rPr lang="en-US" alt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-2020</a:t>
            </a:r>
            <a:r>
              <a:rPr altLang="en-US">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年全区常住人口增量</a:t>
            </a:r>
            <a:r>
              <a:rPr>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情况表</a:t>
            </a:r>
            <a:endParaRPr>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manualLayout>
          <c:layoutTarget val="inner"/>
          <c:xMode val="edge"/>
          <c:yMode val="edge"/>
          <c:x val="0.0679517614661476"/>
          <c:y val="0.156353408338848"/>
          <c:w val="0.886848352483145"/>
          <c:h val="0.763964262078094"/>
        </c:manualLayout>
      </c:layout>
      <c:barChart>
        <c:barDir val="col"/>
        <c:grouping val="stacked"/>
        <c:varyColors val="0"/>
        <c:ser>
          <c:idx val="0"/>
          <c:order val="0"/>
          <c:spPr>
            <a:solidFill>
              <a:schemeClr val="accent1"/>
            </a:solidFill>
            <a:ln>
              <a:noFill/>
            </a:ln>
            <a:effectLst/>
          </c:spPr>
          <c:invertIfNegative val="0"/>
          <c:dLbls>
            <c:dLbl>
              <c:idx val="0"/>
              <c:layout>
                <c:manualLayout>
                  <c:x val="0.00142436615706011"/>
                  <c:y val="-0.064526803441429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t>818</a:t>
                    </a:r>
                    <a:r>
                      <a:rPr lang="en-US" altLang="zh-CN"/>
                      <a:t>4</a:t>
                    </a:r>
                    <a:endParaRPr lang="en-US" altLang="zh-CN"/>
                  </a:p>
                </c:rich>
              </c:tx>
              <c:dLblPos val="in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142436615706011"/>
                  <c:y val="-0.059563203176704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142436615706011"/>
                  <c:y val="-0.064526803441429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620450033090668"/>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142436615706011"/>
                  <c:y val="-0.064526803441429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59563203176704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00142436615706011"/>
                  <c:y val="-0.0645268034414295"/>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00142436615706011"/>
                  <c:y val="-0.0595632031767042"/>
                </c:manualLayout>
              </c:layout>
              <c:dLblPos val="in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[七人普工作报告数据计算依据.xlsx]图表3!$A$3:$A$10</c:f>
              <c:strCache>
                <c:ptCount val="8"/>
                <c:pt idx="0">
                  <c:v>2011年</c:v>
                </c:pt>
                <c:pt idx="1">
                  <c:v>2012年</c:v>
                </c:pt>
                <c:pt idx="2">
                  <c:v>2014年</c:v>
                </c:pt>
                <c:pt idx="3">
                  <c:v>2015年</c:v>
                </c:pt>
                <c:pt idx="4">
                  <c:v>2016年</c:v>
                </c:pt>
                <c:pt idx="5">
                  <c:v>2017年</c:v>
                </c:pt>
                <c:pt idx="6">
                  <c:v>2019年</c:v>
                </c:pt>
                <c:pt idx="7">
                  <c:v>2020年</c:v>
                </c:pt>
              </c:strCache>
            </c:strRef>
          </c:cat>
          <c:val>
            <c:numRef>
              <c:f>[七人普工作报告数据计算依据.xlsx]图表3!$B$3:$B$10</c:f>
              <c:numCache>
                <c:formatCode>0_ </c:formatCode>
                <c:ptCount val="8"/>
                <c:pt idx="0">
                  <c:v>8183</c:v>
                </c:pt>
                <c:pt idx="1">
                  <c:v>9900</c:v>
                </c:pt>
                <c:pt idx="2">
                  <c:v>10200</c:v>
                </c:pt>
                <c:pt idx="3">
                  <c:v>20500</c:v>
                </c:pt>
                <c:pt idx="4">
                  <c:v>31600</c:v>
                </c:pt>
                <c:pt idx="5">
                  <c:v>37600</c:v>
                </c:pt>
                <c:pt idx="6">
                  <c:v>44400</c:v>
                </c:pt>
                <c:pt idx="7">
                  <c:v>50484</c:v>
                </c:pt>
              </c:numCache>
            </c:numRef>
          </c:val>
        </c:ser>
        <c:dLbls>
          <c:showLegendKey val="0"/>
          <c:showVal val="1"/>
          <c:showCatName val="0"/>
          <c:showSerName val="0"/>
          <c:showPercent val="0"/>
          <c:showBubbleSize val="0"/>
        </c:dLbls>
        <c:gapWidth val="150"/>
        <c:overlap val="100"/>
        <c:axId val="663599699"/>
        <c:axId val="829585156"/>
      </c:barChart>
      <c:catAx>
        <c:axId val="663599699"/>
        <c:scaling>
          <c:orientation val="minMax"/>
        </c:scaling>
        <c:delete val="0"/>
        <c:axPos val="b"/>
        <c:numFmt formatCode="#\ ?/?"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crossAx val="829585156"/>
        <c:crosses val="autoZero"/>
        <c:auto val="1"/>
        <c:lblAlgn val="ctr"/>
        <c:lblOffset val="100"/>
        <c:noMultiLvlLbl val="0"/>
      </c:catAx>
      <c:valAx>
        <c:axId val="829585156"/>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crossAx val="6635996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全区常住人口</a:t>
            </a:r>
            <a:r>
              <a:rPr lang="en-US" alt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0-4</a:t>
            </a:r>
            <a:r>
              <a:rPr altLang="en-US">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岁和</a:t>
            </a:r>
            <a:r>
              <a:rPr lang="en-US" alt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5-14</a:t>
            </a:r>
            <a:r>
              <a:rPr altLang="en-US">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岁比重变化</a:t>
            </a:r>
            <a:endParaRPr lang="en-US" altLang="zh-CN">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manualLayout>
          <c:layoutTarget val="inner"/>
          <c:xMode val="edge"/>
          <c:yMode val="edge"/>
          <c:x val="0.0952989392478303"/>
          <c:y val="0.160526784125289"/>
          <c:w val="0.86950337512054"/>
          <c:h val="0.683822744260545"/>
        </c:manualLayout>
      </c:layout>
      <c:barChart>
        <c:barDir val="col"/>
        <c:grouping val="clustered"/>
        <c:varyColors val="0"/>
        <c:ser>
          <c:idx val="0"/>
          <c:order val="0"/>
          <c:tx>
            <c:strRef>
              <c:f>[七人普工作报告数据计算依据.xlsx]图表1!$D$6</c:f>
              <c:strCache>
                <c:ptCount val="1"/>
                <c:pt idx="0">
                  <c:v>2010年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[七人普工作报告数据计算依据.xlsx]图表1!$C$7:$C$8</c:f>
              <c:strCache>
                <c:ptCount val="2"/>
                <c:pt idx="0">
                  <c:v>全区0-4岁</c:v>
                </c:pt>
                <c:pt idx="1">
                  <c:v>全区5-14岁</c:v>
                </c:pt>
              </c:strCache>
            </c:strRef>
          </c:cat>
          <c:val>
            <c:numRef>
              <c:f>[七人普工作报告数据计算依据.xlsx]图表1!$D$7:$D$8</c:f>
              <c:numCache>
                <c:formatCode>0.00%</c:formatCode>
                <c:ptCount val="2"/>
                <c:pt idx="0">
                  <c:v>0.0377</c:v>
                </c:pt>
                <c:pt idx="1">
                  <c:v>0.0795</c:v>
                </c:pt>
              </c:numCache>
            </c:numRef>
          </c:val>
        </c:ser>
        <c:ser>
          <c:idx val="1"/>
          <c:order val="1"/>
          <c:tx>
            <c:strRef>
              <c:f>[七人普工作报告数据计算依据.xlsx]图表1!$E$6</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[七人普工作报告数据计算依据.xlsx]图表1!$C$7:$C$8</c:f>
              <c:strCache>
                <c:ptCount val="2"/>
                <c:pt idx="0">
                  <c:v>全区0-4岁</c:v>
                </c:pt>
                <c:pt idx="1">
                  <c:v>全区5-14岁</c:v>
                </c:pt>
              </c:strCache>
            </c:strRef>
          </c:cat>
          <c:val>
            <c:numRef>
              <c:f>[七人普工作报告数据计算依据.xlsx]图表1!$E$7:$E$8</c:f>
              <c:numCache>
                <c:formatCode>0.00%</c:formatCode>
                <c:ptCount val="2"/>
                <c:pt idx="0">
                  <c:v>0.066</c:v>
                </c:pt>
                <c:pt idx="1">
                  <c:v>0.0866</c:v>
                </c:pt>
              </c:numCache>
            </c:numRef>
          </c:val>
        </c:ser>
        <c:dLbls>
          <c:showLegendKey val="0"/>
          <c:showVal val="1"/>
          <c:showCatName val="0"/>
          <c:showSerName val="0"/>
          <c:showPercent val="0"/>
          <c:showBubbleSize val="0"/>
        </c:dLbls>
        <c:gapWidth val="300"/>
        <c:overlap val="0"/>
        <c:axId val="640314380"/>
        <c:axId val="860922913"/>
      </c:barChart>
      <c:catAx>
        <c:axId val="64031438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860922913"/>
        <c:crosses val="autoZero"/>
        <c:auto val="1"/>
        <c:lblAlgn val="ctr"/>
        <c:lblOffset val="100"/>
        <c:noMultiLvlLbl val="0"/>
      </c:catAx>
      <c:valAx>
        <c:axId val="86092291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6403143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manualLayout>
          <c:xMode val="edge"/>
          <c:yMode val="edge"/>
          <c:x val="0.379580520732883"/>
          <c:y val="0.922242647058824"/>
          <c:w val="0.270732883317261"/>
          <c:h val="0.061213235294117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solidFill>
                <a:latin typeface="宋体" panose="02010600030101010101" charset="-122"/>
                <a:ea typeface="宋体" panose="02010600030101010101" charset="-122"/>
                <a:cs typeface="宋体" panose="02010600030101010101" charset="-122"/>
                <a:sym typeface="宋体" panose="02010600030101010101" charset="-122"/>
              </a:defRPr>
            </a:pPr>
            <a:r>
              <a:rPr>
                <a:solidFill>
                  <a:schemeClr val="tx1"/>
                </a:solidFill>
                <a:latin typeface="宋体" panose="02010600030101010101" charset="-122"/>
                <a:ea typeface="宋体" panose="02010600030101010101" charset="-122"/>
                <a:cs typeface="宋体" panose="02010600030101010101" charset="-122"/>
                <a:sym typeface="宋体" panose="02010600030101010101" charset="-122"/>
              </a:rPr>
              <a:t>全区常住人口各年龄段比重变化</a:t>
            </a:r>
            <a:endParaRPr>
              <a:solidFill>
                <a:schemeClr val="tx1"/>
              </a:solidFill>
              <a:latin typeface="宋体" panose="02010600030101010101" charset="-122"/>
              <a:ea typeface="宋体" panose="02010600030101010101" charset="-122"/>
              <a:cs typeface="宋体" panose="02010600030101010101" charset="-122"/>
              <a:sym typeface="宋体" panose="02010600030101010101" charset="-122"/>
            </a:endParaRPr>
          </a:p>
        </c:rich>
      </c:tx>
      <c:layout/>
      <c:overlay val="0"/>
      <c:spPr>
        <a:noFill/>
        <a:ln>
          <a:noFill/>
        </a:ln>
        <a:effectLst/>
      </c:spPr>
    </c:title>
    <c:autoTitleDeleted val="0"/>
    <c:plotArea>
      <c:layout>
        <c:manualLayout>
          <c:layoutTarget val="inner"/>
          <c:xMode val="edge"/>
          <c:yMode val="edge"/>
          <c:x val="0.088573148705599"/>
          <c:y val="0.136838667537557"/>
          <c:w val="0.88842865743528"/>
          <c:h val="0.714467668190725"/>
        </c:manualLayout>
      </c:layout>
      <c:barChart>
        <c:barDir val="col"/>
        <c:grouping val="clustered"/>
        <c:varyColors val="0"/>
        <c:ser>
          <c:idx val="0"/>
          <c:order val="0"/>
          <c:tx>
            <c:strRef>
              <c:f>[七人普工作报告数据计算依据.xlsx]图表2!$C$23</c:f>
              <c:strCache>
                <c:ptCount val="1"/>
                <c:pt idx="0">
                  <c:v>2010年</c:v>
                </c:pt>
              </c:strCache>
            </c:strRef>
          </c:tx>
          <c:spPr>
            <a:solidFill>
              <a:schemeClr val="accent1"/>
            </a:solidFill>
            <a:ln>
              <a:noFill/>
            </a:ln>
            <a:effectLst/>
          </c:spPr>
          <c:invertIfNegative val="0"/>
          <c:dLbls>
            <c:dLbl>
              <c:idx val="0"/>
              <c:layout>
                <c:manualLayout>
                  <c:x val="-0.014449127031908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90307043949428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44491270319085"/>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44491270319085"/>
                  <c:y val="0.009797517962116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[七人普工作报告数据计算依据.xlsx]图表2!$B$24:$B$27</c:f>
              <c:strCache>
                <c:ptCount val="4"/>
                <c:pt idx="0" c:formatCode="0.00%">
                  <c:v>全区0-14岁以上</c:v>
                </c:pt>
                <c:pt idx="1">
                  <c:v>全区15-64岁</c:v>
                </c:pt>
                <c:pt idx="2">
                  <c:v>全区60岁以上</c:v>
                </c:pt>
                <c:pt idx="3">
                  <c:v>全区65岁以上</c:v>
                </c:pt>
              </c:strCache>
            </c:strRef>
          </c:cat>
          <c:val>
            <c:numRef>
              <c:f>[七人普工作报告数据计算依据.xlsx]图表2!$C$24:$C$27</c:f>
              <c:numCache>
                <c:formatCode>0.00%</c:formatCode>
                <c:ptCount val="4"/>
                <c:pt idx="0">
                  <c:v>0.117189565378311</c:v>
                </c:pt>
                <c:pt idx="1">
                  <c:v>0.825211164278539</c:v>
                </c:pt>
                <c:pt idx="2">
                  <c:v>0.0846358985882726</c:v>
                </c:pt>
                <c:pt idx="3">
                  <c:v>0.0575992703431502</c:v>
                </c:pt>
              </c:numCache>
            </c:numRef>
          </c:val>
        </c:ser>
        <c:ser>
          <c:idx val="1"/>
          <c:order val="1"/>
          <c:tx>
            <c:strRef>
              <c:f>[七人普工作报告数据计算依据.xlsx]图表2!$D$23</c:f>
              <c:strCache>
                <c:ptCount val="1"/>
                <c:pt idx="0">
                  <c:v>2020年</c:v>
                </c:pt>
              </c:strCache>
            </c:strRef>
          </c:tx>
          <c:spPr>
            <a:solidFill>
              <a:schemeClr val="accent2"/>
            </a:solidFill>
            <a:ln>
              <a:noFill/>
            </a:ln>
            <a:effectLst/>
          </c:spPr>
          <c:invertIfNegative val="0"/>
          <c:dLbls>
            <c:dLbl>
              <c:idx val="0"/>
              <c:layout>
                <c:manualLayout>
                  <c:x val="0.0234798314268513"/>
                  <c:y val="0.002449379490529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52859723058399"/>
                  <c:y val="0.0097975179621162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55267910897"/>
                  <c:y val="0.0048987589810581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722456351595424"/>
                  <c:y val="-0.007348138471587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[七人普工作报告数据计算依据.xlsx]图表2!$B$24:$B$27</c:f>
              <c:strCache>
                <c:ptCount val="4"/>
                <c:pt idx="0" c:formatCode="0.00%">
                  <c:v>全区0-14岁以上</c:v>
                </c:pt>
                <c:pt idx="1">
                  <c:v>全区15-64岁</c:v>
                </c:pt>
                <c:pt idx="2">
                  <c:v>全区60岁以上</c:v>
                </c:pt>
                <c:pt idx="3">
                  <c:v>全区65岁以上</c:v>
                </c:pt>
              </c:strCache>
            </c:strRef>
          </c:cat>
          <c:val>
            <c:numRef>
              <c:f>[七人普工作报告数据计算依据.xlsx]图表2!$D$24:$D$27</c:f>
              <c:numCache>
                <c:formatCode>0.00%</c:formatCode>
                <c:ptCount val="4"/>
                <c:pt idx="0">
                  <c:v>0.152664118386362</c:v>
                </c:pt>
                <c:pt idx="1">
                  <c:v>0.772835881613638</c:v>
                </c:pt>
                <c:pt idx="2">
                  <c:v>0.1089</c:v>
                </c:pt>
                <c:pt idx="3">
                  <c:v>0.0745</c:v>
                </c:pt>
              </c:numCache>
            </c:numRef>
          </c:val>
        </c:ser>
        <c:dLbls>
          <c:showLegendKey val="0"/>
          <c:showVal val="1"/>
          <c:showCatName val="0"/>
          <c:showSerName val="0"/>
          <c:showPercent val="0"/>
          <c:showBubbleSize val="0"/>
        </c:dLbls>
        <c:gapWidth val="300"/>
        <c:overlap val="0"/>
        <c:axId val="273915839"/>
        <c:axId val="341015609"/>
      </c:barChart>
      <c:catAx>
        <c:axId val="2739158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341015609"/>
        <c:crosses val="autoZero"/>
        <c:auto val="1"/>
        <c:lblAlgn val="ctr"/>
        <c:lblOffset val="100"/>
        <c:noMultiLvlLbl val="0"/>
      </c:catAx>
      <c:valAx>
        <c:axId val="34101560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crossAx val="273915839"/>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宋体" panose="02010600030101010101" charset="-122"/>
              <a:ea typeface="宋体" panose="02010600030101010101" charset="-122"/>
              <a:cs typeface="宋体" panose="02010600030101010101" charset="-122"/>
              <a:sym typeface="宋体" panose="02010600030101010101"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atin typeface="宋体" panose="02010600030101010101" charset="-122"/>
          <a:ea typeface="宋体" panose="02010600030101010101" charset="-122"/>
          <a:cs typeface="宋体" panose="02010600030101010101" charset="-122"/>
          <a:sym typeface="宋体" panose="02010600030101010101"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186</Words>
  <Characters>1062</Characters>
  <Lines>8</Lines>
  <Paragraphs>2</Paragraphs>
  <TotalTime>7</TotalTime>
  <ScaleCrop>false</ScaleCrop>
  <LinksUpToDate>false</LinksUpToDate>
  <CharactersWithSpaces>1246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2021-05-18T08:29:00Z</dcterms:created>
  <dc:creator>tjdcd</dc:creator>
  <cp:lastModifiedBy>fish ma</cp:lastModifiedBy>
  <cp:lastPrinted>2021-06-18T09:47:00Z</cp:lastPrinted>
  <dcterms:modified xsi:type="dcterms:W3CDTF">2022-12-27T07:44:09Z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0C509C4EF6864781A087CF1E8A67861A</vt:lpwstr>
  </property>
</Properties>
</file>