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1"/>
        <w:jc w:val="both"/>
        <w:rPr>
          <w:rFonts w:hint="default" w:ascii="Times New Roman" w:hAnsi="Times New Roman" w:eastAsia="方正小标宋简体" w:cs="Times New Roman"/>
          <w:b w:val="0"/>
          <w:bCs w:val="0"/>
          <w:sz w:val="44"/>
          <w:szCs w:val="44"/>
          <w:lang w:val="en-US" w:eastAsia="zh-CN"/>
        </w:rPr>
      </w:pPr>
      <w:r>
        <w:rPr>
          <w:rFonts w:hint="eastAsia" w:ascii="楷体_GB2312" w:hAnsi="楷体_GB2312" w:eastAsia="楷体_GB2312" w:cs="楷体_GB2312"/>
          <w:b w:val="0"/>
          <w:bCs w:val="0"/>
          <w:sz w:val="28"/>
          <w:szCs w:val="28"/>
          <w:lang w:val="en-US" w:eastAsia="zh-CN"/>
        </w:rPr>
        <w:t>附件2</w:t>
      </w:r>
    </w:p>
    <w:p>
      <w:pPr>
        <w:spacing w:line="560" w:lineRule="exact"/>
        <w:ind w:right="11"/>
        <w:jc w:val="center"/>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判定统计关系的具体案例解析</w:t>
      </w:r>
    </w:p>
    <w:p>
      <w:pPr>
        <w:spacing w:line="560" w:lineRule="exact"/>
        <w:ind w:right="11"/>
        <w:jc w:val="center"/>
        <w:rPr>
          <w:rFonts w:hint="default" w:ascii="Times New Roman" w:hAnsi="Times New Roman" w:eastAsia="仿宋_GB2312" w:cs="Times New Roman"/>
          <w:b/>
          <w:bCs/>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 w:rightChars="0" w:firstLine="640" w:firstLineChars="200"/>
        <w:textAlignment w:val="auto"/>
        <w:rPr>
          <w:rFonts w:hint="default" w:ascii="Times New Roman" w:hAnsi="Times New Roman" w:eastAsia="黑体" w:cs="Times New Roman"/>
          <w:b w:val="0"/>
          <w:bCs w:val="0"/>
          <w:sz w:val="32"/>
          <w:lang w:val="en-US" w:eastAsia="zh-CN"/>
        </w:rPr>
      </w:pPr>
      <w:r>
        <w:rPr>
          <w:rFonts w:hint="default" w:ascii="Times New Roman" w:hAnsi="Times New Roman" w:eastAsia="黑体" w:cs="Times New Roman"/>
          <w:b w:val="0"/>
          <w:bCs w:val="0"/>
          <w:sz w:val="32"/>
          <w:lang w:val="en-US" w:eastAsia="zh-CN"/>
        </w:rPr>
        <w:t>一、法人单位统计关系的判定方法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 w:rightChars="0" w:firstLine="640" w:firstLineChars="200"/>
        <w:textAlignment w:val="auto"/>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val="en-US" w:eastAsia="zh-CN"/>
        </w:rPr>
        <w:t>广东**人才市场有限公司在2017年已向南沙区统计局申请纳入南沙区基本单位名录库，经区统计局工作人员核实后判定其为法人单位，并根据该公司提交的《法人单位基本情况表》及其营业执照等相关资料进行基本单位名录库录入工作，且没有存在重名重码等重复录入情况。综合上述情况，该公司的统计归属在南沙区，与南沙区确立统计关系时间为2017年。</w:t>
      </w:r>
    </w:p>
    <w:p>
      <w:pPr>
        <w:keepNext w:val="0"/>
        <w:keepLines w:val="0"/>
        <w:pageBreakBefore w:val="0"/>
        <w:widowControl w:val="0"/>
        <w:kinsoku/>
        <w:wordWrap/>
        <w:overflowPunct/>
        <w:topLinePunct w:val="0"/>
        <w:autoSpaceDE/>
        <w:autoSpaceDN/>
        <w:bidi w:val="0"/>
        <w:adjustRightInd/>
        <w:snapToGrid/>
        <w:spacing w:line="560" w:lineRule="exact"/>
        <w:ind w:right="11" w:firstLine="640"/>
        <w:textAlignment w:val="auto"/>
        <w:rPr>
          <w:rFonts w:hint="default" w:ascii="Times New Roman" w:hAnsi="Times New Roman" w:eastAsia="黑体" w:cs="Times New Roman"/>
          <w:b w:val="0"/>
          <w:bCs w:val="0"/>
          <w:sz w:val="32"/>
          <w:lang w:val="en-US" w:eastAsia="zh-CN"/>
        </w:rPr>
      </w:pPr>
      <w:r>
        <w:rPr>
          <w:rFonts w:hint="default" w:ascii="Times New Roman" w:hAnsi="Times New Roman" w:eastAsia="黑体" w:cs="Times New Roman"/>
          <w:b w:val="0"/>
          <w:bCs w:val="0"/>
          <w:sz w:val="32"/>
          <w:lang w:val="en-US" w:eastAsia="zh-CN"/>
        </w:rPr>
        <w:t>二、产业活动单位统计关系的判定方法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 w:rightChars="0" w:firstLine="640" w:firstLineChars="200"/>
        <w:textAlignment w:val="auto"/>
        <w:rPr>
          <w:rFonts w:hint="default" w:ascii="Times New Roman" w:hAnsi="Times New Roman" w:eastAsia="楷体_GB2312" w:cs="Times New Roman"/>
          <w:sz w:val="32"/>
          <w:lang w:val="en-US" w:eastAsia="zh-CN"/>
        </w:rPr>
      </w:pPr>
      <w:r>
        <w:rPr>
          <w:rFonts w:hint="default" w:ascii="Times New Roman" w:hAnsi="Times New Roman" w:eastAsia="楷体_GB2312" w:cs="Times New Roman"/>
          <w:sz w:val="32"/>
          <w:lang w:val="en-US" w:eastAsia="zh-CN"/>
        </w:rPr>
        <w:t>（一）产业活动单位及其所属法人单位实际经营地址一致情况。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 w:rightChars="0" w:firstLine="640" w:firstLineChars="200"/>
        <w:textAlignment w:val="auto"/>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val="en-US" w:eastAsia="zh-CN"/>
        </w:rPr>
        <w:t>1.广州***有限公司南沙***分公司的实际经营地址在南沙区**街道，经核定后为产业活动单位，并在2017年已纳入南沙区基本单位名录库。其母公司为广州***有限公司的实际经营地址也在南沙区**街道，并于2015年纳入南沙区基本单位名录库。综合上述情况，该分公司的统计归属在南沙区，与南沙区确立统计关系时间为2017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 w:rightChars="0" w:firstLine="640" w:firstLineChars="200"/>
        <w:textAlignment w:val="auto"/>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val="en-US" w:eastAsia="zh-CN"/>
        </w:rPr>
        <w:t>2.广州***有限公司南沙***分公司的实际经营地址在南沙区**街道，经核定后为产业活动单位，并在2017年已纳入南沙区基本单位名录库。其母公司为广州***有限公司的实际经营地址也在南沙区**街道，并于2019年纳入南沙区基本单位名录库。综合上述情况，该分公司的统计归属在南沙区，纳入南沙区基本单位名录库时间为2019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 w:rightChars="0" w:firstLine="640" w:firstLineChars="200"/>
        <w:textAlignment w:val="auto"/>
        <w:rPr>
          <w:rFonts w:hint="default" w:ascii="Times New Roman" w:hAnsi="Times New Roman" w:eastAsia="楷体_GB2312" w:cs="Times New Roman"/>
          <w:color w:val="auto"/>
          <w:sz w:val="32"/>
          <w:highlight w:val="none"/>
          <w:lang w:val="en-US" w:eastAsia="zh-CN"/>
        </w:rPr>
      </w:pPr>
      <w:r>
        <w:rPr>
          <w:rFonts w:hint="default" w:ascii="Times New Roman" w:hAnsi="Times New Roman" w:eastAsia="楷体_GB2312" w:cs="Times New Roman"/>
          <w:sz w:val="32"/>
          <w:lang w:val="en-US" w:eastAsia="zh-CN"/>
        </w:rPr>
        <w:t>（</w:t>
      </w:r>
      <w:r>
        <w:rPr>
          <w:rFonts w:hint="eastAsia" w:eastAsia="楷体_GB2312" w:cs="Times New Roman"/>
          <w:sz w:val="32"/>
          <w:lang w:val="en-US" w:eastAsia="zh-CN"/>
        </w:rPr>
        <w:t>二</w:t>
      </w:r>
      <w:r>
        <w:rPr>
          <w:rFonts w:hint="default" w:ascii="Times New Roman" w:hAnsi="Times New Roman" w:eastAsia="楷体_GB2312" w:cs="Times New Roman"/>
          <w:sz w:val="32"/>
          <w:lang w:val="en-US" w:eastAsia="zh-CN"/>
        </w:rPr>
        <w:t>）产业活动单位</w:t>
      </w:r>
      <w:r>
        <w:rPr>
          <w:rFonts w:hint="eastAsia" w:eastAsia="楷体_GB2312" w:cs="Times New Roman"/>
          <w:color w:val="0000FF"/>
          <w:sz w:val="32"/>
          <w:highlight w:val="none"/>
          <w:lang w:val="en-US" w:eastAsia="zh-CN"/>
        </w:rPr>
        <w:t>（</w:t>
      </w:r>
      <w:bookmarkStart w:id="0" w:name="_GoBack"/>
      <w:r>
        <w:rPr>
          <w:rFonts w:hint="default" w:ascii="仿宋_GB2312" w:hAnsi="仿宋_GB2312" w:eastAsia="仿宋_GB2312" w:cs="仿宋_GB2312"/>
          <w:color w:val="auto"/>
          <w:sz w:val="32"/>
          <w:szCs w:val="32"/>
          <w:highlight w:val="none"/>
          <w:lang w:val="en-US" w:eastAsia="zh-CN"/>
        </w:rPr>
        <w:t>可视同法人单位的分公司、分支机构</w:t>
      </w:r>
      <w:r>
        <w:rPr>
          <w:rFonts w:hint="eastAsia" w:ascii="仿宋_GB2312" w:hAnsi="仿宋_GB2312" w:eastAsia="仿宋_GB2312" w:cs="仿宋_GB2312"/>
          <w:color w:val="auto"/>
          <w:sz w:val="32"/>
          <w:szCs w:val="32"/>
          <w:highlight w:val="none"/>
          <w:lang w:val="en-US" w:eastAsia="zh-CN"/>
        </w:rPr>
        <w:t>除外</w:t>
      </w:r>
      <w:r>
        <w:rPr>
          <w:rFonts w:hint="eastAsia" w:eastAsia="楷体_GB2312" w:cs="Times New Roman"/>
          <w:color w:val="auto"/>
          <w:sz w:val="32"/>
          <w:highlight w:val="none"/>
          <w:lang w:val="en-US" w:eastAsia="zh-CN"/>
        </w:rPr>
        <w:t>）</w:t>
      </w:r>
      <w:r>
        <w:rPr>
          <w:rFonts w:hint="default" w:ascii="Times New Roman" w:hAnsi="Times New Roman" w:eastAsia="楷体_GB2312" w:cs="Times New Roman"/>
          <w:color w:val="auto"/>
          <w:sz w:val="32"/>
          <w:highlight w:val="none"/>
          <w:lang w:val="en-US" w:eastAsia="zh-CN"/>
        </w:rPr>
        <w:t>及其所属法人单位实际经营地址不一致情况。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 w:rightChars="0" w:firstLine="640" w:firstLineChars="200"/>
        <w:textAlignment w:val="auto"/>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上海***化妆品有限公司广州分公司的实际经营地址在南沙区**镇，经核定后为产业活动单位，并于2015年已纳入南沙区基本单位名录库。但其母公司上海***化妆品有限公司的实际经营地址上海市，且已纳入上海市基本单位名录库，未纳入南沙区基本单位名录库。根据产业活动单位统计关系的判定条件，鉴于该分公司的母公司为非南沙区法人单位，所以该分公司的统计归属不在南沙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 w:rightChars="0" w:firstLine="560" w:firstLineChars="200"/>
        <w:textAlignment w:val="auto"/>
        <w:rPr>
          <w:rFonts w:hint="default" w:ascii="Times New Roman" w:hAnsi="Times New Roman" w:eastAsia="仿宋_GB2312" w:cs="Times New Roman"/>
          <w:color w:val="auto"/>
          <w:sz w:val="32"/>
          <w:highlight w:val="none"/>
          <w:lang w:val="en-US" w:eastAsia="zh-CN"/>
        </w:rPr>
      </w:pPr>
      <w:r>
        <w:rPr>
          <w:rFonts w:hint="eastAsia" w:ascii="仿宋_GB2312" w:hAnsi="仿宋_GB2312" w:eastAsia="仿宋_GB2312" w:cs="仿宋_GB2312"/>
          <w:color w:val="auto"/>
          <w:sz w:val="28"/>
          <w:szCs w:val="28"/>
          <w:highlight w:val="none"/>
          <w:lang w:val="en-US" w:eastAsia="zh-CN"/>
        </w:rPr>
        <w:t>（</w:t>
      </w:r>
      <w:r>
        <w:rPr>
          <w:rFonts w:hint="default" w:ascii="仿宋_GB2312" w:hAnsi="仿宋_GB2312" w:eastAsia="仿宋_GB2312" w:cs="仿宋_GB2312"/>
          <w:color w:val="auto"/>
          <w:sz w:val="28"/>
          <w:szCs w:val="28"/>
          <w:highlight w:val="none"/>
          <w:lang w:val="en-US" w:eastAsia="zh-CN"/>
        </w:rPr>
        <w:t>可视同法人单位的分公司、分支机构</w:t>
      </w:r>
      <w:r>
        <w:rPr>
          <w:rFonts w:hint="eastAsia" w:ascii="仿宋_GB2312" w:hAnsi="仿宋_GB2312" w:eastAsia="仿宋_GB2312" w:cs="仿宋_GB2312"/>
          <w:color w:val="auto"/>
          <w:sz w:val="28"/>
          <w:szCs w:val="28"/>
          <w:highlight w:val="none"/>
          <w:lang w:val="en-US" w:eastAsia="zh-CN"/>
        </w:rPr>
        <w:t>含义详见附件1《统计单位划分及具体处理办法》第十条及第十三条相关规定）</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 w:rightChars="0" w:firstLine="640" w:firstLineChars="200"/>
        <w:textAlignment w:val="auto"/>
        <w:rPr>
          <w:rFonts w:hint="default" w:ascii="Times New Roman" w:hAnsi="Times New Roman" w:eastAsia="黑体" w:cs="Times New Roman"/>
          <w:b w:val="0"/>
          <w:bCs w:val="0"/>
          <w:sz w:val="32"/>
          <w:lang w:val="en-US" w:eastAsia="zh-CN"/>
        </w:rPr>
      </w:pPr>
      <w:r>
        <w:rPr>
          <w:rFonts w:hint="default" w:ascii="Times New Roman" w:hAnsi="Times New Roman" w:eastAsia="黑体" w:cs="Times New Roman"/>
          <w:b w:val="0"/>
          <w:bCs w:val="0"/>
          <w:sz w:val="32"/>
          <w:lang w:val="en-US" w:eastAsia="zh-CN"/>
        </w:rPr>
        <w:t>三、跨区、跨市、跨省迁移法人单位统计关系的判定方法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 w:rightChars="0" w:firstLine="640" w:firstLineChars="200"/>
        <w:textAlignment w:val="auto"/>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val="en-US" w:eastAsia="zh-CN"/>
        </w:rPr>
        <w:t>广州****有限公司在2018年向南沙区统计局申请纳入南沙区基本单位名录库，经区统计局工作人员核定后判定为法人单位，但在区工作人员录入基本单位名录库后发现存在重名重码情况，该企业现统计归属在白云区（或佛山市/湖南省）。综合上述情况，企业需提供在南沙区为主要经营场所的相关证明材料，待收集完成后迁入区（南沙区）将向上级申请划转统计权限。鉴于上级需核实企业现在归属地的一致性，需待上级核定后方可确定企业的统计归属情况，且纳入南沙区基本单位名录库时间将以其通过审批后系统上显示的时间为准。</w:t>
      </w: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8177B6"/>
    <w:rsid w:val="0D7F02AE"/>
    <w:rsid w:val="118272BB"/>
    <w:rsid w:val="11920320"/>
    <w:rsid w:val="1488289A"/>
    <w:rsid w:val="14AE09C6"/>
    <w:rsid w:val="1741250D"/>
    <w:rsid w:val="1843131C"/>
    <w:rsid w:val="1F766BA4"/>
    <w:rsid w:val="214670DD"/>
    <w:rsid w:val="25C82BB1"/>
    <w:rsid w:val="2976461F"/>
    <w:rsid w:val="29DC23AA"/>
    <w:rsid w:val="2CC12080"/>
    <w:rsid w:val="312D38EE"/>
    <w:rsid w:val="3A7C7B48"/>
    <w:rsid w:val="3E3243C5"/>
    <w:rsid w:val="4DAB2055"/>
    <w:rsid w:val="4F2E0376"/>
    <w:rsid w:val="56F20F01"/>
    <w:rsid w:val="581D68F1"/>
    <w:rsid w:val="6EC22F28"/>
    <w:rsid w:val="74193496"/>
    <w:rsid w:val="7425734B"/>
    <w:rsid w:val="74272285"/>
    <w:rsid w:val="771A62C5"/>
    <w:rsid w:val="78EB3EF2"/>
    <w:rsid w:val="79401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26916</dc:creator>
  <cp:lastModifiedBy>林泽斌</cp:lastModifiedBy>
  <dcterms:modified xsi:type="dcterms:W3CDTF">2022-04-01T02:21:26Z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