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napToGrid w:val="0"/>
        <w:jc w:val="center"/>
        <w:rPr>
          <w:rFonts w:ascii="方正小标宋简体" w:eastAsia="方正小标宋简体"/>
          <w:sz w:val="44"/>
          <w:szCs w:val="44"/>
        </w:rPr>
      </w:pPr>
      <w:r>
        <w:rPr>
          <w:rFonts w:hint="eastAsia" w:ascii="方正小标宋简体" w:eastAsia="方正小标宋简体"/>
          <w:sz w:val="44"/>
          <w:szCs w:val="44"/>
        </w:rPr>
        <w:t>《广州南沙新区（自贸片区）促进半导体与集成电路产业发展扶持办法</w:t>
      </w:r>
    </w:p>
    <w:p>
      <w:pPr>
        <w:snapToGrid w:val="0"/>
        <w:jc w:val="center"/>
        <w:rPr>
          <w:rFonts w:ascii="方正小标宋简体" w:eastAsia="方正小标宋简体"/>
          <w:sz w:val="44"/>
          <w:szCs w:val="44"/>
        </w:rPr>
      </w:pPr>
      <w:r>
        <w:rPr>
          <w:rFonts w:hint="eastAsia" w:ascii="方正小标宋简体" w:eastAsia="方正小标宋简体"/>
          <w:sz w:val="44"/>
          <w:szCs w:val="44"/>
        </w:rPr>
        <w:t>（征求意见稿）》</w:t>
      </w:r>
      <w:r>
        <w:rPr>
          <w:rFonts w:hint="eastAsia" w:ascii="方正小标宋简体" w:eastAsia="方正小标宋简体"/>
          <w:sz w:val="44"/>
          <w:szCs w:val="44"/>
          <w:lang w:eastAsia="zh-CN"/>
        </w:rPr>
        <w:t>公众</w:t>
      </w:r>
      <w:r>
        <w:rPr>
          <w:rFonts w:hint="eastAsia" w:ascii="方正小标宋简体" w:eastAsia="方正小标宋简体"/>
          <w:sz w:val="44"/>
          <w:szCs w:val="44"/>
        </w:rPr>
        <w:t>意见汇总表</w:t>
      </w:r>
    </w:p>
    <w:p>
      <w:pPr>
        <w:ind w:firstLine="640" w:firstLineChars="200"/>
        <w:rPr>
          <w:rFonts w:ascii="仿宋_GB2312" w:hAnsi="仿宋_GB2312" w:eastAsia="仿宋_GB2312" w:cs="仿宋_GB2312"/>
          <w:sz w:val="32"/>
          <w:szCs w:val="32"/>
        </w:rPr>
      </w:pPr>
      <w:r>
        <w:rPr>
          <w:rFonts w:hint="eastAsia" w:ascii="仿宋" w:eastAsia="仿宋" w:cs="仿宋"/>
          <w:sz w:val="32"/>
          <w:szCs w:val="32"/>
        </w:rPr>
        <w:t>意见征集期间共收到反馈意见</w:t>
      </w:r>
      <w:r>
        <w:rPr>
          <w:rFonts w:hint="eastAsia" w:ascii="仿宋" w:eastAsia="仿宋" w:cs="仿宋"/>
          <w:sz w:val="32"/>
          <w:szCs w:val="32"/>
          <w:lang w:val="en-US" w:eastAsia="zh-CN"/>
        </w:rPr>
        <w:t>14</w:t>
      </w:r>
      <w:r>
        <w:rPr>
          <w:rFonts w:hint="eastAsia" w:ascii="仿宋" w:eastAsia="仿宋" w:cs="仿宋"/>
          <w:sz w:val="32"/>
          <w:szCs w:val="32"/>
        </w:rPr>
        <w:t>条</w:t>
      </w:r>
      <w:r>
        <w:rPr>
          <w:rFonts w:hint="eastAsia" w:ascii="仿宋" w:eastAsia="仿宋" w:cs="仿宋"/>
          <w:sz w:val="32"/>
          <w:szCs w:val="32"/>
          <w:lang w:eastAsia="zh-CN"/>
        </w:rPr>
        <w:t>，</w:t>
      </w:r>
      <w:r>
        <w:rPr>
          <w:rFonts w:hint="eastAsia" w:ascii="仿宋" w:eastAsia="仿宋" w:cs="仿宋"/>
          <w:sz w:val="32"/>
          <w:szCs w:val="32"/>
          <w:lang w:val="en-US" w:eastAsia="zh-CN"/>
        </w:rPr>
        <w:t>均已进行研究，具体采纳情况如下：</w:t>
      </w:r>
    </w:p>
    <w:tbl>
      <w:tblPr>
        <w:tblStyle w:val="7"/>
        <w:tblW w:w="148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6614"/>
        <w:gridCol w:w="1904"/>
        <w:gridCol w:w="4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vertAlign w:val="baseline"/>
                <w:lang w:val="en-US" w:eastAsia="zh-CN"/>
              </w:rPr>
              <w:t>来信人</w:t>
            </w:r>
          </w:p>
        </w:tc>
        <w:tc>
          <w:tcPr>
            <w:tcW w:w="661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意见</w:t>
            </w:r>
          </w:p>
        </w:tc>
        <w:tc>
          <w:tcPr>
            <w:tcW w:w="1904"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意见</w:t>
            </w:r>
            <w:r>
              <w:rPr>
                <w:rFonts w:hint="eastAsia" w:ascii="仿宋_GB2312" w:hAnsi="仿宋_GB2312" w:eastAsia="仿宋_GB2312" w:cs="仿宋_GB2312"/>
                <w:b/>
                <w:bCs/>
                <w:sz w:val="28"/>
                <w:szCs w:val="28"/>
              </w:rPr>
              <w:t>采纳情况</w:t>
            </w:r>
          </w:p>
        </w:tc>
        <w:tc>
          <w:tcPr>
            <w:tcW w:w="4948" w:type="dxa"/>
            <w:vAlign w:val="center"/>
          </w:tcPr>
          <w:p>
            <w:pPr>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vertAlign w:val="baseline"/>
                <w:lang w:val="en-US" w:eastAsia="zh-CN"/>
              </w:rPr>
              <w:t>采纳/未采纳理由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62" w:hRule="atLeast"/>
        </w:trPr>
        <w:tc>
          <w:tcPr>
            <w:tcW w:w="1384" w:type="dxa"/>
            <w:vAlign w:val="center"/>
          </w:tcPr>
          <w:p>
            <w:pPr>
              <w:snapToGrid w:val="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香港科技大学（广州）（筹）</w:t>
            </w:r>
          </w:p>
        </w:tc>
        <w:tc>
          <w:tcPr>
            <w:tcW w:w="6614" w:type="dxa"/>
            <w:vAlign w:val="center"/>
          </w:tcPr>
          <w:p>
            <w:pPr>
              <w:numPr>
                <w:ilvl w:val="0"/>
                <w:numId w:val="1"/>
              </w:numPr>
              <w:snapToGrid w:val="0"/>
              <w:jc w:val="lef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将高校纳入该扶持办法使用范围；</w:t>
            </w:r>
          </w:p>
          <w:p>
            <w:pPr>
              <w:numPr>
                <w:ilvl w:val="0"/>
                <w:numId w:val="1"/>
              </w:numPr>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lang w:val="en-US" w:eastAsia="zh-CN"/>
              </w:rPr>
              <w:t>在“3.建设公共服务平台、4.支持流片、5、支持使用EDA和IP、10.支持产业联动发展”方面，将高校纳入支持范围，适用于其中的扶持政策。</w:t>
            </w:r>
          </w:p>
        </w:tc>
        <w:tc>
          <w:tcPr>
            <w:tcW w:w="1904" w:type="dxa"/>
            <w:vAlign w:val="center"/>
          </w:tcPr>
          <w:p>
            <w:pPr>
              <w:snapToGrid w:val="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采纳</w:t>
            </w:r>
          </w:p>
        </w:tc>
        <w:tc>
          <w:tcPr>
            <w:tcW w:w="4948" w:type="dxa"/>
            <w:vAlign w:val="center"/>
          </w:tcPr>
          <w:p>
            <w:pPr>
              <w:snapToGrid w:val="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扶持办法适用范围增加“以及在南沙区开展研究、教学的科研机构、高等院校</w:t>
            </w:r>
          </w:p>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85" w:hRule="atLeast"/>
        </w:trPr>
        <w:tc>
          <w:tcPr>
            <w:tcW w:w="1384"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广东芯聚能半导体有限公司</w:t>
            </w:r>
          </w:p>
        </w:tc>
        <w:tc>
          <w:tcPr>
            <w:tcW w:w="6614" w:type="dxa"/>
            <w:vAlign w:val="center"/>
          </w:tcPr>
          <w:p>
            <w:pPr>
              <w:numPr>
                <w:ilvl w:val="0"/>
                <w:numId w:val="2"/>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新增应届生落户奖励，除南沙区政策外，针对半导体企业再额外补贴本科生2万元，硕士研究生4万元，博士研究生6万元</w:t>
            </w:r>
            <w:r>
              <w:rPr>
                <w:rFonts w:hint="eastAsia" w:ascii="Times New Roman" w:hAnsi="Times New Roman" w:eastAsia="仿宋_GB2312" w:cs="Times New Roman"/>
                <w:sz w:val="28"/>
                <w:szCs w:val="28"/>
                <w:lang w:eastAsia="zh-CN"/>
              </w:rPr>
              <w:t>；</w:t>
            </w:r>
          </w:p>
          <w:p>
            <w:pPr>
              <w:numPr>
                <w:ilvl w:val="0"/>
                <w:numId w:val="2"/>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新增技术人员骨干人才等购房优惠政策或安家补贴。</w:t>
            </w:r>
          </w:p>
        </w:tc>
        <w:tc>
          <w:tcPr>
            <w:tcW w:w="1904" w:type="dxa"/>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未采纳</w:t>
            </w:r>
          </w:p>
          <w:p>
            <w:pPr>
              <w:snapToGrid w:val="0"/>
              <w:jc w:val="center"/>
              <w:rPr>
                <w:rFonts w:hint="eastAsia" w:ascii="Times New Roman" w:hAnsi="Times New Roman" w:eastAsia="仿宋_GB2312" w:cs="Times New Roman"/>
                <w:sz w:val="28"/>
                <w:szCs w:val="28"/>
              </w:rPr>
            </w:pPr>
          </w:p>
        </w:tc>
        <w:tc>
          <w:tcPr>
            <w:tcW w:w="4948" w:type="dxa"/>
            <w:vAlign w:val="center"/>
          </w:tcPr>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w:t>
            </w:r>
            <w:r>
              <w:rPr>
                <w:rFonts w:hint="eastAsia" w:ascii="Times New Roman" w:hAnsi="Times New Roman" w:eastAsia="仿宋_GB2312" w:cs="Times New Roman"/>
                <w:sz w:val="28"/>
                <w:szCs w:val="28"/>
                <w:lang w:eastAsia="zh-CN"/>
              </w:rPr>
              <w:t>区</w:t>
            </w:r>
            <w:r>
              <w:rPr>
                <w:rFonts w:hint="eastAsia" w:ascii="Times New Roman" w:hAnsi="Times New Roman" w:eastAsia="仿宋_GB2312" w:cs="Times New Roman"/>
                <w:sz w:val="28"/>
                <w:szCs w:val="28"/>
              </w:rPr>
              <w:t>人才局反馈意见，人才相关条款将出台专项政策，因此本办法不涉及</w:t>
            </w:r>
            <w:r>
              <w:rPr>
                <w:rFonts w:hint="eastAsia" w:ascii="Times New Roman" w:hAnsi="Times New Roman" w:eastAsia="仿宋_GB2312" w:cs="Times New Roman"/>
                <w:sz w:val="28"/>
                <w:szCs w:val="28"/>
                <w:lang w:eastAsia="zh-CN"/>
              </w:rPr>
              <w:t>人才相关条款</w:t>
            </w:r>
            <w:r>
              <w:rPr>
                <w:rFonts w:hint="eastAsia" w:ascii="Times New Roman" w:hAnsi="Times New Roman" w:eastAsia="仿宋_GB2312"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65" w:hRule="atLeast"/>
        </w:trPr>
        <w:tc>
          <w:tcPr>
            <w:tcW w:w="1384"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广州南砂晶圆半导体技术有限公司</w:t>
            </w:r>
          </w:p>
        </w:tc>
        <w:tc>
          <w:tcPr>
            <w:tcW w:w="6614" w:type="dxa"/>
            <w:vAlign w:val="center"/>
          </w:tcPr>
          <w:p>
            <w:pPr>
              <w:numPr>
                <w:ilvl w:val="0"/>
                <w:numId w:val="3"/>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新增：办公与中试、研发场地租赁补助；</w:t>
            </w:r>
          </w:p>
          <w:p>
            <w:pPr>
              <w:numPr>
                <w:ilvl w:val="0"/>
                <w:numId w:val="3"/>
              </w:numPr>
              <w:snapToGrid w:val="0"/>
              <w:jc w:val="left"/>
              <w:rPr>
                <w:rFonts w:ascii="Times New Roman" w:hAnsi="Times New Roman" w:eastAsia="仿宋_GB2312" w:cs="Times New Roman"/>
                <w:sz w:val="24"/>
                <w:szCs w:val="24"/>
              </w:rPr>
            </w:pPr>
            <w:r>
              <w:rPr>
                <w:rFonts w:ascii="Times New Roman" w:hAnsi="Times New Roman" w:eastAsia="仿宋_GB2312" w:cs="Times New Roman"/>
                <w:sz w:val="28"/>
                <w:szCs w:val="28"/>
              </w:rPr>
              <w:t>第2条支持企业开展人才工作中，增加国外专家、人才补贴。</w:t>
            </w:r>
          </w:p>
        </w:tc>
        <w:tc>
          <w:tcPr>
            <w:tcW w:w="1904" w:type="dxa"/>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未采纳</w:t>
            </w:r>
          </w:p>
        </w:tc>
        <w:tc>
          <w:tcPr>
            <w:tcW w:w="4948" w:type="dxa"/>
            <w:vAlign w:val="center"/>
          </w:tcPr>
          <w:p>
            <w:pPr>
              <w:numPr>
                <w:ilvl w:val="0"/>
                <w:numId w:val="0"/>
              </w:numPr>
              <w:snapToGrid w:val="0"/>
              <w:jc w:val="lef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1.《广州南沙关于推动创新链产业链资金链人才链深度融合的若干措施</w:t>
            </w:r>
            <w:r>
              <w:rPr>
                <w:rFonts w:hint="eastAsia" w:ascii="Times New Roman" w:hAnsi="Times New Roman" w:eastAsia="仿宋_GB2312" w:cs="Times New Roman"/>
                <w:sz w:val="28"/>
                <w:szCs w:val="28"/>
              </w:rPr>
              <w:t>》已</w:t>
            </w:r>
            <w:r>
              <w:rPr>
                <w:rFonts w:hint="eastAsia" w:ascii="Times New Roman" w:hAnsi="Times New Roman" w:eastAsia="仿宋_GB2312" w:cs="Times New Roman"/>
                <w:sz w:val="28"/>
                <w:szCs w:val="28"/>
                <w:lang w:eastAsia="zh-CN"/>
              </w:rPr>
              <w:t>包括“办公用房、工业厂房及仓储用房补贴”等共性条款，因此本办法不涉及办公及研发场地租赁补助条款</w:t>
            </w:r>
            <w:r>
              <w:rPr>
                <w:rFonts w:hint="eastAsia" w:ascii="Times New Roman" w:hAnsi="Times New Roman" w:eastAsia="仿宋_GB2312" w:cs="Times New Roman"/>
                <w:sz w:val="28"/>
                <w:szCs w:val="28"/>
              </w:rPr>
              <w:t>。</w:t>
            </w:r>
          </w:p>
          <w:p>
            <w:pPr>
              <w:numPr>
                <w:ilvl w:val="0"/>
                <w:numId w:val="0"/>
              </w:numPr>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根据</w:t>
            </w:r>
            <w:r>
              <w:rPr>
                <w:rFonts w:hint="eastAsia" w:ascii="Times New Roman" w:hAnsi="Times New Roman" w:eastAsia="仿宋_GB2312" w:cs="Times New Roman"/>
                <w:sz w:val="28"/>
                <w:szCs w:val="28"/>
                <w:lang w:eastAsia="zh-CN"/>
              </w:rPr>
              <w:t>区</w:t>
            </w:r>
            <w:r>
              <w:rPr>
                <w:rFonts w:hint="eastAsia" w:ascii="Times New Roman" w:hAnsi="Times New Roman" w:eastAsia="仿宋_GB2312" w:cs="Times New Roman"/>
                <w:sz w:val="28"/>
                <w:szCs w:val="28"/>
              </w:rPr>
              <w:t>人才局反馈意见，人才相关条款将出台专项政策，因此本办法不涉及</w:t>
            </w:r>
            <w:r>
              <w:rPr>
                <w:rFonts w:hint="eastAsia" w:ascii="Times New Roman" w:hAnsi="Times New Roman" w:eastAsia="仿宋_GB2312" w:cs="Times New Roman"/>
                <w:sz w:val="28"/>
                <w:szCs w:val="28"/>
                <w:lang w:eastAsia="zh-CN"/>
              </w:rPr>
              <w:t>人才相关条款</w:t>
            </w:r>
            <w:r>
              <w:rPr>
                <w:rFonts w:hint="eastAsia" w:ascii="Times New Roman" w:hAnsi="Times New Roman" w:eastAsia="仿宋_GB2312"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88" w:hRule="atLeast"/>
        </w:trPr>
        <w:tc>
          <w:tcPr>
            <w:tcW w:w="1384" w:type="dxa"/>
            <w:vAlign w:val="center"/>
          </w:tcPr>
          <w:p>
            <w:pPr>
              <w:snapToGrid w:val="0"/>
              <w:jc w:val="center"/>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广州丰江微电子有限公司</w:t>
            </w:r>
            <w:r>
              <w:rPr>
                <w:rFonts w:hint="eastAsia" w:ascii="Times New Roman" w:hAnsi="Times New Roman" w:eastAsia="仿宋_GB2312" w:cs="Times New Roman"/>
                <w:sz w:val="28"/>
                <w:szCs w:val="28"/>
                <w:lang w:eastAsia="zh-CN"/>
              </w:rPr>
              <w:t>（电子邮箱反馈，邮箱地址：</w:t>
            </w:r>
            <w:r>
              <w:rPr>
                <w:rFonts w:ascii="Times New Roman" w:hAnsi="Times New Roman" w:eastAsia="仿宋_GB2312" w:cs="Times New Roman"/>
                <w:sz w:val="28"/>
                <w:szCs w:val="28"/>
              </w:rPr>
              <w:t>gcs5795@foxmail.com</w:t>
            </w:r>
            <w:r>
              <w:rPr>
                <w:rFonts w:hint="eastAsia" w:ascii="Times New Roman" w:hAnsi="Times New Roman" w:eastAsia="仿宋_GB2312" w:cs="Times New Roman"/>
                <w:sz w:val="28"/>
                <w:szCs w:val="28"/>
                <w:lang w:eastAsia="zh-CN"/>
              </w:rPr>
              <w:t>）</w:t>
            </w:r>
          </w:p>
        </w:tc>
        <w:tc>
          <w:tcPr>
            <w:tcW w:w="6614" w:type="dxa"/>
            <w:vAlign w:val="center"/>
          </w:tcPr>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第二大点第1点条款：支持项目引入与发展；</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第二大点第1点条款：“设备材料”中间加“、”；</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第二大点第1点条款：产业链项目，增加“链”字；</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第二大点第1点条款：同等待遇后增加“并按区政府最优惠政策优先支持企业发展所需用地、厂房、办公场所等需求，支持企业做精做大做强”；</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第二大点第6点条款：企业或项目后增加“优先保证用电企业、并”；</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第二大点第9点条款：“支持企业开展车规级认证”修改为“支持企业开展车规级认证与车规产品产业化”；</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9点条款：增加“对南沙区集成电路入库企业形成车规产品批量稳定规模化生产与销售，其前期投入的研发、生产制造等投资，给予企业上一年度车规产品相关的总投入不超过10%、年度最高500万的补贴，累计补贴年限不超过3年”；</w:t>
            </w:r>
          </w:p>
          <w:p>
            <w:pPr>
              <w:numPr>
                <w:ilvl w:val="0"/>
                <w:numId w:val="4"/>
              </w:numPr>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二大点第10点条款：增加“对区内集成电路入库企业支持区内非关联集成电路企业产品或服务需求并形成批量稳定规模化销售，所投入的研发、生产制造等投资，给予企业上一年度相关总投入不超过10%、年度最高200万的补贴，累计补贴年限不超过3年”。</w:t>
            </w:r>
          </w:p>
        </w:tc>
        <w:tc>
          <w:tcPr>
            <w:tcW w:w="1904" w:type="dxa"/>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部分</w:t>
            </w:r>
            <w:r>
              <w:rPr>
                <w:rFonts w:hint="eastAsia" w:ascii="Times New Roman" w:hAnsi="Times New Roman" w:eastAsia="仿宋_GB2312" w:cs="Times New Roman"/>
                <w:sz w:val="28"/>
                <w:szCs w:val="28"/>
              </w:rPr>
              <w:t>采纳</w:t>
            </w:r>
          </w:p>
        </w:tc>
        <w:tc>
          <w:tcPr>
            <w:tcW w:w="4948" w:type="dxa"/>
            <w:vAlign w:val="center"/>
          </w:tcPr>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1：经考虑，在现有文本无歧义的基础上，为保障文字简洁，不做修改。</w:t>
            </w:r>
          </w:p>
          <w:p>
            <w:pPr>
              <w:pStyle w:val="2"/>
              <w:rPr>
                <w:rFonts w:hint="default"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2.采纳。</w:t>
            </w:r>
          </w:p>
          <w:p>
            <w:pPr>
              <w:snapToGrid w:val="0"/>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：经考虑，在现有文本无歧义的基础上，为保障文字简洁，不做修改。</w:t>
            </w:r>
          </w:p>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《广州南沙关于推动创新链产业链资金链人才链深度融合的若干措施</w:t>
            </w:r>
            <w:r>
              <w:rPr>
                <w:rFonts w:hint="eastAsia" w:ascii="Times New Roman" w:hAnsi="Times New Roman" w:eastAsia="仿宋_GB2312" w:cs="Times New Roman"/>
                <w:sz w:val="28"/>
                <w:szCs w:val="28"/>
              </w:rPr>
              <w:t>》已</w:t>
            </w:r>
            <w:r>
              <w:rPr>
                <w:rFonts w:hint="eastAsia" w:ascii="Times New Roman" w:hAnsi="Times New Roman" w:eastAsia="仿宋_GB2312" w:cs="Times New Roman"/>
                <w:sz w:val="28"/>
                <w:szCs w:val="28"/>
                <w:lang w:eastAsia="zh-CN"/>
              </w:rPr>
              <w:t>包括“办公用房、工业厂房及仓储用房补贴”等共性条款</w:t>
            </w:r>
            <w:r>
              <w:rPr>
                <w:rFonts w:hint="eastAsia" w:ascii="Times New Roman" w:hAnsi="Times New Roman" w:eastAsia="仿宋_GB2312" w:cs="Times New Roman"/>
                <w:sz w:val="28"/>
                <w:szCs w:val="28"/>
              </w:rPr>
              <w:t>。</w:t>
            </w:r>
          </w:p>
          <w:p>
            <w:pPr>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采纳</w:t>
            </w:r>
            <w:bookmarkStart w:id="0" w:name="_GoBack"/>
            <w:bookmarkEnd w:id="0"/>
            <w:r>
              <w:rPr>
                <w:rFonts w:hint="eastAsia" w:ascii="Times New Roman" w:hAnsi="Times New Roman" w:eastAsia="仿宋_GB2312" w:cs="Times New Roman"/>
                <w:sz w:val="28"/>
                <w:szCs w:val="28"/>
              </w:rPr>
              <w:t>。</w:t>
            </w:r>
          </w:p>
          <w:p>
            <w:pPr>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本办法中所涉及“车规级认证”为车规级产品开发投入中的一部分，因车规级产品与其他产品大多数除了需车规级验证外并无本质不同，无法严格认定投入为车规级产品研发投入，因此不予采纳。</w:t>
            </w:r>
          </w:p>
          <w:p>
            <w:pPr>
              <w:snapToGrid w:val="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此意见旨在支持本地供应商为集成电路企业提供供应保障，但相关的投入的研发、生产制造投资量化难度较大，因此本办法统一采用非关联企业采购额奖励。</w:t>
            </w:r>
          </w:p>
        </w:tc>
      </w:tr>
    </w:tbl>
    <w:p>
      <w:pPr>
        <w:snapToGrid w:val="0"/>
        <w:rPr>
          <w:rFonts w:ascii="仿宋_GB2312" w:eastAsia="仿宋_GB2312"/>
          <w:sz w:val="32"/>
          <w:szCs w:val="32"/>
        </w:rPr>
      </w:pPr>
    </w:p>
    <w:sectPr>
      <w:pgSz w:w="16838" w:h="11906" w:orient="landscape"/>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354BC"/>
    <w:multiLevelType w:val="singleLevel"/>
    <w:tmpl w:val="D52354BC"/>
    <w:lvl w:ilvl="0" w:tentative="0">
      <w:start w:val="1"/>
      <w:numFmt w:val="decimal"/>
      <w:lvlText w:val="%1."/>
      <w:lvlJc w:val="left"/>
      <w:pPr>
        <w:tabs>
          <w:tab w:val="left" w:pos="312"/>
        </w:tabs>
      </w:pPr>
      <w:rPr>
        <w:rFonts w:hint="default" w:ascii="Times New Roman" w:hAnsi="Times New Roman" w:eastAsia="仿宋_GB2312" w:cs="Times New Roman"/>
        <w:sz w:val="28"/>
        <w:szCs w:val="28"/>
      </w:rPr>
    </w:lvl>
  </w:abstractNum>
  <w:abstractNum w:abstractNumId="1">
    <w:nsid w:val="E63F24C0"/>
    <w:multiLevelType w:val="singleLevel"/>
    <w:tmpl w:val="E63F24C0"/>
    <w:lvl w:ilvl="0" w:tentative="0">
      <w:start w:val="1"/>
      <w:numFmt w:val="decimal"/>
      <w:lvlText w:val="%1."/>
      <w:lvlJc w:val="left"/>
      <w:pPr>
        <w:tabs>
          <w:tab w:val="left" w:pos="312"/>
        </w:tabs>
      </w:pPr>
      <w:rPr>
        <w:rFonts w:hint="default" w:ascii="Times New Roman" w:hAnsi="Times New Roman" w:eastAsia="仿宋_GB2312" w:cs="Times New Roman"/>
      </w:rPr>
    </w:lvl>
  </w:abstractNum>
  <w:abstractNum w:abstractNumId="2">
    <w:nsid w:val="20F9FE26"/>
    <w:multiLevelType w:val="singleLevel"/>
    <w:tmpl w:val="20F9FE26"/>
    <w:lvl w:ilvl="0" w:tentative="0">
      <w:start w:val="1"/>
      <w:numFmt w:val="decimal"/>
      <w:lvlText w:val="%1."/>
      <w:lvlJc w:val="left"/>
      <w:pPr>
        <w:tabs>
          <w:tab w:val="left" w:pos="312"/>
        </w:tabs>
      </w:pPr>
      <w:rPr>
        <w:rFonts w:hint="default" w:ascii="Times New Roman" w:hAnsi="Times New Roman" w:eastAsia="仿宋_GB2312" w:cs="Times New Roman"/>
        <w:sz w:val="28"/>
        <w:szCs w:val="28"/>
      </w:rPr>
    </w:lvl>
  </w:abstractNum>
  <w:abstractNum w:abstractNumId="3">
    <w:nsid w:val="452E3E43"/>
    <w:multiLevelType w:val="singleLevel"/>
    <w:tmpl w:val="452E3E43"/>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71C3"/>
    <w:rsid w:val="000B2FD9"/>
    <w:rsid w:val="000B3258"/>
    <w:rsid w:val="00112E6F"/>
    <w:rsid w:val="00153901"/>
    <w:rsid w:val="001D3A3B"/>
    <w:rsid w:val="002A696C"/>
    <w:rsid w:val="002B5F4A"/>
    <w:rsid w:val="003A72FF"/>
    <w:rsid w:val="003C257F"/>
    <w:rsid w:val="004521EB"/>
    <w:rsid w:val="00485856"/>
    <w:rsid w:val="00594E40"/>
    <w:rsid w:val="005D451A"/>
    <w:rsid w:val="005D5F51"/>
    <w:rsid w:val="00623351"/>
    <w:rsid w:val="0063274E"/>
    <w:rsid w:val="006571C3"/>
    <w:rsid w:val="006D2B9D"/>
    <w:rsid w:val="006E62E0"/>
    <w:rsid w:val="00716321"/>
    <w:rsid w:val="007E05A5"/>
    <w:rsid w:val="008227B4"/>
    <w:rsid w:val="008C7758"/>
    <w:rsid w:val="0090227F"/>
    <w:rsid w:val="00931556"/>
    <w:rsid w:val="00952A53"/>
    <w:rsid w:val="009B7929"/>
    <w:rsid w:val="00AC0952"/>
    <w:rsid w:val="00AD46F3"/>
    <w:rsid w:val="00B218ED"/>
    <w:rsid w:val="00B80746"/>
    <w:rsid w:val="00BD2686"/>
    <w:rsid w:val="00BD572D"/>
    <w:rsid w:val="00C36B10"/>
    <w:rsid w:val="00C45A7F"/>
    <w:rsid w:val="00DC02CE"/>
    <w:rsid w:val="00DC761B"/>
    <w:rsid w:val="00E53DF0"/>
    <w:rsid w:val="00EA2C86"/>
    <w:rsid w:val="00F3754D"/>
    <w:rsid w:val="00FB5A96"/>
    <w:rsid w:val="00FF65C9"/>
    <w:rsid w:val="01756616"/>
    <w:rsid w:val="02302E5C"/>
    <w:rsid w:val="039F329E"/>
    <w:rsid w:val="03AE0947"/>
    <w:rsid w:val="06425148"/>
    <w:rsid w:val="06B8216F"/>
    <w:rsid w:val="070A7E9A"/>
    <w:rsid w:val="087C2B3B"/>
    <w:rsid w:val="08B562AA"/>
    <w:rsid w:val="0B60245A"/>
    <w:rsid w:val="0C5C10A3"/>
    <w:rsid w:val="0D373D5A"/>
    <w:rsid w:val="0DF35B7E"/>
    <w:rsid w:val="0F0B5292"/>
    <w:rsid w:val="0F13498A"/>
    <w:rsid w:val="10D40B20"/>
    <w:rsid w:val="115415F0"/>
    <w:rsid w:val="11784E97"/>
    <w:rsid w:val="12DD467E"/>
    <w:rsid w:val="133B5FC6"/>
    <w:rsid w:val="13E47806"/>
    <w:rsid w:val="19990D06"/>
    <w:rsid w:val="19F8049F"/>
    <w:rsid w:val="1A070DEC"/>
    <w:rsid w:val="1A807B3D"/>
    <w:rsid w:val="1C8207DC"/>
    <w:rsid w:val="1DC03EAF"/>
    <w:rsid w:val="1E0F270F"/>
    <w:rsid w:val="20464259"/>
    <w:rsid w:val="20563801"/>
    <w:rsid w:val="21480354"/>
    <w:rsid w:val="2238006F"/>
    <w:rsid w:val="22736419"/>
    <w:rsid w:val="22B43181"/>
    <w:rsid w:val="22CD06E5"/>
    <w:rsid w:val="238A062C"/>
    <w:rsid w:val="23F65CF1"/>
    <w:rsid w:val="24AA1B96"/>
    <w:rsid w:val="260D1445"/>
    <w:rsid w:val="2651105B"/>
    <w:rsid w:val="282E50BF"/>
    <w:rsid w:val="290F4E71"/>
    <w:rsid w:val="292A037E"/>
    <w:rsid w:val="295C699B"/>
    <w:rsid w:val="2AB843BE"/>
    <w:rsid w:val="2C1E4FA2"/>
    <w:rsid w:val="2D3A6B89"/>
    <w:rsid w:val="2D482027"/>
    <w:rsid w:val="2D746498"/>
    <w:rsid w:val="2D836AAA"/>
    <w:rsid w:val="2DD74941"/>
    <w:rsid w:val="2E210567"/>
    <w:rsid w:val="2EE57C44"/>
    <w:rsid w:val="2F707A9C"/>
    <w:rsid w:val="2FF61F2A"/>
    <w:rsid w:val="301F6150"/>
    <w:rsid w:val="30FB05F4"/>
    <w:rsid w:val="313E0DE7"/>
    <w:rsid w:val="32E62F39"/>
    <w:rsid w:val="33580945"/>
    <w:rsid w:val="33F57276"/>
    <w:rsid w:val="34094C73"/>
    <w:rsid w:val="34A27191"/>
    <w:rsid w:val="35063F8A"/>
    <w:rsid w:val="36AD3AC8"/>
    <w:rsid w:val="37263D0B"/>
    <w:rsid w:val="375D0478"/>
    <w:rsid w:val="39A756D6"/>
    <w:rsid w:val="3EA02838"/>
    <w:rsid w:val="3F5C2296"/>
    <w:rsid w:val="3F8B4937"/>
    <w:rsid w:val="41A53B22"/>
    <w:rsid w:val="42AC1111"/>
    <w:rsid w:val="42AD2C8E"/>
    <w:rsid w:val="476D0306"/>
    <w:rsid w:val="477B6AB0"/>
    <w:rsid w:val="478E5D68"/>
    <w:rsid w:val="479456B6"/>
    <w:rsid w:val="4933206D"/>
    <w:rsid w:val="49C04B76"/>
    <w:rsid w:val="49D475D9"/>
    <w:rsid w:val="4A5F6F4F"/>
    <w:rsid w:val="4A6F74AF"/>
    <w:rsid w:val="4A8434F5"/>
    <w:rsid w:val="4C122E0A"/>
    <w:rsid w:val="4CAB33B0"/>
    <w:rsid w:val="50081885"/>
    <w:rsid w:val="50180936"/>
    <w:rsid w:val="507A45E9"/>
    <w:rsid w:val="50EF2566"/>
    <w:rsid w:val="50FD2518"/>
    <w:rsid w:val="51721E60"/>
    <w:rsid w:val="51915EBF"/>
    <w:rsid w:val="522E2EC0"/>
    <w:rsid w:val="561F1933"/>
    <w:rsid w:val="56AA5FBF"/>
    <w:rsid w:val="573360F0"/>
    <w:rsid w:val="57492AD7"/>
    <w:rsid w:val="574A1454"/>
    <w:rsid w:val="59B07943"/>
    <w:rsid w:val="5A5A6C4C"/>
    <w:rsid w:val="5ACC04CE"/>
    <w:rsid w:val="5AEE79A4"/>
    <w:rsid w:val="5C801B39"/>
    <w:rsid w:val="5C8C761A"/>
    <w:rsid w:val="5CB8371E"/>
    <w:rsid w:val="5CF56B20"/>
    <w:rsid w:val="5E17414E"/>
    <w:rsid w:val="5FC300B7"/>
    <w:rsid w:val="60616470"/>
    <w:rsid w:val="6180229A"/>
    <w:rsid w:val="62327DF3"/>
    <w:rsid w:val="649639C7"/>
    <w:rsid w:val="668D4778"/>
    <w:rsid w:val="67AB780F"/>
    <w:rsid w:val="683A5518"/>
    <w:rsid w:val="684A0A40"/>
    <w:rsid w:val="6AEE78E0"/>
    <w:rsid w:val="6B543201"/>
    <w:rsid w:val="6B5B6E49"/>
    <w:rsid w:val="6D2644D8"/>
    <w:rsid w:val="6D267DCE"/>
    <w:rsid w:val="6D850ED1"/>
    <w:rsid w:val="6E03167E"/>
    <w:rsid w:val="6E704FED"/>
    <w:rsid w:val="72E52395"/>
    <w:rsid w:val="730B7C09"/>
    <w:rsid w:val="731C7369"/>
    <w:rsid w:val="7325136A"/>
    <w:rsid w:val="73273AB6"/>
    <w:rsid w:val="73F2618D"/>
    <w:rsid w:val="7438639A"/>
    <w:rsid w:val="7458574E"/>
    <w:rsid w:val="78BA106D"/>
    <w:rsid w:val="7AA87118"/>
    <w:rsid w:val="7AEC7084"/>
    <w:rsid w:val="7BA25DDF"/>
    <w:rsid w:val="7C4B43CF"/>
    <w:rsid w:val="7CE3523A"/>
    <w:rsid w:val="7D643899"/>
    <w:rsid w:val="7D6A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widowControl w:val="0"/>
      <w:spacing w:line="415" w:lineRule="auto"/>
      <w:outlineLvl w:val="1"/>
    </w:pPr>
    <w:rPr>
      <w:rFonts w:ascii="Cambria" w:hAnsi="Cambria" w:eastAsia="宋体" w:cs="Times New Roman"/>
      <w:b/>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175</Words>
  <Characters>1002</Characters>
  <Lines>8</Lines>
  <Paragraphs>2</Paragraphs>
  <TotalTime>1</TotalTime>
  <ScaleCrop>false</ScaleCrop>
  <LinksUpToDate>false</LinksUpToDate>
  <CharactersWithSpaces>1175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陈东浩</dc:creator>
  <cp:lastModifiedBy>张小清</cp:lastModifiedBy>
  <dcterms:modified xsi:type="dcterms:W3CDTF">2022-06-30T09:16:09Z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