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rPr>
          <w:rFonts w:hint="eastAsia" w:ascii="仿宋_GB2312" w:hAnsi="仿宋_GB2312" w:eastAsia="黑体" w:cs="仿宋_GB2312"/>
          <w:szCs w:val="21"/>
          <w:lang w:val="en-US" w:eastAsia="zh-CN"/>
        </w:rPr>
      </w:pPr>
      <w:r>
        <w:rPr>
          <w:rFonts w:hint="eastAsia" w:ascii="黑体" w:hAnsi="黑体" w:eastAsia="黑体" w:cs="黑体"/>
          <w:color w:val="000000"/>
          <w:sz w:val="32"/>
        </w:rPr>
        <w:t>附件</w:t>
      </w:r>
      <w:r>
        <w:rPr>
          <w:rFonts w:hint="eastAsia" w:ascii="黑体" w:hAnsi="黑体" w:eastAsia="黑体" w:cs="黑体"/>
          <w:color w:val="000000"/>
          <w:sz w:val="32"/>
          <w:lang w:val="en-US" w:eastAsia="zh-CN"/>
        </w:rPr>
        <w:t>1</w:t>
      </w:r>
    </w:p>
    <w:p>
      <w:pPr>
        <w:widowControl/>
        <w:adjustRightInd w:val="0"/>
        <w:snapToGrid w:val="0"/>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广州市南沙区义务教育阶段学校招生实施细则</w:t>
      </w:r>
    </w:p>
    <w:p>
      <w:pPr>
        <w:widowControl/>
        <w:adjustRightInd w:val="0"/>
        <w:snapToGrid w:val="0"/>
        <w:jc w:val="center"/>
        <w:rPr>
          <w:rFonts w:ascii="仿宋" w:hAnsi="仿宋" w:eastAsia="仿宋"/>
          <w:color w:val="auto"/>
          <w:sz w:val="34"/>
          <w:szCs w:val="34"/>
        </w:rPr>
      </w:pPr>
    </w:p>
    <w:p>
      <w:pPr>
        <w:snapToGrid w:val="0"/>
        <w:spacing w:line="360" w:lineRule="auto"/>
        <w:jc w:val="center"/>
        <w:rPr>
          <w:rFonts w:ascii="黑体" w:hAnsi="黑体" w:eastAsia="黑体"/>
          <w:color w:val="auto"/>
          <w:sz w:val="32"/>
          <w:szCs w:val="32"/>
        </w:rPr>
      </w:pPr>
    </w:p>
    <w:p>
      <w:pPr>
        <w:snapToGrid w:val="0"/>
        <w:spacing w:line="360" w:lineRule="auto"/>
        <w:jc w:val="center"/>
        <w:rPr>
          <w:rFonts w:ascii="黑体" w:hAnsi="黑体" w:eastAsia="黑体"/>
          <w:color w:val="auto"/>
          <w:sz w:val="32"/>
          <w:szCs w:val="32"/>
        </w:rPr>
      </w:pPr>
      <w:r>
        <w:rPr>
          <w:rFonts w:hint="eastAsia" w:ascii="黑体" w:hAnsi="黑体" w:eastAsia="黑体"/>
          <w:color w:val="auto"/>
          <w:sz w:val="32"/>
          <w:szCs w:val="32"/>
        </w:rPr>
        <w:t>第一章 总  则</w:t>
      </w:r>
    </w:p>
    <w:p>
      <w:pPr>
        <w:widowControl/>
        <w:adjustRightInd w:val="0"/>
        <w:snapToGrid w:val="0"/>
        <w:jc w:val="center"/>
        <w:rPr>
          <w:rFonts w:ascii="仿宋" w:hAnsi="仿宋" w:eastAsia="仿宋"/>
          <w:color w:val="auto"/>
          <w:sz w:val="34"/>
          <w:szCs w:val="34"/>
        </w:rPr>
      </w:pP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为落实国家</w:t>
      </w:r>
      <w:r>
        <w:rPr>
          <w:rFonts w:hint="eastAsia" w:ascii="仿宋" w:hAnsi="仿宋" w:eastAsia="仿宋"/>
          <w:color w:val="auto"/>
          <w:sz w:val="32"/>
          <w:szCs w:val="32"/>
          <w:lang w:eastAsia="zh-CN"/>
        </w:rPr>
        <w:t>、</w:t>
      </w:r>
      <w:r>
        <w:rPr>
          <w:rFonts w:hint="eastAsia" w:ascii="仿宋" w:hAnsi="仿宋" w:eastAsia="仿宋"/>
          <w:color w:val="auto"/>
          <w:sz w:val="32"/>
          <w:szCs w:val="32"/>
        </w:rPr>
        <w:t>省</w:t>
      </w:r>
      <w:r>
        <w:rPr>
          <w:rFonts w:hint="eastAsia" w:ascii="仿宋" w:hAnsi="仿宋" w:eastAsia="仿宋"/>
          <w:color w:val="auto"/>
          <w:sz w:val="32"/>
          <w:szCs w:val="32"/>
          <w:lang w:val="en-US" w:eastAsia="zh-CN"/>
        </w:rPr>
        <w:t>和市</w:t>
      </w:r>
      <w:r>
        <w:rPr>
          <w:rFonts w:hint="eastAsia" w:ascii="仿宋" w:hAnsi="仿宋" w:eastAsia="仿宋"/>
          <w:color w:val="auto"/>
          <w:sz w:val="32"/>
          <w:szCs w:val="32"/>
        </w:rPr>
        <w:t>对义务教育学校招生工作的管理要求，进一步规范</w:t>
      </w:r>
      <w:r>
        <w:rPr>
          <w:rFonts w:hint="eastAsia" w:ascii="仿宋" w:hAnsi="仿宋" w:eastAsia="仿宋"/>
          <w:color w:val="auto"/>
          <w:sz w:val="32"/>
          <w:szCs w:val="32"/>
          <w:lang w:val="en-US" w:eastAsia="zh-CN"/>
        </w:rPr>
        <w:t>南沙区</w:t>
      </w:r>
      <w:r>
        <w:rPr>
          <w:rFonts w:hint="eastAsia" w:ascii="仿宋" w:hAnsi="仿宋" w:eastAsia="仿宋"/>
          <w:color w:val="auto"/>
          <w:sz w:val="32"/>
          <w:szCs w:val="32"/>
        </w:rPr>
        <w:t>义务教育学校招生工作，促进教育公平，根据《中华人民共和国教育法》《中华人民共和国义务教育法》《中华人民共和国民办教育促进法》《广州市人民政府办公厅关于进一步做好来穗人员随迁子女接受义务教育工作的实施意见》《广州市来穗人员积分制服务管理规定实施细则（试行）》和《广州市义务教育阶段学校招生工作指导意见》等法律法规</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相关政策</w:t>
      </w:r>
      <w:r>
        <w:rPr>
          <w:rFonts w:hint="eastAsia" w:ascii="仿宋" w:hAnsi="仿宋" w:eastAsia="仿宋"/>
          <w:color w:val="auto"/>
          <w:sz w:val="32"/>
          <w:szCs w:val="32"/>
          <w:lang w:val="en-US" w:eastAsia="zh-CN"/>
        </w:rPr>
        <w:t>文件</w:t>
      </w:r>
      <w:r>
        <w:rPr>
          <w:rFonts w:hint="eastAsia" w:ascii="仿宋" w:hAnsi="仿宋" w:eastAsia="仿宋"/>
          <w:color w:val="auto"/>
          <w:sz w:val="32"/>
          <w:szCs w:val="32"/>
        </w:rPr>
        <w:t>精神，并结合南沙区实际，现制定以下招生实施细则（以下简称“细则”）。</w:t>
      </w:r>
    </w:p>
    <w:p>
      <w:pPr>
        <w:snapToGri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 xml:space="preserve">第一条  </w:t>
      </w:r>
      <w:r>
        <w:rPr>
          <w:rFonts w:hint="eastAsia" w:ascii="仿宋" w:hAnsi="仿宋" w:eastAsia="仿宋"/>
          <w:color w:val="auto"/>
          <w:sz w:val="32"/>
          <w:szCs w:val="32"/>
        </w:rPr>
        <w:t>区政府负责组织全区义务教育阶段学校开展招生工作，制订招生方案，核定各义务教育阶段学校招生范围、对象和规模，履行控辍保学责任，健全义务教育保障长效机制。区教育行政部门指导各教育指导中心、各义务教育阶段学校解决在招生过程中遇到的问题和困难。</w:t>
      </w:r>
    </w:p>
    <w:p>
      <w:pPr>
        <w:snapToGri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 xml:space="preserve">第二条  </w:t>
      </w:r>
      <w:r>
        <w:rPr>
          <w:rFonts w:hint="eastAsia" w:ascii="仿宋" w:hAnsi="仿宋" w:eastAsia="仿宋"/>
          <w:color w:val="auto"/>
          <w:sz w:val="32"/>
          <w:szCs w:val="32"/>
        </w:rPr>
        <w:t>公办学校招生坚持免试就近入学原则；民办学校招生坚持免试入学原则。坚持小学一年级“零起点”教学；严禁学校以考试或任何变相考试形式进行招生。区教育行政部门在摸查测算的基础上提出当年南沙区公、民办学校招生计划，报区政府审定并向市教育行政部门报告后，正式下达并向社会公布。各公、民办学校在核准的招生计划与招生范围内招生。招生计划下达后不得随意调整，确需调整的，由区政府批准并报市教育行政部门审核同意。未经批准的招生计划无效，超出招生计划部分的新生不得办理学籍。</w:t>
      </w:r>
    </w:p>
    <w:p>
      <w:pPr>
        <w:snapToGri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 xml:space="preserve">第三条  </w:t>
      </w:r>
      <w:r>
        <w:rPr>
          <w:rFonts w:hint="eastAsia" w:ascii="仿宋" w:hAnsi="仿宋" w:eastAsia="仿宋"/>
          <w:color w:val="auto"/>
          <w:sz w:val="32"/>
          <w:szCs w:val="32"/>
        </w:rPr>
        <w:t>区教育行政部门根据本</w:t>
      </w:r>
      <w:r>
        <w:rPr>
          <w:rFonts w:ascii="仿宋" w:hAnsi="仿宋" w:eastAsia="仿宋"/>
          <w:color w:val="auto"/>
          <w:sz w:val="32"/>
          <w:szCs w:val="32"/>
        </w:rPr>
        <w:t>行政区域内</w:t>
      </w:r>
      <w:r>
        <w:rPr>
          <w:rFonts w:hint="eastAsia" w:ascii="仿宋" w:hAnsi="仿宋" w:eastAsia="仿宋"/>
          <w:color w:val="auto"/>
          <w:sz w:val="32"/>
          <w:szCs w:val="32"/>
        </w:rPr>
        <w:t>地理及交通</w:t>
      </w:r>
      <w:r>
        <w:rPr>
          <w:rFonts w:ascii="仿宋" w:hAnsi="仿宋" w:eastAsia="仿宋"/>
          <w:color w:val="auto"/>
          <w:sz w:val="32"/>
          <w:szCs w:val="32"/>
        </w:rPr>
        <w:t>状况、</w:t>
      </w:r>
      <w:r>
        <w:rPr>
          <w:rFonts w:hint="eastAsia" w:ascii="仿宋" w:hAnsi="仿宋" w:eastAsia="仿宋"/>
          <w:color w:val="auto"/>
          <w:sz w:val="32"/>
          <w:szCs w:val="32"/>
        </w:rPr>
        <w:t>学校布局及规模、人口分布、招生方式、新增公办学校、对口学校学位承载能力等因素，按照就近入学原则合理划分公办小学和公办初中的招生范围。就近入学是指相对就近入学，划分公办小学招生范围时，学生居住地与学校距离原则上在3公里以内；划分公办初中招生范围时，学生居住地与学校距离原则上在5公里以内。公办学校招生范围确定后原则上保持稳定，根据南沙区学校建设及学位承载能力适时进行调整的，报区政府批准并向社会公告。新开办学校开办当年只招收起始年级。</w:t>
      </w:r>
    </w:p>
    <w:p>
      <w:pPr>
        <w:snapToGrid w:val="0"/>
        <w:spacing w:line="360" w:lineRule="auto"/>
        <w:jc w:val="center"/>
        <w:rPr>
          <w:rFonts w:ascii="黑体" w:hAnsi="黑体" w:eastAsia="黑体"/>
          <w:color w:val="auto"/>
          <w:sz w:val="32"/>
          <w:szCs w:val="32"/>
        </w:rPr>
      </w:pPr>
    </w:p>
    <w:p>
      <w:pPr>
        <w:snapToGrid w:val="0"/>
        <w:spacing w:line="360" w:lineRule="auto"/>
        <w:jc w:val="center"/>
        <w:rPr>
          <w:rFonts w:ascii="黑体" w:hAnsi="黑体" w:eastAsia="黑体"/>
          <w:color w:val="auto"/>
          <w:sz w:val="32"/>
          <w:szCs w:val="32"/>
        </w:rPr>
      </w:pPr>
      <w:r>
        <w:rPr>
          <w:rFonts w:hint="eastAsia" w:ascii="黑体" w:hAnsi="黑体" w:eastAsia="黑体"/>
          <w:color w:val="auto"/>
          <w:sz w:val="32"/>
          <w:szCs w:val="32"/>
        </w:rPr>
        <w:t>第二章 学校学位安排</w:t>
      </w:r>
    </w:p>
    <w:p>
      <w:pPr>
        <w:snapToGrid w:val="0"/>
        <w:spacing w:line="360" w:lineRule="auto"/>
        <w:jc w:val="center"/>
        <w:rPr>
          <w:rFonts w:ascii="黑体" w:hAnsi="黑体" w:eastAsia="黑体"/>
          <w:color w:val="auto"/>
          <w:sz w:val="32"/>
          <w:szCs w:val="32"/>
        </w:rPr>
      </w:pPr>
    </w:p>
    <w:p>
      <w:pPr>
        <w:snapToGrid w:val="0"/>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第四条  公办小学部分</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（一）招生</w:t>
      </w:r>
      <w:r>
        <w:rPr>
          <w:rFonts w:ascii="仿宋" w:hAnsi="仿宋" w:eastAsia="仿宋"/>
          <w:color w:val="auto"/>
          <w:sz w:val="32"/>
          <w:szCs w:val="32"/>
        </w:rPr>
        <w:t>对象。</w:t>
      </w:r>
      <w:r>
        <w:rPr>
          <w:rFonts w:hint="eastAsia" w:ascii="仿宋" w:hAnsi="仿宋" w:eastAsia="仿宋"/>
          <w:color w:val="auto"/>
          <w:sz w:val="32"/>
          <w:szCs w:val="32"/>
        </w:rPr>
        <w:t>凡具有中华人民共和国国籍、当年</w:t>
      </w:r>
      <w:r>
        <w:rPr>
          <w:rFonts w:ascii="仿宋" w:hAnsi="仿宋" w:eastAsia="仿宋"/>
          <w:color w:val="auto"/>
          <w:sz w:val="32"/>
          <w:szCs w:val="32"/>
        </w:rPr>
        <w:t>8月31日（含8月31日）前年满6周岁的儿童，不分性别、民族、种族、家庭财产状况、宗教信仰等，应当入学接受规定年限的义务教育。</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（二）对口</w:t>
      </w:r>
      <w:r>
        <w:rPr>
          <w:rFonts w:ascii="仿宋" w:hAnsi="仿宋" w:eastAsia="仿宋"/>
          <w:color w:val="auto"/>
          <w:sz w:val="32"/>
          <w:szCs w:val="32"/>
        </w:rPr>
        <w:t>入学</w:t>
      </w:r>
      <w:r>
        <w:rPr>
          <w:rFonts w:hint="eastAsia" w:ascii="仿宋" w:hAnsi="仿宋" w:eastAsia="仿宋"/>
          <w:color w:val="auto"/>
          <w:sz w:val="32"/>
          <w:szCs w:val="32"/>
        </w:rPr>
        <w:t>。公办小学学位分配按“人户一致”原则安排南沙区户籍适龄儿童入读对口地段小学。“人户一致”主要是指适龄儿童户籍地址与其父母或者其他法定监护人所能提供的实际居住有效文书资料（房屋所有权证、不动产权证书、购房协议、宅基地使用证、集资房证明、拆迁协议等）地址一致。</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适龄儿童满足以下两项条件之一的，符合“人户一致”的条件：</w:t>
      </w:r>
    </w:p>
    <w:p>
      <w:pPr>
        <w:snapToGrid w:val="0"/>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1.适龄儿童户籍地址与其父母或其他法定监护人所能提供的</w:t>
      </w:r>
      <w:r>
        <w:rPr>
          <w:rFonts w:hint="eastAsia" w:ascii="仿宋" w:hAnsi="仿宋" w:eastAsia="仿宋"/>
          <w:color w:val="auto"/>
          <w:sz w:val="32"/>
          <w:szCs w:val="32"/>
        </w:rPr>
        <w:t>实际居住有效文书资料（房屋所有权证、不动产权证书、购房协议、宅基地使用证、集资房证明、拆迁协议等）地址一致，</w:t>
      </w:r>
      <w:r>
        <w:rPr>
          <w:rFonts w:hint="eastAsia" w:ascii="仿宋" w:hAnsi="仿宋" w:eastAsia="仿宋"/>
          <w:bCs/>
          <w:color w:val="auto"/>
          <w:sz w:val="32"/>
          <w:szCs w:val="32"/>
        </w:rPr>
        <w:t>入户该址时间须在</w:t>
      </w:r>
      <w:r>
        <w:rPr>
          <w:rFonts w:hint="eastAsia" w:ascii="仿宋" w:hAnsi="仿宋" w:eastAsia="仿宋"/>
          <w:color w:val="auto"/>
          <w:sz w:val="32"/>
          <w:szCs w:val="32"/>
        </w:rPr>
        <w:t>当年招生计划公布前（含当年招生计划公布当日）</w:t>
      </w:r>
      <w:r>
        <w:rPr>
          <w:rFonts w:hint="eastAsia" w:ascii="仿宋" w:hAnsi="仿宋" w:eastAsia="仿宋"/>
          <w:bCs/>
          <w:color w:val="auto"/>
          <w:sz w:val="32"/>
          <w:szCs w:val="32"/>
        </w:rPr>
        <w:t>，</w:t>
      </w:r>
      <w:r>
        <w:rPr>
          <w:rFonts w:hint="eastAsia" w:ascii="仿宋" w:hAnsi="仿宋" w:eastAsia="仿宋"/>
          <w:color w:val="auto"/>
          <w:sz w:val="32"/>
          <w:szCs w:val="32"/>
        </w:rPr>
        <w:t>且父母或其他法定监护人拥有该房产</w:t>
      </w:r>
      <w:r>
        <w:rPr>
          <w:rFonts w:ascii="仿宋" w:hAnsi="仿宋" w:eastAsia="仿宋"/>
          <w:color w:val="auto"/>
          <w:sz w:val="32"/>
          <w:szCs w:val="32"/>
        </w:rPr>
        <w:t>100%份额；或者，父母或其他法定监护人和子女共同拥有该房产100%份额；</w:t>
      </w:r>
    </w:p>
    <w:p>
      <w:pPr>
        <w:snapToGrid w:val="0"/>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2.适龄儿童随祖父母同户同住(</w:t>
      </w:r>
      <w:r>
        <w:rPr>
          <w:rFonts w:hint="eastAsia" w:ascii="仿宋" w:hAnsi="仿宋" w:eastAsia="仿宋"/>
          <w:color w:val="auto"/>
          <w:sz w:val="32"/>
          <w:szCs w:val="32"/>
        </w:rPr>
        <w:t>适龄</w:t>
      </w:r>
      <w:r>
        <w:rPr>
          <w:rFonts w:ascii="仿宋" w:hAnsi="仿宋" w:eastAsia="仿宋"/>
          <w:color w:val="auto"/>
          <w:sz w:val="32"/>
          <w:szCs w:val="32"/>
        </w:rPr>
        <w:t>儿童户籍地址与祖父母</w:t>
      </w:r>
      <w:r>
        <w:rPr>
          <w:rFonts w:hint="eastAsia" w:ascii="仿宋" w:hAnsi="仿宋" w:eastAsia="仿宋"/>
          <w:color w:val="auto"/>
          <w:sz w:val="32"/>
          <w:szCs w:val="32"/>
        </w:rPr>
        <w:t>户籍</w:t>
      </w:r>
      <w:r>
        <w:rPr>
          <w:rFonts w:ascii="仿宋" w:hAnsi="仿宋" w:eastAsia="仿宋"/>
          <w:color w:val="auto"/>
          <w:sz w:val="32"/>
          <w:szCs w:val="32"/>
        </w:rPr>
        <w:t>地址一致)</w:t>
      </w:r>
      <w:r>
        <w:rPr>
          <w:rFonts w:hint="eastAsia" w:ascii="仿宋" w:hAnsi="仿宋" w:eastAsia="仿宋"/>
          <w:color w:val="auto"/>
          <w:sz w:val="32"/>
          <w:szCs w:val="32"/>
        </w:rPr>
        <w:t>三年以上（截止至</w:t>
      </w:r>
      <w:r>
        <w:rPr>
          <w:rFonts w:hint="eastAsia" w:ascii="仿宋" w:hAnsi="仿宋" w:eastAsia="仿宋"/>
          <w:bCs/>
          <w:color w:val="auto"/>
          <w:sz w:val="32"/>
          <w:szCs w:val="32"/>
        </w:rPr>
        <w:t>当年招生计划公布之日</w:t>
      </w:r>
      <w:r>
        <w:rPr>
          <w:rFonts w:hint="eastAsia" w:ascii="仿宋" w:hAnsi="仿宋" w:eastAsia="仿宋"/>
          <w:color w:val="auto"/>
          <w:sz w:val="32"/>
          <w:szCs w:val="32"/>
        </w:rPr>
        <w:t>），适龄儿童所居住房产为祖父母所有，父母或其他法定监护人和子女在本市无房产。</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符合“人户一致”条件的适龄儿童，根据区教育行政部门划定的招生范围，按适龄儿童户籍地对口公办小学安排入读。如对口公办小学学位不足，则根据适龄儿童满足“人户一致”条件的时间排序，按照顺序和公办小学的学位数安排入学，满足“人户一致”条件的时间相同</w:t>
      </w:r>
      <w:r>
        <w:rPr>
          <w:rFonts w:ascii="仿宋" w:hAnsi="仿宋" w:eastAsia="仿宋"/>
          <w:color w:val="auto"/>
          <w:sz w:val="32"/>
          <w:szCs w:val="32"/>
        </w:rPr>
        <w:t>的</w:t>
      </w:r>
      <w:r>
        <w:rPr>
          <w:rFonts w:hint="eastAsia" w:ascii="仿宋" w:hAnsi="仿宋" w:eastAsia="仿宋"/>
          <w:color w:val="auto"/>
          <w:sz w:val="32"/>
          <w:szCs w:val="32"/>
        </w:rPr>
        <w:t>，则</w:t>
      </w:r>
      <w:r>
        <w:rPr>
          <w:rFonts w:ascii="仿宋" w:hAnsi="仿宋" w:eastAsia="仿宋"/>
          <w:color w:val="auto"/>
          <w:sz w:val="32"/>
          <w:szCs w:val="32"/>
        </w:rPr>
        <w:t>通过电脑派位方式确定</w:t>
      </w:r>
      <w:r>
        <w:rPr>
          <w:rFonts w:hint="eastAsia" w:ascii="仿宋" w:hAnsi="仿宋" w:eastAsia="仿宋"/>
          <w:color w:val="auto"/>
          <w:sz w:val="32"/>
          <w:szCs w:val="32"/>
        </w:rPr>
        <w:t>，因排序靠后未能入读对口公办小学的，由区教育行政部门统筹安排区属公办学位（含政府购买的民办学校学位，下同）。</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（三）统筹</w:t>
      </w:r>
      <w:r>
        <w:rPr>
          <w:rFonts w:ascii="仿宋" w:hAnsi="仿宋" w:eastAsia="仿宋"/>
          <w:color w:val="auto"/>
          <w:sz w:val="32"/>
          <w:szCs w:val="32"/>
        </w:rPr>
        <w:t>入学。</w:t>
      </w:r>
      <w:r>
        <w:rPr>
          <w:rFonts w:hint="eastAsia" w:ascii="仿宋" w:hAnsi="仿宋" w:eastAsia="仿宋"/>
          <w:color w:val="auto"/>
          <w:sz w:val="32"/>
          <w:szCs w:val="32"/>
        </w:rPr>
        <w:t>以下情况由区教育行政部门予以</w:t>
      </w:r>
      <w:bookmarkStart w:id="0" w:name="OLE_LINK3"/>
      <w:r>
        <w:rPr>
          <w:rFonts w:hint="eastAsia" w:ascii="仿宋" w:hAnsi="仿宋" w:eastAsia="仿宋"/>
          <w:color w:val="auto"/>
          <w:sz w:val="32"/>
          <w:szCs w:val="32"/>
        </w:rPr>
        <w:t>统筹安排本行政</w:t>
      </w:r>
      <w:r>
        <w:rPr>
          <w:rFonts w:ascii="仿宋" w:hAnsi="仿宋" w:eastAsia="仿宋"/>
          <w:color w:val="auto"/>
          <w:sz w:val="32"/>
          <w:szCs w:val="32"/>
        </w:rPr>
        <w:t>区域</w:t>
      </w:r>
      <w:r>
        <w:rPr>
          <w:rFonts w:hint="eastAsia" w:ascii="仿宋" w:hAnsi="仿宋" w:eastAsia="仿宋"/>
          <w:color w:val="auto"/>
          <w:sz w:val="32"/>
          <w:szCs w:val="32"/>
        </w:rPr>
        <w:t>内公办学位</w:t>
      </w:r>
      <w:bookmarkEnd w:id="0"/>
      <w:r>
        <w:rPr>
          <w:rFonts w:hint="eastAsia" w:ascii="仿宋" w:hAnsi="仿宋" w:eastAsia="仿宋"/>
          <w:color w:val="auto"/>
          <w:sz w:val="32"/>
          <w:szCs w:val="32"/>
        </w:rPr>
        <w:t>：</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1.</w:t>
      </w:r>
      <w:bookmarkStart w:id="1" w:name="OLE_LINK1"/>
      <w:r>
        <w:rPr>
          <w:rFonts w:hint="eastAsia" w:ascii="仿宋" w:hAnsi="仿宋" w:eastAsia="仿宋"/>
          <w:color w:val="auto"/>
          <w:sz w:val="32"/>
          <w:szCs w:val="32"/>
        </w:rPr>
        <w:t xml:space="preserve"> 符合“人户一致”条件，</w:t>
      </w:r>
      <w:bookmarkEnd w:id="1"/>
      <w:r>
        <w:rPr>
          <w:rFonts w:hint="eastAsia" w:ascii="仿宋" w:hAnsi="仿宋" w:eastAsia="仿宋"/>
          <w:color w:val="auto"/>
          <w:sz w:val="32"/>
          <w:szCs w:val="32"/>
        </w:rPr>
        <w:t>但由于排序靠后而未能被对口小学录取的适龄儿童。</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2.符合“人户一致”条件，但其住宅单元已有适龄儿童在对口小学在读</w:t>
      </w:r>
      <w:r>
        <w:rPr>
          <w:rFonts w:ascii="仿宋" w:hAnsi="仿宋" w:eastAsia="仿宋"/>
          <w:color w:val="auto"/>
          <w:sz w:val="32"/>
          <w:szCs w:val="32"/>
        </w:rPr>
        <w:t>1-5年级的（同一家庭且符合计划生育政策所生育的子女除外）</w:t>
      </w:r>
      <w:r>
        <w:rPr>
          <w:rFonts w:hint="eastAsia" w:ascii="仿宋" w:hAnsi="仿宋" w:eastAsia="仿宋"/>
          <w:color w:val="auto"/>
          <w:sz w:val="32"/>
          <w:szCs w:val="32"/>
        </w:rPr>
        <w:t>。</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3.不符合“人户一致”条件的南沙区户籍适龄儿童。</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4</w:t>
      </w:r>
      <w:r>
        <w:rPr>
          <w:rFonts w:ascii="仿宋" w:hAnsi="仿宋" w:eastAsia="仿宋"/>
          <w:color w:val="auto"/>
          <w:sz w:val="32"/>
          <w:szCs w:val="32"/>
        </w:rPr>
        <w:t>.未在当年招生计划公布</w:t>
      </w:r>
      <w:r>
        <w:rPr>
          <w:rFonts w:hint="eastAsia" w:ascii="仿宋" w:hAnsi="仿宋" w:eastAsia="仿宋"/>
          <w:color w:val="auto"/>
          <w:sz w:val="32"/>
          <w:szCs w:val="32"/>
        </w:rPr>
        <w:t>日</w:t>
      </w:r>
      <w:r>
        <w:rPr>
          <w:rFonts w:ascii="仿宋" w:hAnsi="仿宋" w:eastAsia="仿宋"/>
          <w:color w:val="auto"/>
          <w:sz w:val="32"/>
          <w:szCs w:val="32"/>
        </w:rPr>
        <w:t>前办理入户的南沙区户籍适龄儿童</w:t>
      </w:r>
      <w:r>
        <w:rPr>
          <w:rFonts w:hint="eastAsia" w:ascii="仿宋" w:hAnsi="仿宋" w:eastAsia="仿宋"/>
          <w:color w:val="auto"/>
          <w:sz w:val="32"/>
          <w:szCs w:val="32"/>
        </w:rPr>
        <w:t>。</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5</w:t>
      </w:r>
      <w:r>
        <w:rPr>
          <w:rFonts w:ascii="仿宋" w:hAnsi="仿宋" w:eastAsia="仿宋"/>
          <w:color w:val="auto"/>
          <w:sz w:val="32"/>
          <w:szCs w:val="32"/>
        </w:rPr>
        <w:t>.具有南沙区户籍，在广州市无自有产权住房，以其在南沙区租赁房屋作为唯一居住地，持房屋所在地来穗中心办理的房屋租赁合同登记备案证明的承租人适龄子女</w:t>
      </w:r>
      <w:r>
        <w:rPr>
          <w:rFonts w:hint="eastAsia" w:ascii="仿宋" w:hAnsi="仿宋" w:eastAsia="仿宋"/>
          <w:color w:val="auto"/>
          <w:sz w:val="32"/>
          <w:szCs w:val="32"/>
        </w:rPr>
        <w:t>。</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6</w:t>
      </w:r>
      <w:r>
        <w:rPr>
          <w:rFonts w:ascii="仿宋" w:hAnsi="仿宋" w:eastAsia="仿宋"/>
          <w:color w:val="auto"/>
          <w:sz w:val="32"/>
          <w:szCs w:val="32"/>
        </w:rPr>
        <w:t>.</w:t>
      </w:r>
      <w:r>
        <w:rPr>
          <w:rFonts w:hint="eastAsia" w:ascii="仿宋" w:hAnsi="仿宋" w:eastAsia="仿宋"/>
          <w:color w:val="auto"/>
          <w:sz w:val="32"/>
          <w:szCs w:val="32"/>
        </w:rPr>
        <w:t>具有广州市非南沙区户籍，父母或其他法定监护人和适龄儿童在广州市户籍区无房产，且在南沙区拥有合法房产作为唯一实际居住地的适龄儿童。</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7</w:t>
      </w:r>
      <w:r>
        <w:rPr>
          <w:rFonts w:ascii="仿宋" w:hAnsi="仿宋" w:eastAsia="仿宋"/>
          <w:color w:val="auto"/>
          <w:sz w:val="32"/>
          <w:szCs w:val="32"/>
        </w:rPr>
        <w:t>.适龄儿童父母或其他法定监护人未在规定时间内（以市教育行政部门发布的日程安排为准，下同）登录“</w:t>
      </w:r>
      <w:r>
        <w:rPr>
          <w:rFonts w:hint="eastAsia" w:ascii="仿宋" w:hAnsi="仿宋" w:eastAsia="仿宋"/>
          <w:color w:val="auto"/>
          <w:sz w:val="32"/>
          <w:szCs w:val="32"/>
        </w:rPr>
        <w:t>广州市义务教育学校招生报名系统”填写报名信息的南沙区户籍适龄儿童。</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8</w:t>
      </w:r>
      <w:r>
        <w:rPr>
          <w:rFonts w:ascii="仿宋" w:hAnsi="仿宋" w:eastAsia="仿宋"/>
          <w:color w:val="auto"/>
          <w:sz w:val="32"/>
          <w:szCs w:val="32"/>
        </w:rPr>
        <w:t>.</w:t>
      </w:r>
      <w:r>
        <w:rPr>
          <w:rFonts w:hint="eastAsia" w:ascii="仿宋" w:hAnsi="仿宋" w:eastAsia="仿宋"/>
          <w:color w:val="auto"/>
          <w:sz w:val="32"/>
          <w:szCs w:val="32"/>
        </w:rPr>
        <w:t>具有南沙区户籍，超过</w:t>
      </w:r>
      <w:r>
        <w:rPr>
          <w:rFonts w:ascii="仿宋" w:hAnsi="仿宋" w:eastAsia="仿宋"/>
          <w:color w:val="auto"/>
          <w:sz w:val="32"/>
          <w:szCs w:val="32"/>
        </w:rPr>
        <w:t>7周岁（</w:t>
      </w:r>
      <w:r>
        <w:rPr>
          <w:rFonts w:hint="eastAsia" w:ascii="仿宋" w:hAnsi="仿宋" w:eastAsia="仿宋"/>
          <w:color w:val="auto"/>
          <w:sz w:val="32"/>
          <w:szCs w:val="32"/>
        </w:rPr>
        <w:t>含</w:t>
      </w:r>
      <w:r>
        <w:rPr>
          <w:rFonts w:ascii="仿宋" w:hAnsi="仿宋" w:eastAsia="仿宋"/>
          <w:color w:val="auto"/>
          <w:sz w:val="32"/>
          <w:szCs w:val="32"/>
        </w:rPr>
        <w:t>7周岁）</w:t>
      </w:r>
      <w:r>
        <w:rPr>
          <w:rFonts w:hint="eastAsia" w:ascii="仿宋" w:hAnsi="仿宋" w:eastAsia="仿宋"/>
          <w:color w:val="auto"/>
          <w:sz w:val="32"/>
          <w:szCs w:val="32"/>
        </w:rPr>
        <w:t>申请</w:t>
      </w:r>
      <w:r>
        <w:rPr>
          <w:rFonts w:ascii="仿宋" w:hAnsi="仿宋" w:eastAsia="仿宋"/>
          <w:color w:val="auto"/>
          <w:sz w:val="32"/>
          <w:szCs w:val="32"/>
        </w:rPr>
        <w:t>入学且未</w:t>
      </w:r>
      <w:r>
        <w:rPr>
          <w:rFonts w:hint="eastAsia" w:ascii="仿宋" w:hAnsi="仿宋" w:eastAsia="仿宋"/>
          <w:color w:val="auto"/>
          <w:sz w:val="32"/>
          <w:szCs w:val="32"/>
        </w:rPr>
        <w:t>依规</w:t>
      </w:r>
      <w:r>
        <w:rPr>
          <w:rFonts w:ascii="仿宋" w:hAnsi="仿宋" w:eastAsia="仿宋"/>
          <w:color w:val="auto"/>
          <w:sz w:val="32"/>
          <w:szCs w:val="32"/>
        </w:rPr>
        <w:t>办理延缓入学手续的儿童。</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9</w:t>
      </w:r>
      <w:r>
        <w:rPr>
          <w:rFonts w:ascii="仿宋" w:hAnsi="仿宋" w:eastAsia="仿宋"/>
          <w:color w:val="auto"/>
          <w:sz w:val="32"/>
          <w:szCs w:val="32"/>
        </w:rPr>
        <w:t>.</w:t>
      </w:r>
      <w:r>
        <w:rPr>
          <w:rFonts w:hint="eastAsia" w:ascii="仿宋" w:hAnsi="仿宋" w:eastAsia="仿宋"/>
          <w:color w:val="auto"/>
          <w:sz w:val="32"/>
          <w:szCs w:val="32"/>
        </w:rPr>
        <w:t>来穗人员在南沙区连续居住满</w:t>
      </w:r>
      <w:r>
        <w:rPr>
          <w:rFonts w:ascii="仿宋" w:hAnsi="仿宋" w:eastAsia="仿宋"/>
          <w:color w:val="auto"/>
          <w:sz w:val="32"/>
          <w:szCs w:val="32"/>
        </w:rPr>
        <w:t>5年，并在广州市依法连续缴纳社会保险费（其中一个险种）满5</w:t>
      </w:r>
      <w:r>
        <w:rPr>
          <w:rFonts w:hint="eastAsia" w:ascii="仿宋" w:hAnsi="仿宋" w:eastAsia="仿宋"/>
          <w:color w:val="auto"/>
          <w:sz w:val="32"/>
          <w:szCs w:val="32"/>
        </w:rPr>
        <w:t>年、有稳定职业、符合计划生育政策条件的随迁子女，</w:t>
      </w:r>
      <w:r>
        <w:rPr>
          <w:rFonts w:ascii="仿宋" w:hAnsi="仿宋" w:eastAsia="仿宋"/>
          <w:color w:val="auto"/>
          <w:sz w:val="32"/>
          <w:szCs w:val="32"/>
        </w:rPr>
        <w:t>由区教育行政部门</w:t>
      </w:r>
      <w:r>
        <w:rPr>
          <w:rFonts w:hint="eastAsia" w:ascii="仿宋" w:hAnsi="仿宋" w:eastAsia="仿宋"/>
          <w:color w:val="auto"/>
          <w:sz w:val="32"/>
          <w:szCs w:val="32"/>
        </w:rPr>
        <w:t>统筹</w:t>
      </w:r>
      <w:r>
        <w:rPr>
          <w:rFonts w:ascii="仿宋" w:hAnsi="仿宋" w:eastAsia="仿宋"/>
          <w:color w:val="auto"/>
          <w:sz w:val="32"/>
          <w:szCs w:val="32"/>
        </w:rPr>
        <w:t>安排学位，</w:t>
      </w:r>
      <w:r>
        <w:rPr>
          <w:rFonts w:hint="eastAsia" w:ascii="仿宋" w:hAnsi="仿宋" w:eastAsia="仿宋"/>
          <w:color w:val="auto"/>
          <w:sz w:val="32"/>
          <w:szCs w:val="32"/>
        </w:rPr>
        <w:t>具体按照</w:t>
      </w:r>
      <w:r>
        <w:rPr>
          <w:rFonts w:ascii="仿宋" w:hAnsi="仿宋" w:eastAsia="仿宋"/>
          <w:color w:val="auto"/>
          <w:sz w:val="32"/>
          <w:szCs w:val="32"/>
        </w:rPr>
        <w:t>来穗人员随迁子女接受义务教育</w:t>
      </w:r>
      <w:r>
        <w:rPr>
          <w:rFonts w:hint="eastAsia" w:ascii="仿宋" w:hAnsi="仿宋" w:eastAsia="仿宋"/>
          <w:color w:val="auto"/>
          <w:sz w:val="32"/>
          <w:szCs w:val="32"/>
        </w:rPr>
        <w:t>有关</w:t>
      </w:r>
      <w:r>
        <w:rPr>
          <w:rFonts w:ascii="仿宋" w:hAnsi="仿宋" w:eastAsia="仿宋"/>
          <w:color w:val="auto"/>
          <w:sz w:val="32"/>
          <w:szCs w:val="32"/>
        </w:rPr>
        <w:t>规定执行</w:t>
      </w:r>
      <w:r>
        <w:rPr>
          <w:rFonts w:hint="eastAsia" w:ascii="仿宋" w:hAnsi="仿宋" w:eastAsia="仿宋"/>
          <w:color w:val="auto"/>
          <w:sz w:val="32"/>
          <w:szCs w:val="32"/>
        </w:rPr>
        <w:t>。</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（四）以上招生地段所涉住宅单元应为住宅性质，不含公寓、商铺、车库等。</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（五）具有</w:t>
      </w:r>
      <w:r>
        <w:rPr>
          <w:rFonts w:ascii="仿宋" w:hAnsi="仿宋" w:eastAsia="仿宋"/>
          <w:color w:val="auto"/>
          <w:sz w:val="32"/>
          <w:szCs w:val="32"/>
        </w:rPr>
        <w:t>南沙区户籍学生</w:t>
      </w:r>
      <w:r>
        <w:rPr>
          <w:rFonts w:hint="eastAsia" w:ascii="仿宋" w:hAnsi="仿宋" w:eastAsia="仿宋"/>
          <w:color w:val="auto"/>
          <w:sz w:val="32"/>
          <w:szCs w:val="32"/>
        </w:rPr>
        <w:t>申请</w:t>
      </w:r>
      <w:r>
        <w:rPr>
          <w:rFonts w:ascii="仿宋" w:hAnsi="仿宋" w:eastAsia="仿宋"/>
          <w:color w:val="auto"/>
          <w:sz w:val="32"/>
          <w:szCs w:val="32"/>
        </w:rPr>
        <w:t>入读</w:t>
      </w:r>
      <w:r>
        <w:rPr>
          <w:rFonts w:hint="eastAsia" w:ascii="仿宋" w:hAnsi="仿宋" w:eastAsia="仿宋"/>
          <w:color w:val="auto"/>
          <w:sz w:val="32"/>
          <w:szCs w:val="32"/>
        </w:rPr>
        <w:t>南沙</w:t>
      </w:r>
      <w:r>
        <w:rPr>
          <w:rFonts w:ascii="仿宋" w:hAnsi="仿宋" w:eastAsia="仿宋"/>
          <w:color w:val="auto"/>
          <w:sz w:val="32"/>
          <w:szCs w:val="32"/>
        </w:rPr>
        <w:t>区公办</w:t>
      </w:r>
      <w:r>
        <w:rPr>
          <w:rFonts w:hint="eastAsia" w:ascii="仿宋" w:hAnsi="仿宋" w:eastAsia="仿宋"/>
          <w:color w:val="auto"/>
          <w:sz w:val="32"/>
          <w:szCs w:val="32"/>
        </w:rPr>
        <w:t>小学</w:t>
      </w:r>
      <w:r>
        <w:rPr>
          <w:rFonts w:ascii="仿宋" w:hAnsi="仿宋" w:eastAsia="仿宋"/>
          <w:color w:val="auto"/>
          <w:sz w:val="32"/>
          <w:szCs w:val="32"/>
        </w:rPr>
        <w:t>非</w:t>
      </w:r>
      <w:r>
        <w:rPr>
          <w:rFonts w:hint="eastAsia" w:ascii="仿宋" w:hAnsi="仿宋" w:eastAsia="仿宋"/>
          <w:color w:val="auto"/>
          <w:sz w:val="32"/>
          <w:szCs w:val="32"/>
        </w:rPr>
        <w:t>起始年级</w:t>
      </w:r>
      <w:r>
        <w:rPr>
          <w:rFonts w:ascii="仿宋" w:hAnsi="仿宋" w:eastAsia="仿宋"/>
          <w:color w:val="auto"/>
          <w:sz w:val="32"/>
          <w:szCs w:val="32"/>
        </w:rPr>
        <w:t>的，由区教育行政部门统筹安排</w:t>
      </w:r>
      <w:r>
        <w:rPr>
          <w:rFonts w:hint="eastAsia" w:ascii="仿宋" w:hAnsi="仿宋" w:eastAsia="仿宋"/>
          <w:color w:val="auto"/>
          <w:sz w:val="32"/>
          <w:szCs w:val="32"/>
        </w:rPr>
        <w:t>学位</w:t>
      </w:r>
      <w:r>
        <w:rPr>
          <w:rFonts w:ascii="仿宋" w:hAnsi="仿宋" w:eastAsia="仿宋"/>
          <w:color w:val="auto"/>
          <w:sz w:val="32"/>
          <w:szCs w:val="32"/>
        </w:rPr>
        <w:t>。</w:t>
      </w:r>
    </w:p>
    <w:p>
      <w:pPr>
        <w:snapToGrid w:val="0"/>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（六）具有广州市非南沙区户籍的适龄儿童，原则上回户籍所在区接受义务教育。</w:t>
      </w:r>
    </w:p>
    <w:p>
      <w:pPr>
        <w:snapToGrid w:val="0"/>
        <w:spacing w:line="360" w:lineRule="auto"/>
        <w:ind w:firstLine="640" w:firstLineChars="200"/>
        <w:rPr>
          <w:rFonts w:hint="eastAsia" w:ascii="仿宋" w:hAnsi="仿宋" w:eastAsia="仿宋"/>
          <w:color w:val="auto"/>
          <w:sz w:val="32"/>
          <w:szCs w:val="32"/>
        </w:rPr>
      </w:pPr>
    </w:p>
    <w:p>
      <w:pPr>
        <w:snapToGrid w:val="0"/>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第五条  公办初中部分</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（一）具有南沙区户籍的应届小学毕业生（含外区、外市返区生）按照区教育行政部门划定的招生范围对口直升公办初中学校。</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（二）以下情况由</w:t>
      </w:r>
      <w:r>
        <w:rPr>
          <w:rFonts w:ascii="仿宋" w:hAnsi="仿宋" w:eastAsia="仿宋"/>
          <w:color w:val="auto"/>
          <w:sz w:val="32"/>
          <w:szCs w:val="32"/>
        </w:rPr>
        <w:t>区教育行政部门</w:t>
      </w:r>
      <w:r>
        <w:rPr>
          <w:rFonts w:hint="eastAsia" w:ascii="仿宋" w:hAnsi="仿宋" w:eastAsia="仿宋"/>
          <w:color w:val="auto"/>
          <w:sz w:val="32"/>
          <w:szCs w:val="32"/>
        </w:rPr>
        <w:t>予以统筹安排区属公办学位：</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1.如对口公办初中学校学位不足，则根据适龄少年满足“人户一致”条件的时间排序，按照顺序和公办初中学校的学位数安排入学，因排序靠后未能入读对口公办初中学校的适龄</w:t>
      </w:r>
      <w:r>
        <w:rPr>
          <w:rFonts w:ascii="仿宋" w:hAnsi="仿宋" w:eastAsia="仿宋"/>
          <w:color w:val="auto"/>
          <w:sz w:val="32"/>
          <w:szCs w:val="32"/>
        </w:rPr>
        <w:t>少年。</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2.住宅单元已有适龄少年在对口初中学校在读7-8年级的（同一家庭且符合计划生育政策所生育的子女除外）。</w:t>
      </w:r>
    </w:p>
    <w:p>
      <w:pPr>
        <w:snapToGrid w:val="0"/>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3.</w:t>
      </w:r>
      <w:r>
        <w:rPr>
          <w:rFonts w:hint="eastAsia" w:ascii="仿宋" w:hAnsi="仿宋" w:eastAsia="仿宋"/>
          <w:color w:val="auto"/>
          <w:sz w:val="32"/>
          <w:szCs w:val="32"/>
        </w:rPr>
        <w:t>未在规定时间内办理入学报名手续的适龄少年。</w:t>
      </w:r>
    </w:p>
    <w:p>
      <w:pPr>
        <w:snapToGrid w:val="0"/>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4.具有广州市非南沙区户籍</w:t>
      </w:r>
      <w:r>
        <w:rPr>
          <w:rFonts w:hint="eastAsia" w:ascii="仿宋" w:hAnsi="仿宋" w:eastAsia="仿宋"/>
          <w:color w:val="auto"/>
          <w:sz w:val="32"/>
          <w:szCs w:val="32"/>
        </w:rPr>
        <w:t>、父母或其他法定监护人和适龄少年在户籍区无房产，在南沙区拥有合法房产作为唯一实际居住地</w:t>
      </w:r>
      <w:r>
        <w:rPr>
          <w:rFonts w:ascii="仿宋" w:hAnsi="仿宋" w:eastAsia="仿宋"/>
          <w:color w:val="auto"/>
          <w:sz w:val="32"/>
          <w:szCs w:val="32"/>
        </w:rPr>
        <w:t>且具有南沙区学籍的</w:t>
      </w:r>
      <w:r>
        <w:rPr>
          <w:rFonts w:hint="eastAsia" w:ascii="仿宋" w:hAnsi="仿宋" w:eastAsia="仿宋"/>
          <w:color w:val="auto"/>
          <w:sz w:val="32"/>
          <w:szCs w:val="32"/>
        </w:rPr>
        <w:t>公办小学毕业生。</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5.来穗人员在南沙区连续居住满</w:t>
      </w:r>
      <w:r>
        <w:rPr>
          <w:rFonts w:ascii="仿宋" w:hAnsi="仿宋" w:eastAsia="仿宋"/>
          <w:color w:val="auto"/>
          <w:sz w:val="32"/>
          <w:szCs w:val="32"/>
        </w:rPr>
        <w:t>5年，并在广州市依法连续缴纳社会保险费（其中一个险种）满5</w:t>
      </w:r>
      <w:r>
        <w:rPr>
          <w:rFonts w:hint="eastAsia" w:ascii="仿宋" w:hAnsi="仿宋" w:eastAsia="仿宋"/>
          <w:color w:val="auto"/>
          <w:sz w:val="32"/>
          <w:szCs w:val="32"/>
        </w:rPr>
        <w:t>年、有稳定职业、符合计划生育政策条件的随迁子女，</w:t>
      </w:r>
      <w:r>
        <w:rPr>
          <w:rFonts w:ascii="仿宋" w:hAnsi="仿宋" w:eastAsia="仿宋"/>
          <w:color w:val="auto"/>
          <w:sz w:val="32"/>
          <w:szCs w:val="32"/>
        </w:rPr>
        <w:t>由区教育</w:t>
      </w:r>
      <w:r>
        <w:rPr>
          <w:rFonts w:hint="eastAsia" w:ascii="仿宋" w:hAnsi="仿宋" w:eastAsia="仿宋"/>
          <w:color w:val="auto"/>
          <w:sz w:val="32"/>
          <w:szCs w:val="32"/>
        </w:rPr>
        <w:t>行政</w:t>
      </w:r>
      <w:r>
        <w:rPr>
          <w:rFonts w:ascii="仿宋" w:hAnsi="仿宋" w:eastAsia="仿宋"/>
          <w:color w:val="auto"/>
          <w:sz w:val="32"/>
          <w:szCs w:val="32"/>
        </w:rPr>
        <w:t>部门</w:t>
      </w:r>
      <w:r>
        <w:rPr>
          <w:rFonts w:hint="eastAsia" w:ascii="仿宋" w:hAnsi="仿宋" w:eastAsia="仿宋"/>
          <w:color w:val="auto"/>
          <w:sz w:val="32"/>
          <w:szCs w:val="32"/>
        </w:rPr>
        <w:t>统筹</w:t>
      </w:r>
      <w:r>
        <w:rPr>
          <w:rFonts w:ascii="仿宋" w:hAnsi="仿宋" w:eastAsia="仿宋"/>
          <w:color w:val="auto"/>
          <w:sz w:val="32"/>
          <w:szCs w:val="32"/>
        </w:rPr>
        <w:t>安排学位，</w:t>
      </w:r>
      <w:r>
        <w:rPr>
          <w:rFonts w:hint="eastAsia" w:ascii="仿宋" w:hAnsi="仿宋" w:eastAsia="仿宋"/>
          <w:color w:val="auto"/>
          <w:sz w:val="32"/>
          <w:szCs w:val="32"/>
        </w:rPr>
        <w:t>具体按照</w:t>
      </w:r>
      <w:r>
        <w:rPr>
          <w:rFonts w:ascii="仿宋" w:hAnsi="仿宋" w:eastAsia="仿宋"/>
          <w:color w:val="auto"/>
          <w:sz w:val="32"/>
          <w:szCs w:val="32"/>
        </w:rPr>
        <w:t>来穗人员随迁子女接受义务教育</w:t>
      </w:r>
      <w:r>
        <w:rPr>
          <w:rFonts w:hint="eastAsia" w:ascii="仿宋" w:hAnsi="仿宋" w:eastAsia="仿宋"/>
          <w:color w:val="auto"/>
          <w:sz w:val="32"/>
          <w:szCs w:val="32"/>
        </w:rPr>
        <w:t>有关</w:t>
      </w:r>
      <w:r>
        <w:rPr>
          <w:rFonts w:ascii="仿宋" w:hAnsi="仿宋" w:eastAsia="仿宋"/>
          <w:color w:val="auto"/>
          <w:sz w:val="32"/>
          <w:szCs w:val="32"/>
        </w:rPr>
        <w:t>规定执行</w:t>
      </w:r>
      <w:r>
        <w:rPr>
          <w:rFonts w:hint="eastAsia" w:ascii="仿宋" w:hAnsi="仿宋" w:eastAsia="仿宋"/>
          <w:color w:val="auto"/>
          <w:sz w:val="32"/>
          <w:szCs w:val="32"/>
        </w:rPr>
        <w:t>。</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（三）以上招生地段所涉住宅单元应为住宅性质，不含公寓、商铺、车库等。</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（四）具有</w:t>
      </w:r>
      <w:r>
        <w:rPr>
          <w:rFonts w:ascii="仿宋" w:hAnsi="仿宋" w:eastAsia="仿宋"/>
          <w:color w:val="auto"/>
          <w:sz w:val="32"/>
          <w:szCs w:val="32"/>
        </w:rPr>
        <w:t>南沙区户籍学生</w:t>
      </w:r>
      <w:r>
        <w:rPr>
          <w:rFonts w:hint="eastAsia" w:ascii="仿宋" w:hAnsi="仿宋" w:eastAsia="仿宋"/>
          <w:color w:val="auto"/>
          <w:sz w:val="32"/>
          <w:szCs w:val="32"/>
        </w:rPr>
        <w:t>申请</w:t>
      </w:r>
      <w:r>
        <w:rPr>
          <w:rFonts w:ascii="仿宋" w:hAnsi="仿宋" w:eastAsia="仿宋"/>
          <w:color w:val="auto"/>
          <w:sz w:val="32"/>
          <w:szCs w:val="32"/>
        </w:rPr>
        <w:t>入读</w:t>
      </w:r>
      <w:r>
        <w:rPr>
          <w:rFonts w:hint="eastAsia" w:ascii="仿宋" w:hAnsi="仿宋" w:eastAsia="仿宋"/>
          <w:color w:val="auto"/>
          <w:sz w:val="32"/>
          <w:szCs w:val="32"/>
        </w:rPr>
        <w:t>南沙</w:t>
      </w:r>
      <w:r>
        <w:rPr>
          <w:rFonts w:ascii="仿宋" w:hAnsi="仿宋" w:eastAsia="仿宋"/>
          <w:color w:val="auto"/>
          <w:sz w:val="32"/>
          <w:szCs w:val="32"/>
        </w:rPr>
        <w:t>区公办</w:t>
      </w:r>
      <w:r>
        <w:rPr>
          <w:rFonts w:hint="eastAsia" w:ascii="仿宋" w:hAnsi="仿宋" w:eastAsia="仿宋"/>
          <w:color w:val="auto"/>
          <w:sz w:val="32"/>
          <w:szCs w:val="32"/>
        </w:rPr>
        <w:t>初中</w:t>
      </w:r>
      <w:r>
        <w:rPr>
          <w:rFonts w:ascii="仿宋" w:hAnsi="仿宋" w:eastAsia="仿宋"/>
          <w:color w:val="auto"/>
          <w:sz w:val="32"/>
          <w:szCs w:val="32"/>
        </w:rPr>
        <w:t>非</w:t>
      </w:r>
      <w:r>
        <w:rPr>
          <w:rFonts w:hint="eastAsia" w:ascii="仿宋" w:hAnsi="仿宋" w:eastAsia="仿宋"/>
          <w:color w:val="auto"/>
          <w:sz w:val="32"/>
          <w:szCs w:val="32"/>
        </w:rPr>
        <w:t>起始年级</w:t>
      </w:r>
      <w:r>
        <w:rPr>
          <w:rFonts w:ascii="仿宋" w:hAnsi="仿宋" w:eastAsia="仿宋"/>
          <w:color w:val="auto"/>
          <w:sz w:val="32"/>
          <w:szCs w:val="32"/>
        </w:rPr>
        <w:t>的，由区教育行政部门统筹安排</w:t>
      </w:r>
      <w:r>
        <w:rPr>
          <w:rFonts w:hint="eastAsia" w:ascii="仿宋" w:hAnsi="仿宋" w:eastAsia="仿宋"/>
          <w:color w:val="auto"/>
          <w:sz w:val="32"/>
          <w:szCs w:val="32"/>
        </w:rPr>
        <w:t>学位</w:t>
      </w:r>
      <w:r>
        <w:rPr>
          <w:rFonts w:ascii="仿宋" w:hAnsi="仿宋" w:eastAsia="仿宋"/>
          <w:color w:val="auto"/>
          <w:sz w:val="32"/>
          <w:szCs w:val="32"/>
        </w:rPr>
        <w:t>。</w:t>
      </w:r>
    </w:p>
    <w:p>
      <w:pPr>
        <w:snapToGrid w:val="0"/>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（五）具有广州市非南沙区户籍的适龄少年，原则上回户籍所在区接受义务教育。</w:t>
      </w:r>
    </w:p>
    <w:p>
      <w:pPr>
        <w:snapToGrid w:val="0"/>
        <w:spacing w:line="360" w:lineRule="auto"/>
        <w:ind w:firstLine="640" w:firstLineChars="200"/>
        <w:rPr>
          <w:rFonts w:hint="eastAsia" w:ascii="仿宋" w:hAnsi="仿宋" w:eastAsia="仿宋"/>
          <w:color w:val="auto"/>
          <w:sz w:val="32"/>
          <w:szCs w:val="32"/>
        </w:rPr>
      </w:pPr>
    </w:p>
    <w:p>
      <w:pPr>
        <w:numPr>
          <w:ilvl w:val="0"/>
          <w:numId w:val="2"/>
        </w:numPr>
        <w:snapToGrid w:val="0"/>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民办学校部分</w:t>
      </w:r>
    </w:p>
    <w:p>
      <w:pPr>
        <w:widowControl/>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一）民办义务教育学校要严格遵守义务教育免试入学规定。民办义务教育学校（含市教育行政部门审批的民办学校，下同）原则上不得跨区招生，其面向南沙区的招生计划由区教育行政部门直接核定。属地区生源的界定依据为：穗籍学生，以其户籍，或其小学毕业学籍界定属地区；非穗籍学生，以其本人或父母（或其他法定监护人）其中一方的《广东省居住证》（或具同等功能和效力的其他有效证件）地址，或其小学毕业学籍界定属地区。</w:t>
      </w:r>
    </w:p>
    <w:p>
      <w:pPr>
        <w:snapToGrid w:val="0"/>
        <w:spacing w:line="360" w:lineRule="auto"/>
        <w:ind w:firstLine="480" w:firstLineChars="150"/>
        <w:rPr>
          <w:rFonts w:ascii="仿宋" w:hAnsi="仿宋" w:eastAsia="仿宋"/>
          <w:color w:val="auto"/>
          <w:sz w:val="32"/>
          <w:szCs w:val="32"/>
        </w:rPr>
      </w:pPr>
      <w:r>
        <w:rPr>
          <w:rFonts w:hint="eastAsia" w:ascii="仿宋" w:hAnsi="仿宋" w:eastAsia="仿宋"/>
          <w:color w:val="auto"/>
          <w:sz w:val="32"/>
          <w:szCs w:val="32"/>
        </w:rPr>
        <w:t>（二）有寄宿条件且确有跨区招生需求的民办学校，其跨区招生计划先报区教育行政部门初核；区教育行政部门根据学校近年生源分布、宿位数等情况，并结合本</w:t>
      </w:r>
      <w:r>
        <w:rPr>
          <w:rFonts w:ascii="仿宋" w:hAnsi="仿宋" w:eastAsia="仿宋"/>
          <w:color w:val="auto"/>
          <w:sz w:val="32"/>
          <w:szCs w:val="32"/>
        </w:rPr>
        <w:t>行政</w:t>
      </w:r>
      <w:r>
        <w:rPr>
          <w:rFonts w:hint="eastAsia" w:ascii="仿宋" w:hAnsi="仿宋" w:eastAsia="仿宋"/>
          <w:color w:val="auto"/>
          <w:sz w:val="32"/>
          <w:szCs w:val="32"/>
        </w:rPr>
        <w:t>区域内学位供求情况等研判及初步核定学校的跨区招生计划后，报市教育行政部门核准。各校跨区招生计划不超过总计划的</w:t>
      </w:r>
      <w:r>
        <w:rPr>
          <w:rFonts w:ascii="仿宋" w:hAnsi="仿宋" w:eastAsia="仿宋"/>
          <w:color w:val="auto"/>
          <w:sz w:val="32"/>
          <w:szCs w:val="32"/>
        </w:rPr>
        <w:t>50%</w:t>
      </w:r>
      <w:r>
        <w:rPr>
          <w:rFonts w:hint="eastAsia" w:ascii="仿宋" w:hAnsi="仿宋" w:eastAsia="仿宋"/>
          <w:color w:val="auto"/>
          <w:sz w:val="32"/>
          <w:szCs w:val="32"/>
        </w:rPr>
        <w:t>，面向市内外区招生。</w:t>
      </w:r>
    </w:p>
    <w:p>
      <w:pPr>
        <w:snapToGrid w:val="0"/>
        <w:spacing w:line="360" w:lineRule="auto"/>
        <w:ind w:firstLine="480" w:firstLineChars="150"/>
        <w:rPr>
          <w:rFonts w:hint="eastAsia" w:ascii="仿宋" w:hAnsi="仿宋" w:eastAsia="仿宋"/>
          <w:color w:val="auto"/>
          <w:sz w:val="32"/>
          <w:szCs w:val="32"/>
        </w:rPr>
      </w:pPr>
      <w:r>
        <w:rPr>
          <w:rFonts w:hint="eastAsia" w:ascii="仿宋" w:hAnsi="仿宋" w:eastAsia="仿宋"/>
          <w:color w:val="auto"/>
          <w:sz w:val="32"/>
          <w:szCs w:val="32"/>
        </w:rPr>
        <w:t>（三）九年制民办学校（小学、初中为同一办学许可证或在同一用地红线范围内的学校）初中招生时，应首先通过直升或电脑派位方式招收本校自愿报读初中的小学毕业生；剩余的招生计划应公开报名。</w:t>
      </w:r>
    </w:p>
    <w:p>
      <w:pPr>
        <w:snapToGrid w:val="0"/>
        <w:spacing w:line="360" w:lineRule="auto"/>
        <w:ind w:firstLine="480" w:firstLineChars="150"/>
        <w:rPr>
          <w:rFonts w:hint="eastAsia" w:ascii="仿宋" w:hAnsi="仿宋" w:eastAsia="仿宋"/>
          <w:color w:val="auto"/>
          <w:sz w:val="32"/>
          <w:szCs w:val="32"/>
        </w:rPr>
      </w:pPr>
    </w:p>
    <w:p>
      <w:pPr>
        <w:snapToGrid w:val="0"/>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第七条  照顾性</w:t>
      </w:r>
      <w:r>
        <w:rPr>
          <w:rFonts w:ascii="黑体" w:hAnsi="黑体" w:eastAsia="黑体"/>
          <w:color w:val="auto"/>
          <w:sz w:val="32"/>
          <w:szCs w:val="32"/>
        </w:rPr>
        <w:t>适龄儿童少年</w:t>
      </w:r>
      <w:r>
        <w:rPr>
          <w:rFonts w:hint="eastAsia" w:ascii="黑体" w:hAnsi="黑体" w:eastAsia="黑体"/>
          <w:color w:val="auto"/>
          <w:sz w:val="32"/>
          <w:szCs w:val="32"/>
        </w:rPr>
        <w:t>入学</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（一）政策</w:t>
      </w:r>
      <w:r>
        <w:rPr>
          <w:rFonts w:ascii="仿宋" w:hAnsi="仿宋" w:eastAsia="仿宋"/>
          <w:color w:val="auto"/>
          <w:sz w:val="32"/>
          <w:szCs w:val="32"/>
        </w:rPr>
        <w:t>性照顾</w:t>
      </w:r>
      <w:r>
        <w:rPr>
          <w:rFonts w:hint="eastAsia" w:ascii="仿宋" w:hAnsi="仿宋" w:eastAsia="仿宋"/>
          <w:color w:val="auto"/>
          <w:sz w:val="32"/>
          <w:szCs w:val="32"/>
        </w:rPr>
        <w:t>学生</w:t>
      </w:r>
      <w:r>
        <w:rPr>
          <w:rFonts w:ascii="仿宋" w:hAnsi="仿宋" w:eastAsia="仿宋"/>
          <w:color w:val="auto"/>
          <w:sz w:val="32"/>
          <w:szCs w:val="32"/>
        </w:rPr>
        <w:t>的</w:t>
      </w:r>
      <w:r>
        <w:rPr>
          <w:rFonts w:hint="eastAsia" w:ascii="仿宋" w:hAnsi="仿宋" w:eastAsia="仿宋"/>
          <w:color w:val="auto"/>
          <w:sz w:val="32"/>
          <w:szCs w:val="32"/>
        </w:rPr>
        <w:t>审核</w:t>
      </w:r>
      <w:r>
        <w:rPr>
          <w:rFonts w:ascii="仿宋" w:hAnsi="仿宋" w:eastAsia="仿宋"/>
          <w:color w:val="auto"/>
          <w:sz w:val="32"/>
          <w:szCs w:val="32"/>
        </w:rPr>
        <w:t>严格执行国家、省、市的有关规定。</w:t>
      </w:r>
      <w:r>
        <w:rPr>
          <w:rFonts w:hint="eastAsia" w:ascii="仿宋" w:hAnsi="仿宋" w:eastAsia="仿宋"/>
          <w:color w:val="auto"/>
          <w:sz w:val="32"/>
          <w:szCs w:val="32"/>
        </w:rPr>
        <w:t>政策</w:t>
      </w:r>
      <w:r>
        <w:rPr>
          <w:rFonts w:ascii="仿宋" w:hAnsi="仿宋" w:eastAsia="仿宋"/>
          <w:color w:val="auto"/>
          <w:sz w:val="32"/>
          <w:szCs w:val="32"/>
        </w:rPr>
        <w:t>性</w:t>
      </w:r>
      <w:r>
        <w:rPr>
          <w:rFonts w:hint="eastAsia" w:ascii="仿宋" w:hAnsi="仿宋" w:eastAsia="仿宋"/>
          <w:color w:val="auto"/>
          <w:sz w:val="32"/>
          <w:szCs w:val="32"/>
        </w:rPr>
        <w:t>照顾学生</w:t>
      </w:r>
      <w:r>
        <w:rPr>
          <w:rFonts w:ascii="仿宋" w:hAnsi="仿宋" w:eastAsia="仿宋"/>
          <w:color w:val="auto"/>
          <w:sz w:val="32"/>
          <w:szCs w:val="32"/>
        </w:rPr>
        <w:t>由区教育行政部门</w:t>
      </w:r>
      <w:r>
        <w:rPr>
          <w:rFonts w:hint="eastAsia" w:ascii="仿宋" w:hAnsi="仿宋" w:eastAsia="仿宋"/>
          <w:color w:val="auto"/>
          <w:sz w:val="32"/>
          <w:szCs w:val="32"/>
        </w:rPr>
        <w:t>按免试</w:t>
      </w:r>
      <w:r>
        <w:rPr>
          <w:rFonts w:ascii="仿宋" w:hAnsi="仿宋" w:eastAsia="仿宋"/>
          <w:color w:val="auto"/>
          <w:sz w:val="32"/>
          <w:szCs w:val="32"/>
        </w:rPr>
        <w:t>就近入学原则安排公办</w:t>
      </w:r>
      <w:r>
        <w:rPr>
          <w:rFonts w:hint="eastAsia" w:ascii="仿宋" w:hAnsi="仿宋" w:eastAsia="仿宋"/>
          <w:color w:val="auto"/>
          <w:sz w:val="32"/>
          <w:szCs w:val="32"/>
        </w:rPr>
        <w:t>学位就读</w:t>
      </w:r>
      <w:r>
        <w:rPr>
          <w:rFonts w:ascii="仿宋" w:hAnsi="仿宋" w:eastAsia="仿宋"/>
          <w:color w:val="auto"/>
          <w:sz w:val="32"/>
          <w:szCs w:val="32"/>
        </w:rPr>
        <w:t>。</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（二）做好符合“租购同权”相关条件的承租人子女接受义务教育工作。对于具有本市</w:t>
      </w:r>
      <w:r>
        <w:rPr>
          <w:rFonts w:ascii="仿宋" w:hAnsi="仿宋" w:eastAsia="仿宋"/>
          <w:color w:val="auto"/>
          <w:sz w:val="32"/>
          <w:szCs w:val="32"/>
        </w:rPr>
        <w:t>户籍</w:t>
      </w:r>
      <w:r>
        <w:rPr>
          <w:rFonts w:hint="eastAsia" w:ascii="仿宋" w:hAnsi="仿宋" w:eastAsia="仿宋"/>
          <w:color w:val="auto"/>
          <w:sz w:val="32"/>
          <w:szCs w:val="32"/>
        </w:rPr>
        <w:t>适龄</w:t>
      </w:r>
      <w:r>
        <w:rPr>
          <w:rFonts w:ascii="仿宋" w:hAnsi="仿宋" w:eastAsia="仿宋"/>
          <w:color w:val="auto"/>
          <w:sz w:val="32"/>
          <w:szCs w:val="32"/>
        </w:rPr>
        <w:t>儿童</w:t>
      </w:r>
      <w:r>
        <w:rPr>
          <w:rFonts w:hint="eastAsia" w:ascii="仿宋" w:hAnsi="仿宋" w:eastAsia="仿宋"/>
          <w:color w:val="auto"/>
          <w:sz w:val="32"/>
          <w:szCs w:val="32"/>
        </w:rPr>
        <w:t>少年（含</w:t>
      </w:r>
      <w:r>
        <w:rPr>
          <w:rFonts w:ascii="仿宋" w:hAnsi="仿宋" w:eastAsia="仿宋"/>
          <w:color w:val="auto"/>
          <w:sz w:val="32"/>
          <w:szCs w:val="32"/>
        </w:rPr>
        <w:t>政策性照顾学生</w:t>
      </w:r>
      <w:r>
        <w:rPr>
          <w:rFonts w:hint="eastAsia" w:ascii="仿宋" w:hAnsi="仿宋" w:eastAsia="仿宋"/>
          <w:color w:val="auto"/>
          <w:sz w:val="32"/>
          <w:szCs w:val="32"/>
        </w:rPr>
        <w:t>），其父母或其他法定监护人在广州市无自有产权住房，以在</w:t>
      </w:r>
      <w:r>
        <w:rPr>
          <w:rFonts w:ascii="仿宋" w:hAnsi="仿宋" w:eastAsia="仿宋"/>
          <w:color w:val="auto"/>
          <w:sz w:val="32"/>
          <w:szCs w:val="32"/>
        </w:rPr>
        <w:t>南沙区</w:t>
      </w:r>
      <w:r>
        <w:rPr>
          <w:rFonts w:hint="eastAsia" w:ascii="仿宋" w:hAnsi="仿宋" w:eastAsia="仿宋"/>
          <w:color w:val="auto"/>
          <w:sz w:val="32"/>
          <w:szCs w:val="32"/>
        </w:rPr>
        <w:t>租赁房屋作为唯一居住地，持房屋所在地来穗中心办理的房屋租赁合同登记备案证明的，由区教育行政部门以实际租住地统筹安排入学。来穗人员为其随迁子女以积分入学方式申请义务教育阶段起始年级学位的，由区教育行政部门结合实际按来穗人员积分制管理等有关规定办理。</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（三）具有南沙区户籍的适龄儿童，因身体状况等特殊情况需要延缓入学或免予入学的，由其父母或其他法定监护人向学校提出书面申请，并报区教育行政部门审核批准；延缓入学期满时，应即入学。</w:t>
      </w:r>
    </w:p>
    <w:p>
      <w:pPr>
        <w:snapToGrid w:val="0"/>
        <w:spacing w:line="360" w:lineRule="auto"/>
        <w:ind w:firstLine="640" w:firstLineChars="200"/>
        <w:rPr>
          <w:rFonts w:ascii="仿宋_GB2312" w:hAnsi="宋体" w:eastAsia="仿宋_GB2312" w:cs="仿宋_GB2312"/>
          <w:color w:val="auto"/>
          <w:sz w:val="32"/>
          <w:szCs w:val="32"/>
          <w:shd w:val="clear" w:color="auto" w:fill="FFFFFF"/>
        </w:rPr>
      </w:pPr>
      <w:r>
        <w:rPr>
          <w:rFonts w:hint="eastAsia" w:ascii="仿宋" w:hAnsi="仿宋" w:eastAsia="仿宋"/>
          <w:color w:val="auto"/>
          <w:sz w:val="32"/>
          <w:szCs w:val="32"/>
        </w:rPr>
        <w:t>（四）妥善安排残疾儿童入学，为不同类型和不同程度的残疾儿童提供多种形式的学习机会；继续做好留守儿童、困境儿童等群体入学工作。</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（五）军人子女教育优待和高层次人才子女入学按相关规定办理。</w:t>
      </w:r>
    </w:p>
    <w:p>
      <w:pPr>
        <w:snapToGrid w:val="0"/>
        <w:spacing w:line="360" w:lineRule="auto"/>
        <w:jc w:val="center"/>
        <w:rPr>
          <w:rFonts w:ascii="黑体" w:hAnsi="黑体" w:eastAsia="黑体"/>
          <w:color w:val="auto"/>
          <w:sz w:val="32"/>
          <w:szCs w:val="32"/>
        </w:rPr>
      </w:pPr>
      <w:r>
        <w:rPr>
          <w:rFonts w:hint="eastAsia" w:ascii="黑体" w:hAnsi="黑体" w:eastAsia="黑体"/>
          <w:color w:val="auto"/>
          <w:sz w:val="32"/>
          <w:szCs w:val="32"/>
        </w:rPr>
        <w:t>第三章 招生程序</w:t>
      </w:r>
    </w:p>
    <w:p>
      <w:pPr>
        <w:snapToGrid w:val="0"/>
        <w:spacing w:line="360" w:lineRule="auto"/>
        <w:ind w:firstLine="640" w:firstLineChars="200"/>
        <w:rPr>
          <w:rFonts w:ascii="仿宋" w:hAnsi="仿宋" w:eastAsia="仿宋"/>
          <w:color w:val="auto"/>
          <w:sz w:val="32"/>
          <w:szCs w:val="32"/>
        </w:rPr>
      </w:pPr>
    </w:p>
    <w:p>
      <w:pPr>
        <w:snapToGrid w:val="0"/>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第八条  公办小学招生</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一）广州市户籍的适龄儿童，由其父母或其他法定监护人于当年规定时间内登录“广州市义务教育学校招生报名系统”填写报名信息。适龄儿童的家庭不具备网上报名条件的，其父母或其他法定监护人可在报名时段内前往地段小学现场提出申请，地段小学必须设专人提供网上报名服务接受报名。</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（二）登记生效后，于当年</w:t>
      </w:r>
      <w:r>
        <w:rPr>
          <w:rFonts w:hint="eastAsia" w:ascii="仿宋" w:hAnsi="仿宋" w:eastAsia="仿宋"/>
          <w:color w:val="auto"/>
          <w:sz w:val="32"/>
          <w:szCs w:val="32"/>
          <w:lang w:val="en-US" w:eastAsia="zh-CN"/>
        </w:rPr>
        <w:t>规定时间内</w:t>
      </w:r>
      <w:r>
        <w:rPr>
          <w:rFonts w:ascii="仿宋" w:hAnsi="仿宋" w:eastAsia="仿宋"/>
          <w:color w:val="auto"/>
          <w:sz w:val="32"/>
          <w:szCs w:val="32"/>
        </w:rPr>
        <w:t>，适龄儿童父母或其他法定监护人根据网上预约时段到报名学校进行资料审核，逾期不提交审核资料的，视</w:t>
      </w:r>
      <w:r>
        <w:rPr>
          <w:rFonts w:hint="eastAsia" w:ascii="仿宋" w:hAnsi="仿宋" w:eastAsia="仿宋"/>
          <w:color w:val="auto"/>
          <w:sz w:val="32"/>
          <w:szCs w:val="32"/>
        </w:rPr>
        <w:t>为放弃录取资格。如有南沙区户籍的，由区教育行政部门统筹安排学位；无南沙区户籍的，回户籍所在地入学。</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（三）符合政策性照顾条件的非广州市户籍适龄儿童（含符合条件的港澳籍适龄儿童），在规定的</w:t>
      </w:r>
      <w:r>
        <w:rPr>
          <w:rFonts w:ascii="仿宋" w:hAnsi="仿宋" w:eastAsia="仿宋"/>
          <w:color w:val="auto"/>
          <w:sz w:val="32"/>
          <w:szCs w:val="32"/>
        </w:rPr>
        <w:t>时间内</w:t>
      </w:r>
      <w:r>
        <w:rPr>
          <w:rFonts w:hint="eastAsia" w:ascii="仿宋" w:hAnsi="仿宋" w:eastAsia="仿宋"/>
          <w:color w:val="auto"/>
          <w:sz w:val="32"/>
          <w:szCs w:val="32"/>
        </w:rPr>
        <w:t>向居住地附近学校递交报名材料，学校初审后录入报名系统（递交材料所指定的学校并非最终入读学校，最终入读学校由区教育行政部门审核后确定）。</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（四）经公办小学初审、区教育行政部门确认后，适龄儿童取得录取资格。从当年</w:t>
      </w:r>
      <w:r>
        <w:rPr>
          <w:rFonts w:ascii="仿宋" w:hAnsi="仿宋" w:eastAsia="仿宋"/>
          <w:color w:val="auto"/>
          <w:sz w:val="32"/>
          <w:szCs w:val="32"/>
        </w:rPr>
        <w:t>6月30日起可登录网上报名系统查询录取结果。</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（五）南沙区户籍适龄儿童确因疾病、出国等特殊原因逾期未报名的，其父母或其他法定监护人须于当年</w:t>
      </w:r>
      <w:r>
        <w:rPr>
          <w:rFonts w:ascii="仿宋" w:hAnsi="仿宋" w:eastAsia="仿宋"/>
          <w:color w:val="auto"/>
          <w:sz w:val="32"/>
          <w:szCs w:val="32"/>
        </w:rPr>
        <w:t>8月下旬向</w:t>
      </w:r>
      <w:r>
        <w:rPr>
          <w:rFonts w:hint="eastAsia" w:ascii="仿宋" w:hAnsi="仿宋" w:eastAsia="仿宋"/>
          <w:color w:val="auto"/>
          <w:sz w:val="32"/>
          <w:szCs w:val="32"/>
        </w:rPr>
        <w:t>区教育行政部门递交补报名申请。</w:t>
      </w:r>
    </w:p>
    <w:p>
      <w:pPr>
        <w:snapToGrid w:val="0"/>
        <w:spacing w:line="360" w:lineRule="auto"/>
        <w:ind w:firstLine="640" w:firstLineChars="200"/>
        <w:rPr>
          <w:rFonts w:ascii="仿宋" w:hAnsi="仿宋" w:eastAsia="仿宋"/>
          <w:color w:val="auto"/>
          <w:sz w:val="32"/>
          <w:szCs w:val="32"/>
        </w:rPr>
      </w:pPr>
    </w:p>
    <w:p>
      <w:pPr>
        <w:snapToGrid w:val="0"/>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第九条  公办初中学校招生</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（一）符合条件的南沙区公办小学应届毕业生，由在读公办小学在规定</w:t>
      </w:r>
      <w:r>
        <w:rPr>
          <w:rFonts w:ascii="仿宋" w:hAnsi="仿宋" w:eastAsia="仿宋"/>
          <w:color w:val="auto"/>
          <w:sz w:val="32"/>
          <w:szCs w:val="32"/>
        </w:rPr>
        <w:t>的时间内</w:t>
      </w:r>
      <w:r>
        <w:rPr>
          <w:rFonts w:hint="eastAsia" w:ascii="仿宋" w:hAnsi="仿宋" w:eastAsia="仿宋"/>
          <w:color w:val="auto"/>
          <w:sz w:val="32"/>
          <w:szCs w:val="32"/>
        </w:rPr>
        <w:t>统一报名，并将录取结果公布和通知学生父母或其他法定监护人。</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（二）具有南沙区户籍，在南沙区外小学毕业的学生，要求回户籍地公办初中学校就读的，由其父母或其他法定监护人在规定的</w:t>
      </w:r>
      <w:r>
        <w:rPr>
          <w:rFonts w:ascii="仿宋" w:hAnsi="仿宋" w:eastAsia="仿宋"/>
          <w:color w:val="auto"/>
          <w:sz w:val="32"/>
          <w:szCs w:val="32"/>
        </w:rPr>
        <w:t>时间内</w:t>
      </w:r>
      <w:r>
        <w:rPr>
          <w:rFonts w:hint="eastAsia" w:ascii="仿宋" w:hAnsi="仿宋" w:eastAsia="仿宋"/>
          <w:color w:val="auto"/>
          <w:sz w:val="32"/>
          <w:szCs w:val="32"/>
        </w:rPr>
        <w:t>向区教育行政部门提出申请，并提交实际居住有效文书资料（房屋所有权证、不动产权证书、购房协议、宅基地使用证、集资房证明、拆迁协议等），经</w:t>
      </w:r>
      <w:r>
        <w:rPr>
          <w:rFonts w:ascii="仿宋" w:hAnsi="仿宋" w:eastAsia="仿宋"/>
          <w:color w:val="auto"/>
          <w:sz w:val="32"/>
          <w:szCs w:val="32"/>
        </w:rPr>
        <w:t>区教育行政部门</w:t>
      </w:r>
      <w:r>
        <w:rPr>
          <w:rFonts w:hint="eastAsia" w:ascii="仿宋" w:hAnsi="仿宋" w:eastAsia="仿宋"/>
          <w:color w:val="auto"/>
          <w:sz w:val="32"/>
          <w:szCs w:val="32"/>
        </w:rPr>
        <w:t>审核后统筹安排学位。</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（三）华南师范大学附属南沙中学等合作办学学校初中招生方案另行制定。</w:t>
      </w:r>
    </w:p>
    <w:p>
      <w:pPr>
        <w:snapToGrid w:val="0"/>
        <w:spacing w:line="360" w:lineRule="auto"/>
        <w:ind w:firstLine="640" w:firstLineChars="200"/>
        <w:rPr>
          <w:rFonts w:ascii="仿宋" w:hAnsi="仿宋" w:eastAsia="仿宋"/>
          <w:color w:val="auto"/>
          <w:sz w:val="32"/>
          <w:szCs w:val="32"/>
        </w:rPr>
      </w:pPr>
    </w:p>
    <w:p>
      <w:pPr>
        <w:snapToGrid w:val="0"/>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第十条</w:t>
      </w:r>
      <w:r>
        <w:rPr>
          <w:rFonts w:ascii="黑体" w:hAnsi="黑体" w:eastAsia="黑体"/>
          <w:color w:val="auto"/>
          <w:sz w:val="32"/>
          <w:szCs w:val="32"/>
        </w:rPr>
        <w:t xml:space="preserve">  民办学校招生</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民办学校与公办学校同步招生。民办学校招生方案包括学校的办学特色、招生计划、报名办法、录取规则、录取时间、咨询方式和收费标准等。民办学校招生方案简章和公告须向区教育行政部门报告，同时通过学校网站等途径向社会公布，不得发布虚假招生简章、广告等信息。</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（一）网上信息</w:t>
      </w:r>
      <w:r>
        <w:rPr>
          <w:rFonts w:ascii="仿宋" w:hAnsi="仿宋" w:eastAsia="仿宋"/>
          <w:color w:val="auto"/>
          <w:sz w:val="32"/>
          <w:szCs w:val="32"/>
        </w:rPr>
        <w:t>采集和填报志愿</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适龄</w:t>
      </w:r>
      <w:r>
        <w:rPr>
          <w:rFonts w:ascii="仿宋" w:hAnsi="仿宋" w:eastAsia="仿宋"/>
          <w:color w:val="auto"/>
          <w:sz w:val="32"/>
          <w:szCs w:val="32"/>
        </w:rPr>
        <w:t>儿童少年的</w:t>
      </w:r>
      <w:r>
        <w:rPr>
          <w:rFonts w:hint="eastAsia" w:ascii="仿宋" w:hAnsi="仿宋" w:eastAsia="仿宋"/>
          <w:color w:val="auto"/>
          <w:sz w:val="32"/>
          <w:szCs w:val="32"/>
        </w:rPr>
        <w:t>父母或其他法定监护人在规定的</w:t>
      </w:r>
      <w:r>
        <w:rPr>
          <w:rFonts w:ascii="仿宋" w:hAnsi="仿宋" w:eastAsia="仿宋"/>
          <w:color w:val="auto"/>
          <w:sz w:val="32"/>
          <w:szCs w:val="32"/>
        </w:rPr>
        <w:t>时间内</w:t>
      </w:r>
      <w:r>
        <w:rPr>
          <w:rFonts w:hint="eastAsia" w:ascii="仿宋" w:hAnsi="仿宋" w:eastAsia="仿宋"/>
          <w:color w:val="auto"/>
          <w:sz w:val="32"/>
          <w:szCs w:val="32"/>
        </w:rPr>
        <w:t>登录</w:t>
      </w:r>
      <w:r>
        <w:rPr>
          <w:rFonts w:ascii="仿宋" w:hAnsi="仿宋" w:eastAsia="仿宋"/>
          <w:color w:val="auto"/>
          <w:sz w:val="32"/>
          <w:szCs w:val="32"/>
        </w:rPr>
        <w:t>“</w:t>
      </w:r>
      <w:r>
        <w:rPr>
          <w:rFonts w:hint="eastAsia" w:ascii="仿宋" w:hAnsi="仿宋" w:eastAsia="仿宋"/>
          <w:color w:val="auto"/>
          <w:sz w:val="32"/>
          <w:szCs w:val="32"/>
        </w:rPr>
        <w:t>广州市义务教育学校招生报名系统</w:t>
      </w:r>
      <w:r>
        <w:rPr>
          <w:rFonts w:ascii="仿宋" w:hAnsi="仿宋" w:eastAsia="仿宋"/>
          <w:color w:val="auto"/>
          <w:sz w:val="32"/>
          <w:szCs w:val="32"/>
        </w:rPr>
        <w:t>”</w:t>
      </w:r>
      <w:r>
        <w:rPr>
          <w:rFonts w:hint="eastAsia" w:ascii="仿宋" w:hAnsi="仿宋" w:eastAsia="仿宋"/>
          <w:color w:val="auto"/>
          <w:sz w:val="32"/>
          <w:szCs w:val="32"/>
        </w:rPr>
        <w:t>，按</w:t>
      </w:r>
      <w:r>
        <w:rPr>
          <w:rFonts w:ascii="仿宋" w:hAnsi="仿宋" w:eastAsia="仿宋"/>
          <w:color w:val="auto"/>
          <w:sz w:val="32"/>
          <w:szCs w:val="32"/>
        </w:rPr>
        <w:t>要求填写学生相关信息，完成报名信息采集工作。</w:t>
      </w:r>
      <w:r>
        <w:rPr>
          <w:rFonts w:hint="eastAsia" w:ascii="仿宋" w:hAnsi="仿宋" w:eastAsia="仿宋"/>
          <w:color w:val="auto"/>
          <w:sz w:val="32"/>
          <w:szCs w:val="32"/>
        </w:rPr>
        <w:t>报名系统根据民办学校招生区域、学生有关信息（包括学籍、户籍地址、居住证地址等信息）自动匹配符合条件的学校供适龄儿童少年的父母或其他法定监护人选择报名，可</w:t>
      </w:r>
      <w:r>
        <w:rPr>
          <w:rFonts w:ascii="仿宋" w:hAnsi="仿宋" w:eastAsia="仿宋"/>
          <w:color w:val="auto"/>
          <w:sz w:val="32"/>
          <w:szCs w:val="32"/>
        </w:rPr>
        <w:t>填报1</w:t>
      </w:r>
      <w:r>
        <w:rPr>
          <w:rFonts w:hint="eastAsia" w:ascii="仿宋" w:hAnsi="仿宋" w:eastAsia="仿宋"/>
          <w:color w:val="auto"/>
          <w:sz w:val="32"/>
          <w:szCs w:val="32"/>
        </w:rPr>
        <w:t>至</w:t>
      </w:r>
      <w:r>
        <w:rPr>
          <w:rFonts w:ascii="仿宋" w:hAnsi="仿宋" w:eastAsia="仿宋"/>
          <w:color w:val="auto"/>
          <w:sz w:val="32"/>
          <w:szCs w:val="32"/>
        </w:rPr>
        <w:t>2</w:t>
      </w:r>
      <w:r>
        <w:rPr>
          <w:rFonts w:hint="eastAsia" w:ascii="仿宋" w:hAnsi="仿宋" w:eastAsia="仿宋"/>
          <w:color w:val="auto"/>
          <w:sz w:val="32"/>
          <w:szCs w:val="32"/>
        </w:rPr>
        <w:t>个志愿。不具备网上报名条件的学生家庭，可向拟报名的民办学校提出申请，由学校提供网上报名服务。适龄儿童少年的父母或其他法定监护人在报名时应充分了解民办学校办学条件、收费标准等情况。</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（二）电脑派位和</w:t>
      </w:r>
      <w:r>
        <w:rPr>
          <w:rFonts w:hint="eastAsia" w:ascii="仿宋" w:hAnsi="仿宋" w:eastAsia="仿宋"/>
          <w:color w:val="auto"/>
          <w:sz w:val="32"/>
        </w:rPr>
        <w:t>录取</w:t>
      </w:r>
    </w:p>
    <w:p>
      <w:pPr>
        <w:adjustRightInd w:val="0"/>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1.</w:t>
      </w:r>
      <w:r>
        <w:rPr>
          <w:rFonts w:hint="eastAsia" w:ascii="仿宋" w:hAnsi="仿宋" w:eastAsia="仿宋"/>
          <w:color w:val="auto"/>
          <w:sz w:val="32"/>
          <w:szCs w:val="32"/>
        </w:rPr>
        <w:t>报名人数小于或等于</w:t>
      </w:r>
      <w:r>
        <w:rPr>
          <w:rFonts w:hint="eastAsia" w:ascii="仿宋" w:hAnsi="仿宋" w:eastAsia="仿宋"/>
          <w:color w:val="auto"/>
          <w:sz w:val="32"/>
        </w:rPr>
        <w:t>招生</w:t>
      </w:r>
      <w:r>
        <w:rPr>
          <w:rFonts w:hint="eastAsia" w:ascii="仿宋" w:hAnsi="仿宋" w:eastAsia="仿宋"/>
          <w:color w:val="auto"/>
          <w:sz w:val="32"/>
          <w:szCs w:val="32"/>
        </w:rPr>
        <w:t>计划数（不含政府购买或补贴的学位）的民办</w:t>
      </w:r>
      <w:r>
        <w:rPr>
          <w:rFonts w:hint="eastAsia" w:ascii="仿宋" w:hAnsi="仿宋" w:eastAsia="仿宋"/>
          <w:color w:val="auto"/>
          <w:sz w:val="32"/>
        </w:rPr>
        <w:t>学校</w:t>
      </w:r>
      <w:r>
        <w:rPr>
          <w:rFonts w:hint="eastAsia" w:ascii="仿宋" w:hAnsi="仿宋" w:eastAsia="仿宋"/>
          <w:color w:val="auto"/>
          <w:sz w:val="32"/>
          <w:szCs w:val="32"/>
        </w:rPr>
        <w:t>，实行</w:t>
      </w:r>
      <w:r>
        <w:rPr>
          <w:rFonts w:hint="eastAsia" w:ascii="仿宋" w:hAnsi="仿宋" w:eastAsia="仿宋"/>
          <w:color w:val="auto"/>
          <w:sz w:val="32"/>
        </w:rPr>
        <w:t>直接</w:t>
      </w:r>
      <w:r>
        <w:rPr>
          <w:rFonts w:hint="eastAsia" w:ascii="仿宋" w:hAnsi="仿宋" w:eastAsia="仿宋"/>
          <w:color w:val="auto"/>
          <w:sz w:val="32"/>
          <w:szCs w:val="32"/>
        </w:rPr>
        <w:t>录取。民办学校在“广州市义务教育学校招生报名系统”向拟录取的新生发出预录取</w:t>
      </w:r>
      <w:r>
        <w:rPr>
          <w:rFonts w:hint="eastAsia" w:ascii="仿宋" w:hAnsi="仿宋" w:eastAsia="仿宋"/>
          <w:color w:val="auto"/>
          <w:sz w:val="32"/>
        </w:rPr>
        <w:t>通知</w:t>
      </w:r>
      <w:r>
        <w:rPr>
          <w:rFonts w:hint="eastAsia" w:ascii="仿宋" w:hAnsi="仿宋" w:eastAsia="仿宋"/>
          <w:color w:val="auto"/>
          <w:sz w:val="32"/>
          <w:szCs w:val="32"/>
        </w:rPr>
        <w:t>，</w:t>
      </w:r>
      <w:r>
        <w:rPr>
          <w:rFonts w:hint="eastAsia" w:ascii="仿宋" w:hAnsi="仿宋" w:eastAsia="仿宋"/>
          <w:color w:val="auto"/>
          <w:sz w:val="32"/>
        </w:rPr>
        <w:t>适龄儿童</w:t>
      </w:r>
      <w:r>
        <w:rPr>
          <w:rFonts w:hint="eastAsia" w:ascii="仿宋" w:hAnsi="仿宋" w:eastAsia="仿宋"/>
          <w:color w:val="auto"/>
          <w:sz w:val="32"/>
          <w:szCs w:val="32"/>
        </w:rPr>
        <w:t>少年</w:t>
      </w:r>
      <w:r>
        <w:rPr>
          <w:rFonts w:hint="eastAsia" w:ascii="仿宋" w:hAnsi="仿宋" w:eastAsia="仿宋"/>
          <w:color w:val="auto"/>
          <w:sz w:val="32"/>
        </w:rPr>
        <w:t>的父母或其他</w:t>
      </w:r>
      <w:r>
        <w:rPr>
          <w:rFonts w:hint="eastAsia" w:ascii="仿宋" w:hAnsi="仿宋" w:eastAsia="仿宋"/>
          <w:color w:val="auto"/>
          <w:sz w:val="32"/>
          <w:szCs w:val="32"/>
        </w:rPr>
        <w:t>监护人收到预录取通知后完成网上确认程序，民办学校直接确认录取名单。</w:t>
      </w:r>
    </w:p>
    <w:p>
      <w:pPr>
        <w:adjustRightInd w:val="0"/>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报名人数大于招生计划数（不含政府购买或补贴的学位）的民办学校，实行电脑派位录取。电脑派位由区教育行政部门统一组织实施。电脑派位结束后，由区教育行政部门公布电脑派位结果并及时通知适龄儿童少年的父母或其他监护人。</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（三）网上</w:t>
      </w:r>
      <w:r>
        <w:rPr>
          <w:rFonts w:ascii="仿宋" w:hAnsi="仿宋" w:eastAsia="仿宋"/>
          <w:color w:val="auto"/>
          <w:sz w:val="32"/>
          <w:szCs w:val="32"/>
        </w:rPr>
        <w:t>确认和</w:t>
      </w:r>
      <w:r>
        <w:rPr>
          <w:rFonts w:hint="eastAsia" w:ascii="仿宋" w:hAnsi="仿宋" w:eastAsia="仿宋"/>
          <w:color w:val="auto"/>
          <w:sz w:val="32"/>
          <w:szCs w:val="32"/>
        </w:rPr>
        <w:t>现场注册</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已确定电脑派位录取资格的适龄儿童，其父母或其他法定监护人在规定时间内在“广州市义务教育学校招生报名系统”进行录取确认，并按要求到拟录取学校进行注册。逾期未注册的学生，视为放弃录取资格。任何民办学校不得拒绝接收经电脑派位确定录取资格且</w:t>
      </w:r>
      <w:r>
        <w:rPr>
          <w:rFonts w:ascii="仿宋" w:hAnsi="仿宋" w:eastAsia="仿宋"/>
          <w:color w:val="auto"/>
          <w:sz w:val="32"/>
          <w:szCs w:val="32"/>
        </w:rPr>
        <w:t>在规定时间内</w:t>
      </w:r>
      <w:r>
        <w:rPr>
          <w:rFonts w:hint="eastAsia" w:ascii="仿宋" w:hAnsi="仿宋" w:eastAsia="仿宋"/>
          <w:color w:val="auto"/>
          <w:sz w:val="32"/>
          <w:szCs w:val="32"/>
        </w:rPr>
        <w:t>报到</w:t>
      </w:r>
      <w:r>
        <w:rPr>
          <w:rFonts w:ascii="仿宋" w:hAnsi="仿宋" w:eastAsia="仿宋"/>
          <w:color w:val="auto"/>
          <w:sz w:val="32"/>
          <w:szCs w:val="32"/>
        </w:rPr>
        <w:t>注册</w:t>
      </w:r>
      <w:r>
        <w:rPr>
          <w:rFonts w:hint="eastAsia" w:ascii="仿宋" w:hAnsi="仿宋" w:eastAsia="仿宋"/>
          <w:color w:val="auto"/>
          <w:sz w:val="32"/>
          <w:szCs w:val="32"/>
        </w:rPr>
        <w:t>的学生。</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（四）审核</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区教育行政部门对民办学校注册情况进行审核。</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（五）补录</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未完成招生计划的民办学校可在规定时间内补录。</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（六）</w:t>
      </w:r>
      <w:r>
        <w:rPr>
          <w:rFonts w:hint="eastAsia" w:ascii="仿宋" w:hAnsi="仿宋" w:eastAsia="仿宋"/>
          <w:color w:val="auto"/>
          <w:sz w:val="32"/>
        </w:rPr>
        <w:t>民办学校招生工作完成时间为当年</w:t>
      </w:r>
      <w:r>
        <w:rPr>
          <w:rFonts w:ascii="仿宋" w:hAnsi="仿宋" w:eastAsia="仿宋"/>
          <w:color w:val="auto"/>
          <w:sz w:val="32"/>
        </w:rPr>
        <w:t>8月31日</w:t>
      </w:r>
      <w:r>
        <w:rPr>
          <w:rFonts w:hint="eastAsia" w:ascii="仿宋" w:hAnsi="仿宋" w:eastAsia="仿宋"/>
          <w:color w:val="auto"/>
          <w:sz w:val="32"/>
        </w:rPr>
        <w:t>。</w:t>
      </w:r>
      <w:r>
        <w:rPr>
          <w:rFonts w:hint="eastAsia" w:ascii="仿宋" w:hAnsi="仿宋" w:eastAsia="仿宋"/>
          <w:color w:val="auto"/>
          <w:sz w:val="32"/>
          <w:szCs w:val="32"/>
        </w:rPr>
        <w:t>对于已被民办学校录取但自愿放弃民办学校学位的南沙区户籍适龄儿童少年，区教育行政</w:t>
      </w:r>
      <w:r>
        <w:rPr>
          <w:rFonts w:ascii="仿宋" w:hAnsi="仿宋" w:eastAsia="仿宋"/>
          <w:color w:val="auto"/>
          <w:sz w:val="32"/>
          <w:szCs w:val="32"/>
        </w:rPr>
        <w:t>部门</w:t>
      </w:r>
      <w:r>
        <w:rPr>
          <w:rFonts w:hint="eastAsia" w:ascii="仿宋" w:hAnsi="仿宋" w:eastAsia="仿宋"/>
          <w:color w:val="auto"/>
          <w:sz w:val="32"/>
          <w:szCs w:val="32"/>
        </w:rPr>
        <w:t>按照相对就近原则为其统筹义务教育公办学位。</w:t>
      </w:r>
    </w:p>
    <w:p>
      <w:pPr>
        <w:snapToGrid w:val="0"/>
        <w:spacing w:line="360" w:lineRule="auto"/>
        <w:ind w:firstLine="640" w:firstLineChars="200"/>
        <w:rPr>
          <w:rFonts w:ascii="黑体" w:hAnsi="黑体" w:eastAsia="黑体"/>
          <w:color w:val="auto"/>
          <w:sz w:val="32"/>
          <w:szCs w:val="32"/>
        </w:rPr>
      </w:pPr>
      <w:r>
        <w:rPr>
          <w:rFonts w:hint="eastAsia" w:ascii="黑体" w:hAnsi="黑体" w:eastAsia="黑体"/>
          <w:color w:val="auto"/>
          <w:sz w:val="32"/>
          <w:szCs w:val="32"/>
        </w:rPr>
        <w:t>第十一条  来穗人员随迁子女入学</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不符合政策性照顾学生条件的非本市户籍适龄儿童少年，由其父母或其他法定监护人按各区教育行政部门规定的办法和程序进行报名和入学。</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来穗人员随迁子女可按南沙</w:t>
      </w:r>
      <w:r>
        <w:rPr>
          <w:rFonts w:ascii="仿宋" w:hAnsi="仿宋" w:eastAsia="仿宋"/>
          <w:color w:val="auto"/>
          <w:sz w:val="32"/>
          <w:szCs w:val="32"/>
        </w:rPr>
        <w:t>区</w:t>
      </w:r>
      <w:r>
        <w:rPr>
          <w:rFonts w:hint="eastAsia" w:ascii="仿宋" w:hAnsi="仿宋" w:eastAsia="仿宋"/>
          <w:color w:val="auto"/>
          <w:sz w:val="32"/>
          <w:szCs w:val="32"/>
        </w:rPr>
        <w:t>来穗</w:t>
      </w:r>
      <w:r>
        <w:rPr>
          <w:rFonts w:ascii="仿宋" w:hAnsi="仿宋" w:eastAsia="仿宋"/>
          <w:color w:val="auto"/>
          <w:sz w:val="32"/>
          <w:szCs w:val="32"/>
        </w:rPr>
        <w:t>人员随迁子女接受义务教育有关规定</w:t>
      </w:r>
      <w:r>
        <w:rPr>
          <w:rFonts w:hint="eastAsia" w:ascii="仿宋" w:hAnsi="仿宋" w:eastAsia="仿宋"/>
          <w:color w:val="auto"/>
          <w:sz w:val="32"/>
          <w:szCs w:val="32"/>
        </w:rPr>
        <w:t>申请南沙区义务教育阶段起始年级</w:t>
      </w:r>
      <w:r>
        <w:rPr>
          <w:rFonts w:ascii="仿宋" w:hAnsi="仿宋" w:eastAsia="仿宋"/>
          <w:color w:val="auto"/>
          <w:sz w:val="32"/>
          <w:szCs w:val="32"/>
        </w:rPr>
        <w:t>公办学位</w:t>
      </w:r>
      <w:r>
        <w:rPr>
          <w:rFonts w:hint="eastAsia" w:ascii="仿宋" w:hAnsi="仿宋" w:eastAsia="仿宋"/>
          <w:color w:val="auto"/>
          <w:sz w:val="32"/>
          <w:szCs w:val="32"/>
        </w:rPr>
        <w:t>。也可以申请入读民办学校。</w:t>
      </w:r>
    </w:p>
    <w:p>
      <w:pPr>
        <w:snapToGri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申请</w:t>
      </w:r>
      <w:r>
        <w:rPr>
          <w:rFonts w:ascii="仿宋" w:hAnsi="仿宋" w:eastAsia="仿宋"/>
          <w:color w:val="auto"/>
          <w:sz w:val="32"/>
          <w:szCs w:val="32"/>
        </w:rPr>
        <w:t>在南沙区就读义务教育阶段学校的港澳</w:t>
      </w:r>
      <w:r>
        <w:rPr>
          <w:rFonts w:hint="eastAsia" w:ascii="仿宋" w:hAnsi="仿宋" w:eastAsia="仿宋"/>
          <w:color w:val="auto"/>
          <w:sz w:val="32"/>
          <w:szCs w:val="32"/>
        </w:rPr>
        <w:t>居民子女按南沙</w:t>
      </w:r>
      <w:r>
        <w:rPr>
          <w:rFonts w:ascii="仿宋" w:hAnsi="仿宋" w:eastAsia="仿宋"/>
          <w:color w:val="auto"/>
          <w:sz w:val="32"/>
          <w:szCs w:val="32"/>
        </w:rPr>
        <w:t>区港澳</w:t>
      </w:r>
      <w:r>
        <w:rPr>
          <w:rFonts w:hint="eastAsia" w:ascii="仿宋" w:hAnsi="仿宋" w:eastAsia="仿宋"/>
          <w:color w:val="auto"/>
          <w:sz w:val="32"/>
          <w:szCs w:val="32"/>
        </w:rPr>
        <w:t>居民</w:t>
      </w:r>
      <w:r>
        <w:rPr>
          <w:rFonts w:ascii="仿宋" w:hAnsi="仿宋" w:eastAsia="仿宋"/>
          <w:color w:val="auto"/>
          <w:sz w:val="32"/>
          <w:szCs w:val="32"/>
        </w:rPr>
        <w:t>子女</w:t>
      </w:r>
      <w:r>
        <w:rPr>
          <w:rFonts w:hint="eastAsia" w:ascii="仿宋" w:hAnsi="仿宋" w:eastAsia="仿宋"/>
          <w:color w:val="auto"/>
          <w:sz w:val="32"/>
          <w:szCs w:val="32"/>
        </w:rPr>
        <w:t>接受</w:t>
      </w:r>
      <w:r>
        <w:rPr>
          <w:rFonts w:ascii="仿宋" w:hAnsi="仿宋" w:eastAsia="仿宋"/>
          <w:color w:val="auto"/>
          <w:sz w:val="32"/>
          <w:szCs w:val="32"/>
        </w:rPr>
        <w:t>义务教育有关规定执行</w:t>
      </w:r>
      <w:r>
        <w:rPr>
          <w:rFonts w:hint="eastAsia" w:ascii="仿宋" w:hAnsi="仿宋" w:eastAsia="仿宋"/>
          <w:color w:val="auto"/>
          <w:sz w:val="32"/>
          <w:szCs w:val="32"/>
        </w:rPr>
        <w:t>。</w:t>
      </w:r>
    </w:p>
    <w:p>
      <w:pPr>
        <w:snapToGrid w:val="0"/>
        <w:spacing w:line="360" w:lineRule="auto"/>
        <w:rPr>
          <w:rFonts w:ascii="仿宋" w:hAnsi="仿宋" w:eastAsia="仿宋"/>
          <w:color w:val="auto"/>
          <w:sz w:val="32"/>
          <w:szCs w:val="32"/>
        </w:rPr>
      </w:pPr>
    </w:p>
    <w:p>
      <w:pPr>
        <w:snapToGrid w:val="0"/>
        <w:spacing w:line="360" w:lineRule="auto"/>
        <w:jc w:val="center"/>
        <w:rPr>
          <w:rFonts w:ascii="黑体" w:hAnsi="黑体" w:eastAsia="黑体"/>
          <w:color w:val="auto"/>
          <w:sz w:val="32"/>
          <w:szCs w:val="32"/>
        </w:rPr>
      </w:pPr>
      <w:r>
        <w:rPr>
          <w:rFonts w:hint="eastAsia" w:ascii="黑体" w:hAnsi="黑体" w:eastAsia="黑体"/>
          <w:color w:val="auto"/>
          <w:sz w:val="32"/>
          <w:szCs w:val="32"/>
        </w:rPr>
        <w:t>第四章 组织实施</w:t>
      </w:r>
    </w:p>
    <w:p>
      <w:pPr>
        <w:snapToGrid w:val="0"/>
        <w:spacing w:line="360" w:lineRule="auto"/>
        <w:ind w:firstLine="640" w:firstLineChars="200"/>
        <w:rPr>
          <w:rFonts w:ascii="仿宋" w:hAnsi="仿宋" w:eastAsia="仿宋"/>
          <w:color w:val="auto"/>
          <w:sz w:val="32"/>
          <w:szCs w:val="32"/>
        </w:rPr>
      </w:pPr>
    </w:p>
    <w:p>
      <w:pPr>
        <w:snapToGri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 xml:space="preserve">第十二条  </w:t>
      </w:r>
      <w:r>
        <w:rPr>
          <w:rFonts w:hint="eastAsia" w:ascii="仿宋" w:hAnsi="仿宋" w:eastAsia="仿宋"/>
          <w:color w:val="auto"/>
          <w:sz w:val="32"/>
          <w:szCs w:val="32"/>
        </w:rPr>
        <w:t>当年招生工作结束后，学校应通过公示栏、学校网站或微信公众号等渠道公布招生结果；按随机编班原则做好学生编班工作，在校内公示栏公示编班结果。学校需于当年9月15日前做好学籍信息收集、汇总、校验、上报工作。学校要严格落实“一人一籍，人籍一致，籍随人走”的学籍管理要求，严禁“人籍分离”“双重学籍”等情况出现。</w:t>
      </w:r>
    </w:p>
    <w:p>
      <w:pPr>
        <w:snapToGri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第十三</w:t>
      </w:r>
      <w:r>
        <w:rPr>
          <w:rFonts w:ascii="黑体" w:hAnsi="黑体" w:eastAsia="黑体"/>
          <w:color w:val="auto"/>
          <w:sz w:val="32"/>
          <w:szCs w:val="32"/>
        </w:rPr>
        <w:t>条</w:t>
      </w:r>
      <w:r>
        <w:rPr>
          <w:rFonts w:hint="eastAsia" w:ascii="黑体" w:hAnsi="黑体" w:eastAsia="黑体"/>
          <w:color w:val="auto"/>
          <w:sz w:val="32"/>
          <w:szCs w:val="32"/>
        </w:rPr>
        <w:t xml:space="preserve"> </w:t>
      </w:r>
      <w:r>
        <w:rPr>
          <w:rFonts w:hint="eastAsia" w:ascii="仿宋" w:hAnsi="仿宋" w:eastAsia="仿宋"/>
          <w:color w:val="auto"/>
          <w:sz w:val="32"/>
          <w:szCs w:val="32"/>
        </w:rPr>
        <w:t>各单位要严把招生资料审核关，对照“人户一致”条件和对口直升条件，认真落实上门普查家访工作，做到一个不漏，全面准确掌握适龄儿童入学情况。</w:t>
      </w:r>
    </w:p>
    <w:p>
      <w:pPr>
        <w:snapToGri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 xml:space="preserve">第十四条  </w:t>
      </w:r>
      <w:r>
        <w:rPr>
          <w:rFonts w:hint="eastAsia" w:ascii="仿宋" w:hAnsi="仿宋" w:eastAsia="仿宋"/>
          <w:color w:val="auto"/>
          <w:sz w:val="32"/>
          <w:szCs w:val="32"/>
        </w:rPr>
        <w:t>适龄</w:t>
      </w:r>
      <w:r>
        <w:rPr>
          <w:rFonts w:ascii="仿宋" w:hAnsi="仿宋" w:eastAsia="仿宋"/>
          <w:color w:val="auto"/>
          <w:sz w:val="32"/>
          <w:szCs w:val="32"/>
        </w:rPr>
        <w:t>儿童少年</w:t>
      </w:r>
      <w:r>
        <w:rPr>
          <w:rFonts w:hint="eastAsia" w:ascii="仿宋" w:hAnsi="仿宋" w:eastAsia="仿宋"/>
          <w:color w:val="auto"/>
          <w:sz w:val="32"/>
          <w:szCs w:val="32"/>
        </w:rPr>
        <w:t>报名所提供的证件等相关材料以及在“广州市义务</w:t>
      </w:r>
      <w:r>
        <w:rPr>
          <w:rFonts w:ascii="仿宋" w:hAnsi="仿宋" w:eastAsia="仿宋"/>
          <w:color w:val="auto"/>
          <w:sz w:val="32"/>
          <w:szCs w:val="32"/>
        </w:rPr>
        <w:t>教育学校招生报名系统</w:t>
      </w:r>
      <w:r>
        <w:rPr>
          <w:rFonts w:hint="eastAsia" w:ascii="仿宋" w:hAnsi="仿宋" w:eastAsia="仿宋"/>
          <w:color w:val="auto"/>
          <w:sz w:val="32"/>
          <w:szCs w:val="32"/>
        </w:rPr>
        <w:t>”填报的信息均应真实有效，若存在隐瞒、欺骗或提供虚假证明材料等情形</w:t>
      </w:r>
      <w:r>
        <w:rPr>
          <w:rFonts w:ascii="仿宋" w:hAnsi="仿宋" w:eastAsia="仿宋"/>
          <w:color w:val="auto"/>
          <w:sz w:val="32"/>
          <w:szCs w:val="32"/>
        </w:rPr>
        <w:t>的，</w:t>
      </w:r>
      <w:r>
        <w:rPr>
          <w:rFonts w:hint="eastAsia" w:ascii="仿宋" w:hAnsi="仿宋" w:eastAsia="仿宋"/>
          <w:color w:val="auto"/>
          <w:sz w:val="32"/>
          <w:szCs w:val="32"/>
        </w:rPr>
        <w:t>一旦核实，按相关规定处理。</w:t>
      </w:r>
    </w:p>
    <w:p>
      <w:pPr>
        <w:snapToGri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第十五条</w:t>
      </w:r>
      <w:r>
        <w:rPr>
          <w:rFonts w:hint="eastAsia" w:ascii="仿宋" w:hAnsi="仿宋" w:eastAsia="仿宋"/>
          <w:color w:val="auto"/>
          <w:sz w:val="32"/>
          <w:szCs w:val="32"/>
        </w:rPr>
        <w:t xml:space="preserve">  任何公办、民办义务教育学校均不得以考试、竞赛、培训成绩或证书证明等作为招生依据，不得以面试、面谈、评测、人机对话、拓展活动、冬夏令营等名义选拔学生，不得与社会培训机构或任何第三方组织联合招生。</w:t>
      </w:r>
    </w:p>
    <w:p>
      <w:pPr>
        <w:snapToGri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 xml:space="preserve">第十六条 </w:t>
      </w:r>
      <w:r>
        <w:rPr>
          <w:rFonts w:hint="eastAsia" w:ascii="仿宋" w:hAnsi="仿宋" w:eastAsia="仿宋"/>
          <w:color w:val="auto"/>
          <w:sz w:val="32"/>
          <w:szCs w:val="32"/>
        </w:rPr>
        <w:t>万顷沙镇、黄阁镇、横沥镇、南沙街、珠江街、</w:t>
      </w:r>
      <w:r>
        <w:rPr>
          <w:rFonts w:ascii="仿宋" w:hAnsi="仿宋" w:eastAsia="仿宋"/>
          <w:color w:val="auto"/>
          <w:sz w:val="32"/>
          <w:szCs w:val="32"/>
        </w:rPr>
        <w:t>龙穴街</w:t>
      </w:r>
      <w:r>
        <w:rPr>
          <w:rFonts w:hint="eastAsia" w:ascii="仿宋" w:hAnsi="仿宋" w:eastAsia="仿宋"/>
          <w:color w:val="auto"/>
          <w:sz w:val="32"/>
          <w:szCs w:val="32"/>
        </w:rPr>
        <w:t>的区属公办学校和区内</w:t>
      </w:r>
      <w:r>
        <w:rPr>
          <w:rFonts w:ascii="仿宋" w:hAnsi="仿宋" w:eastAsia="仿宋"/>
          <w:color w:val="auto"/>
          <w:sz w:val="32"/>
          <w:szCs w:val="32"/>
        </w:rPr>
        <w:t>民办学校的</w:t>
      </w:r>
      <w:r>
        <w:rPr>
          <w:rFonts w:hint="eastAsia" w:ascii="仿宋" w:hAnsi="仿宋" w:eastAsia="仿宋"/>
          <w:color w:val="auto"/>
          <w:sz w:val="32"/>
          <w:szCs w:val="32"/>
        </w:rPr>
        <w:t>具体招生工作由区招考办组织实施；东涌镇、大岗镇、榄核镇内区属公办学校具体招生工作由各镇教育指导中心组织实施。如遇体制改革等情况发生变化，另行通知。</w:t>
      </w:r>
    </w:p>
    <w:p>
      <w:pPr>
        <w:snapToGri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第十七条</w:t>
      </w:r>
      <w:r>
        <w:rPr>
          <w:rFonts w:hint="eastAsia" w:ascii="仿宋" w:hAnsi="仿宋" w:eastAsia="仿宋"/>
          <w:color w:val="auto"/>
          <w:sz w:val="32"/>
          <w:szCs w:val="32"/>
        </w:rPr>
        <w:t xml:space="preserve">  各单位要建立廉政风险防控机制、违纪举报和申诉受理机制，严格落实廉政招生和规范招生的要求，确保招生过程的各个环节公开透明。对出现负面清单中违规招生行为的单位和个人，按规定严肃处理。</w:t>
      </w:r>
    </w:p>
    <w:p>
      <w:pPr>
        <w:snapToGrid w:val="0"/>
        <w:spacing w:line="360" w:lineRule="auto"/>
        <w:ind w:firstLine="640" w:firstLineChars="200"/>
        <w:rPr>
          <w:rFonts w:ascii="仿宋" w:hAnsi="仿宋" w:eastAsia="仿宋"/>
          <w:color w:val="auto"/>
          <w:sz w:val="32"/>
          <w:szCs w:val="32"/>
        </w:rPr>
      </w:pPr>
    </w:p>
    <w:p>
      <w:pPr>
        <w:snapToGrid w:val="0"/>
        <w:spacing w:line="360" w:lineRule="auto"/>
        <w:jc w:val="center"/>
        <w:rPr>
          <w:rFonts w:ascii="楷体" w:hAnsi="楷体" w:eastAsia="楷体"/>
          <w:color w:val="auto"/>
          <w:sz w:val="32"/>
          <w:szCs w:val="32"/>
        </w:rPr>
      </w:pPr>
    </w:p>
    <w:p>
      <w:pPr>
        <w:snapToGrid w:val="0"/>
        <w:spacing w:line="360" w:lineRule="auto"/>
        <w:jc w:val="center"/>
        <w:rPr>
          <w:rFonts w:ascii="黑体" w:hAnsi="黑体" w:eastAsia="黑体"/>
          <w:color w:val="auto"/>
          <w:sz w:val="32"/>
          <w:szCs w:val="32"/>
        </w:rPr>
      </w:pPr>
      <w:r>
        <w:rPr>
          <w:rFonts w:hint="eastAsia" w:ascii="黑体" w:hAnsi="黑体" w:eastAsia="黑体"/>
          <w:color w:val="auto"/>
          <w:sz w:val="32"/>
          <w:szCs w:val="32"/>
        </w:rPr>
        <w:t>第五章 附则</w:t>
      </w:r>
    </w:p>
    <w:p>
      <w:pPr>
        <w:snapToGrid w:val="0"/>
        <w:spacing w:line="360" w:lineRule="auto"/>
        <w:ind w:firstLine="640" w:firstLineChars="200"/>
        <w:rPr>
          <w:rFonts w:ascii="仿宋" w:hAnsi="仿宋" w:eastAsia="仿宋"/>
          <w:color w:val="auto"/>
          <w:sz w:val="32"/>
          <w:szCs w:val="32"/>
        </w:rPr>
      </w:pPr>
    </w:p>
    <w:p>
      <w:pPr>
        <w:snapToGri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 xml:space="preserve">第十八条 </w:t>
      </w:r>
      <w:r>
        <w:rPr>
          <w:rFonts w:hint="eastAsia" w:ascii="仿宋" w:hAnsi="仿宋" w:eastAsia="仿宋"/>
          <w:color w:val="auto"/>
          <w:sz w:val="32"/>
          <w:szCs w:val="32"/>
        </w:rPr>
        <w:t>本细则自印发之日起实施,有效期</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年。实施后，《关于印发&lt;广州市南沙区义务教育阶段学校招生实施细则&gt;的通知》（穗南教规字〔2020〕1号）同时废止。如有关政策法律依据变化或者有效期届满前6个月，再根据实施情况进行修订。</w:t>
      </w:r>
    </w:p>
    <w:p>
      <w:pPr>
        <w:snapToGri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 xml:space="preserve">第十九条 </w:t>
      </w:r>
      <w:r>
        <w:rPr>
          <w:rFonts w:hint="eastAsia" w:ascii="仿宋" w:hAnsi="仿宋" w:eastAsia="仿宋"/>
          <w:color w:val="auto"/>
          <w:sz w:val="32"/>
          <w:szCs w:val="32"/>
        </w:rPr>
        <w:t>本实施细则由广州市南沙区教育行政</w:t>
      </w:r>
      <w:r>
        <w:rPr>
          <w:rFonts w:ascii="仿宋" w:hAnsi="仿宋" w:eastAsia="仿宋"/>
          <w:color w:val="auto"/>
          <w:sz w:val="32"/>
          <w:szCs w:val="32"/>
        </w:rPr>
        <w:t>部门</w:t>
      </w:r>
      <w:r>
        <w:rPr>
          <w:rFonts w:hint="eastAsia" w:ascii="仿宋" w:hAnsi="仿宋" w:eastAsia="仿宋"/>
          <w:color w:val="auto"/>
          <w:sz w:val="32"/>
          <w:szCs w:val="32"/>
        </w:rPr>
        <w:t>负责解释。</w:t>
      </w:r>
    </w:p>
    <w:p>
      <w:pPr>
        <w:widowControl/>
        <w:adjustRightInd w:val="0"/>
        <w:snapToGrid w:val="0"/>
        <w:spacing w:line="560" w:lineRule="exact"/>
        <w:jc w:val="left"/>
        <w:rPr>
          <w:rFonts w:eastAsia="黑体"/>
          <w:snapToGrid w:val="0"/>
          <w:color w:val="auto"/>
          <w:kern w:val="0"/>
          <w:sz w:val="32"/>
          <w:szCs w:val="32"/>
        </w:rPr>
      </w:pPr>
    </w:p>
    <w:p>
      <w:pPr>
        <w:widowControl/>
        <w:adjustRightInd w:val="0"/>
        <w:snapToGrid w:val="0"/>
        <w:spacing w:line="560" w:lineRule="exact"/>
        <w:jc w:val="left"/>
        <w:rPr>
          <w:rFonts w:eastAsia="黑体"/>
          <w:snapToGrid w:val="0"/>
          <w:color w:val="auto"/>
          <w:kern w:val="0"/>
          <w:sz w:val="32"/>
          <w:szCs w:val="32"/>
        </w:rPr>
      </w:pPr>
    </w:p>
    <w:p>
      <w:pPr>
        <w:widowControl/>
        <w:adjustRightInd w:val="0"/>
        <w:snapToGrid w:val="0"/>
        <w:spacing w:line="560" w:lineRule="exact"/>
        <w:jc w:val="left"/>
        <w:rPr>
          <w:rFonts w:hint="default" w:eastAsia="黑体"/>
          <w:snapToGrid w:val="0"/>
          <w:color w:val="auto"/>
          <w:kern w:val="0"/>
          <w:sz w:val="32"/>
          <w:szCs w:val="32"/>
          <w:lang w:val="en-US" w:eastAsia="zh-CN"/>
        </w:rPr>
      </w:pPr>
      <w:bookmarkStart w:id="2" w:name="_GoBack"/>
      <w:bookmarkEnd w:id="2"/>
      <w:r>
        <w:rPr>
          <w:rFonts w:eastAsia="黑体"/>
          <w:snapToGrid w:val="0"/>
          <w:color w:val="auto"/>
          <w:kern w:val="0"/>
          <w:sz w:val="32"/>
          <w:szCs w:val="32"/>
        </w:rPr>
        <w:t>附件</w:t>
      </w:r>
      <w:r>
        <w:rPr>
          <w:rFonts w:hint="eastAsia" w:eastAsia="黑体"/>
          <w:snapToGrid w:val="0"/>
          <w:color w:val="auto"/>
          <w:kern w:val="0"/>
          <w:sz w:val="32"/>
          <w:szCs w:val="32"/>
        </w:rPr>
        <w:t>1</w:t>
      </w:r>
      <w:r>
        <w:rPr>
          <w:rFonts w:hint="eastAsia" w:eastAsia="黑体"/>
          <w:snapToGrid w:val="0"/>
          <w:color w:val="auto"/>
          <w:kern w:val="0"/>
          <w:sz w:val="32"/>
          <w:szCs w:val="32"/>
          <w:lang w:val="en-US" w:eastAsia="zh-CN"/>
        </w:rPr>
        <w:t>-1</w:t>
      </w:r>
    </w:p>
    <w:p>
      <w:pPr>
        <w:adjustRightInd w:val="0"/>
        <w:snapToGrid w:val="0"/>
        <w:spacing w:line="560" w:lineRule="exact"/>
        <w:jc w:val="left"/>
        <w:rPr>
          <w:rFonts w:eastAsia="黑体"/>
          <w:snapToGrid w:val="0"/>
          <w:color w:val="auto"/>
          <w:kern w:val="0"/>
          <w:sz w:val="32"/>
          <w:szCs w:val="32"/>
        </w:rPr>
      </w:pPr>
    </w:p>
    <w:p>
      <w:pPr>
        <w:adjustRightInd w:val="0"/>
        <w:snapToGrid w:val="0"/>
        <w:spacing w:line="560" w:lineRule="exact"/>
        <w:jc w:val="center"/>
        <w:rPr>
          <w:rFonts w:ascii="方正小标宋_GBK" w:eastAsia="方正小标宋_GBK"/>
          <w:snapToGrid w:val="0"/>
          <w:color w:val="auto"/>
          <w:kern w:val="0"/>
          <w:sz w:val="44"/>
          <w:szCs w:val="44"/>
        </w:rPr>
      </w:pPr>
      <w:r>
        <w:rPr>
          <w:rFonts w:hint="eastAsia" w:ascii="方正小标宋_GBK" w:eastAsia="方正小标宋_GBK"/>
          <w:snapToGrid w:val="0"/>
          <w:color w:val="auto"/>
          <w:kern w:val="0"/>
          <w:sz w:val="44"/>
          <w:szCs w:val="44"/>
        </w:rPr>
        <w:t>广州市义务教育阶段政策性照顾学生清单</w:t>
      </w:r>
    </w:p>
    <w:p>
      <w:pPr>
        <w:adjustRightInd w:val="0"/>
        <w:snapToGrid w:val="0"/>
        <w:spacing w:line="560" w:lineRule="exact"/>
        <w:rPr>
          <w:rFonts w:ascii="方正小标宋_GBK" w:eastAsia="方正小标宋_GBK"/>
          <w:snapToGrid w:val="0"/>
          <w:color w:val="auto"/>
          <w:kern w:val="0"/>
          <w:sz w:val="44"/>
          <w:szCs w:val="44"/>
        </w:rPr>
      </w:pPr>
    </w:p>
    <w:tbl>
      <w:tblPr>
        <w:tblStyle w:val="9"/>
        <w:tblW w:w="8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791"/>
        <w:gridCol w:w="5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1" w:hRule="atLeast"/>
          <w:tblHeader/>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napToGrid w:val="0"/>
                <w:color w:val="auto"/>
                <w:kern w:val="0"/>
                <w:sz w:val="30"/>
                <w:szCs w:val="30"/>
              </w:rPr>
            </w:pPr>
            <w:r>
              <w:rPr>
                <w:rFonts w:ascii="黑体" w:hAnsi="黑体" w:eastAsia="黑体"/>
                <w:snapToGrid w:val="0"/>
                <w:color w:val="auto"/>
                <w:kern w:val="0"/>
                <w:sz w:val="30"/>
                <w:szCs w:val="30"/>
              </w:rPr>
              <w:t>序号</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napToGrid w:val="0"/>
                <w:color w:val="auto"/>
                <w:kern w:val="0"/>
                <w:sz w:val="30"/>
                <w:szCs w:val="30"/>
              </w:rPr>
            </w:pPr>
            <w:r>
              <w:rPr>
                <w:rFonts w:ascii="黑体" w:hAnsi="黑体" w:eastAsia="黑体"/>
                <w:snapToGrid w:val="0"/>
                <w:color w:val="auto"/>
                <w:kern w:val="0"/>
                <w:sz w:val="30"/>
                <w:szCs w:val="30"/>
              </w:rPr>
              <w:t>类别</w:t>
            </w: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hAnsi="黑体" w:eastAsia="黑体"/>
                <w:snapToGrid w:val="0"/>
                <w:color w:val="auto"/>
                <w:kern w:val="0"/>
                <w:sz w:val="30"/>
                <w:szCs w:val="30"/>
              </w:rPr>
            </w:pPr>
            <w:r>
              <w:rPr>
                <w:rFonts w:ascii="黑体" w:hAnsi="黑体" w:eastAsia="黑体"/>
                <w:snapToGrid w:val="0"/>
                <w:color w:val="auto"/>
                <w:kern w:val="0"/>
                <w:sz w:val="30"/>
                <w:szCs w:val="30"/>
              </w:rPr>
              <w:t>对    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napToGrid w:val="0"/>
                <w:color w:val="auto"/>
                <w:kern w:val="0"/>
                <w:sz w:val="28"/>
                <w:szCs w:val="28"/>
              </w:rPr>
            </w:pPr>
            <w:r>
              <w:rPr>
                <w:rFonts w:ascii="宋体" w:hAnsi="宋体"/>
                <w:snapToGrid w:val="0"/>
                <w:color w:val="auto"/>
                <w:kern w:val="0"/>
                <w:sz w:val="28"/>
                <w:szCs w:val="28"/>
              </w:rPr>
              <w:t>优抚群体类</w:t>
            </w: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烈士、因公牺牲军人、病故军人及现役军人的适龄子女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2</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在穗消防部门工作的消防救援人员的适龄子女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3</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合法领养或家庭寄养的孤儿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4</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父母均长期患重病或失去监护子女能力的残疾人委托本市监护人照顾的适龄子女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5</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napToGrid w:val="0"/>
                <w:color w:val="auto"/>
                <w:kern w:val="0"/>
                <w:sz w:val="28"/>
                <w:szCs w:val="28"/>
              </w:rPr>
            </w:pPr>
            <w:r>
              <w:rPr>
                <w:rFonts w:ascii="宋体" w:hAnsi="宋体"/>
                <w:snapToGrid w:val="0"/>
                <w:color w:val="auto"/>
                <w:kern w:val="0"/>
                <w:sz w:val="28"/>
                <w:szCs w:val="28"/>
              </w:rPr>
              <w:t>特殊行业类</w:t>
            </w: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父母均为从事地质勘探等长期野外工作，委托本市监护人照顾的适龄子女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6</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殡葬工人的适龄子女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7</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从事承担政府环卫作业工作服务连续两年及以上的环卫临时工适龄子女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8</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进藏干部职工子女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9</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napToGrid w:val="0"/>
                <w:color w:val="auto"/>
                <w:kern w:val="0"/>
                <w:sz w:val="28"/>
                <w:szCs w:val="28"/>
              </w:rPr>
            </w:pPr>
            <w:r>
              <w:rPr>
                <w:rFonts w:ascii="宋体" w:hAnsi="宋体"/>
                <w:snapToGrid w:val="0"/>
                <w:color w:val="auto"/>
                <w:kern w:val="0"/>
                <w:sz w:val="28"/>
                <w:szCs w:val="28"/>
              </w:rPr>
              <w:t>人才类</w:t>
            </w: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按规定引进的博士、博士后、外国专家的适龄子女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10</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来穗工作的留学人员的适龄子女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11</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高层次人才子女（含海外）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12</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“优粤卡”持有人未成年子女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13</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广州市人才绿卡持有人随迁子女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14</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优秀异地务工人员子女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15</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napToGrid w:val="0"/>
                <w:color w:val="auto"/>
                <w:kern w:val="0"/>
                <w:sz w:val="28"/>
                <w:szCs w:val="28"/>
              </w:rPr>
            </w:pPr>
            <w:r>
              <w:rPr>
                <w:rFonts w:ascii="宋体" w:hAnsi="宋体"/>
                <w:snapToGrid w:val="0"/>
                <w:color w:val="auto"/>
                <w:kern w:val="0"/>
                <w:sz w:val="28"/>
                <w:szCs w:val="28"/>
              </w:rPr>
              <w:t>境外群体类</w:t>
            </w: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海外华侨华人子女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16</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持《外国人永久居留身份证》的外籍人员随迁子女（含未成年的持证人本人）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17</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台胞子女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18</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有突出贡献的港、澳人士的适龄子女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19</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napToGrid w:val="0"/>
                <w:color w:val="auto"/>
                <w:kern w:val="0"/>
                <w:sz w:val="28"/>
                <w:szCs w:val="28"/>
              </w:rPr>
            </w:pPr>
            <w:r>
              <w:rPr>
                <w:rFonts w:ascii="宋体" w:hAnsi="宋体"/>
                <w:snapToGrid w:val="0"/>
                <w:color w:val="auto"/>
                <w:kern w:val="0"/>
                <w:sz w:val="28"/>
                <w:szCs w:val="28"/>
              </w:rPr>
              <w:t>驻穗领事馆等外交人员的适龄子女</w:t>
            </w:r>
          </w:p>
        </w:tc>
      </w:tr>
    </w:tbl>
    <w:p>
      <w:pPr>
        <w:spacing w:line="560" w:lineRule="exact"/>
        <w:rPr>
          <w:rFonts w:eastAsia="楷体_GB2312"/>
          <w:snapToGrid w:val="0"/>
          <w:color w:val="auto"/>
          <w:kern w:val="0"/>
          <w:sz w:val="28"/>
          <w:szCs w:val="28"/>
        </w:rPr>
      </w:pPr>
      <w:r>
        <w:rPr>
          <w:rFonts w:eastAsia="楷体_GB2312"/>
          <w:snapToGrid w:val="0"/>
          <w:color w:val="auto"/>
          <w:kern w:val="0"/>
          <w:sz w:val="28"/>
          <w:szCs w:val="28"/>
        </w:rPr>
        <w:t>备注：</w:t>
      </w:r>
    </w:p>
    <w:p>
      <w:pPr>
        <w:spacing w:line="560" w:lineRule="exact"/>
        <w:rPr>
          <w:rFonts w:eastAsia="楷体_GB2312"/>
          <w:snapToGrid w:val="0"/>
          <w:color w:val="auto"/>
          <w:kern w:val="0"/>
          <w:sz w:val="28"/>
          <w:szCs w:val="28"/>
        </w:rPr>
      </w:pPr>
      <w:r>
        <w:rPr>
          <w:rFonts w:eastAsia="楷体_GB2312"/>
          <w:snapToGrid w:val="0"/>
          <w:color w:val="auto"/>
          <w:kern w:val="0"/>
          <w:sz w:val="28"/>
          <w:szCs w:val="28"/>
        </w:rPr>
        <w:t>1.政策性照顾学生是指符合上述有关条件的非广州市户籍适龄儿童少年；经居住地所在区教育行政部门核实并公示的政策性照顾学生，由该区教育行政部门按免试就近入学原则安排到公办学校（含政府在民办学校购买的学位）就读。</w:t>
      </w:r>
    </w:p>
    <w:p>
      <w:pPr>
        <w:spacing w:line="560" w:lineRule="exact"/>
        <w:rPr>
          <w:rFonts w:eastAsia="楷体_GB2312"/>
          <w:snapToGrid w:val="0"/>
          <w:color w:val="auto"/>
          <w:kern w:val="0"/>
          <w:sz w:val="28"/>
          <w:szCs w:val="28"/>
        </w:rPr>
      </w:pPr>
      <w:r>
        <w:rPr>
          <w:rFonts w:eastAsia="楷体_GB2312"/>
          <w:snapToGrid w:val="0"/>
          <w:color w:val="auto"/>
          <w:kern w:val="0"/>
          <w:sz w:val="28"/>
          <w:szCs w:val="28"/>
        </w:rPr>
        <w:t>2.其他特殊情况由区以上教育行政部门根据有关政策确定。</w:t>
      </w:r>
    </w:p>
    <w:p>
      <w:pPr>
        <w:spacing w:line="560" w:lineRule="exact"/>
        <w:rPr>
          <w:rFonts w:eastAsia="楷体_GB2312"/>
          <w:snapToGrid w:val="0"/>
          <w:color w:val="auto"/>
          <w:kern w:val="0"/>
          <w:sz w:val="28"/>
          <w:szCs w:val="28"/>
        </w:rPr>
      </w:pPr>
      <w:r>
        <w:rPr>
          <w:rFonts w:eastAsia="楷体_GB2312"/>
          <w:snapToGrid w:val="0"/>
          <w:color w:val="auto"/>
          <w:kern w:val="0"/>
          <w:sz w:val="28"/>
          <w:szCs w:val="28"/>
        </w:rPr>
        <w:t>3.因上级政策调整等导致政策性照顾学生对象发生变化时，由市教育行政部门另行补充发文。</w:t>
      </w:r>
    </w:p>
    <w:p>
      <w:pPr>
        <w:widowControl/>
        <w:spacing w:line="560" w:lineRule="exact"/>
        <w:jc w:val="left"/>
        <w:rPr>
          <w:rFonts w:eastAsia="黑体"/>
          <w:snapToGrid w:val="0"/>
          <w:color w:val="auto"/>
          <w:kern w:val="0"/>
          <w:sz w:val="32"/>
          <w:szCs w:val="32"/>
        </w:rPr>
      </w:pPr>
    </w:p>
    <w:p>
      <w:pPr>
        <w:widowControl/>
        <w:adjustRightInd w:val="0"/>
        <w:snapToGrid w:val="0"/>
        <w:rPr>
          <w:rFonts w:ascii="黑体" w:hAnsi="黑体" w:eastAsia="黑体" w:cs="黑体"/>
          <w:color w:val="auto"/>
          <w:sz w:val="32"/>
          <w:szCs w:val="32"/>
        </w:rPr>
      </w:pPr>
    </w:p>
    <w:p>
      <w:pPr>
        <w:widowControl/>
        <w:adjustRightInd w:val="0"/>
        <w:snapToGrid w:val="0"/>
        <w:rPr>
          <w:rFonts w:ascii="黑体" w:hAnsi="黑体" w:eastAsia="黑体" w:cs="黑体"/>
          <w:color w:val="auto"/>
          <w:sz w:val="32"/>
          <w:szCs w:val="32"/>
        </w:rPr>
      </w:pPr>
    </w:p>
    <w:p>
      <w:pPr>
        <w:widowControl/>
        <w:adjustRightInd w:val="0"/>
        <w:snapToGrid w:val="0"/>
        <w:rPr>
          <w:rFonts w:ascii="黑体" w:hAnsi="黑体" w:eastAsia="黑体" w:cs="黑体"/>
          <w:color w:val="auto"/>
          <w:sz w:val="32"/>
          <w:szCs w:val="32"/>
        </w:rPr>
      </w:pPr>
    </w:p>
    <w:p>
      <w:pPr>
        <w:widowControl/>
        <w:adjustRightInd w:val="0"/>
        <w:snapToGrid w:val="0"/>
        <w:rPr>
          <w:rFonts w:ascii="黑体" w:hAnsi="黑体" w:eastAsia="黑体" w:cs="黑体"/>
          <w:color w:val="auto"/>
          <w:sz w:val="32"/>
          <w:szCs w:val="32"/>
        </w:rPr>
      </w:pPr>
    </w:p>
    <w:p>
      <w:pPr>
        <w:widowControl/>
        <w:adjustRightInd w:val="0"/>
        <w:snapToGrid w:val="0"/>
        <w:rPr>
          <w:rFonts w:ascii="黑体" w:hAnsi="黑体" w:eastAsia="黑体" w:cs="黑体"/>
          <w:color w:val="auto"/>
          <w:sz w:val="32"/>
          <w:szCs w:val="32"/>
        </w:rPr>
      </w:pPr>
    </w:p>
    <w:p>
      <w:pPr>
        <w:widowControl/>
        <w:adjustRightInd w:val="0"/>
        <w:snapToGrid w:val="0"/>
        <w:rPr>
          <w:rFonts w:ascii="黑体" w:hAnsi="黑体" w:eastAsia="黑体" w:cs="黑体"/>
          <w:color w:val="auto"/>
          <w:sz w:val="32"/>
          <w:szCs w:val="32"/>
        </w:rPr>
      </w:pPr>
    </w:p>
    <w:p>
      <w:pPr>
        <w:widowControl/>
        <w:adjustRightInd w:val="0"/>
        <w:snapToGrid w:val="0"/>
        <w:rPr>
          <w:rFonts w:ascii="黑体" w:hAnsi="黑体" w:eastAsia="黑体" w:cs="黑体"/>
          <w:color w:val="auto"/>
          <w:sz w:val="32"/>
          <w:szCs w:val="32"/>
        </w:rPr>
      </w:pPr>
    </w:p>
    <w:p>
      <w:pPr>
        <w:widowControl/>
        <w:adjustRightInd w:val="0"/>
        <w:snapToGrid w:val="0"/>
        <w:rPr>
          <w:rFonts w:ascii="黑体" w:hAnsi="黑体" w:eastAsia="黑体" w:cs="黑体"/>
          <w:color w:val="auto"/>
          <w:sz w:val="32"/>
          <w:szCs w:val="32"/>
        </w:rPr>
      </w:pPr>
    </w:p>
    <w:p>
      <w:pPr>
        <w:widowControl/>
        <w:adjustRightInd w:val="0"/>
        <w:snapToGrid w:val="0"/>
        <w:rPr>
          <w:rFonts w:ascii="黑体" w:hAnsi="黑体" w:eastAsia="黑体" w:cs="黑体"/>
          <w:color w:val="auto"/>
          <w:sz w:val="32"/>
          <w:szCs w:val="32"/>
        </w:rPr>
      </w:pPr>
    </w:p>
    <w:p>
      <w:pPr>
        <w:widowControl/>
        <w:adjustRightInd w:val="0"/>
        <w:snapToGrid w:val="0"/>
        <w:rPr>
          <w:rFonts w:ascii="黑体" w:hAnsi="黑体" w:eastAsia="黑体" w:cs="黑体"/>
          <w:color w:val="auto"/>
          <w:sz w:val="32"/>
          <w:szCs w:val="32"/>
        </w:rPr>
      </w:pPr>
    </w:p>
    <w:p>
      <w:pPr>
        <w:widowControl/>
        <w:adjustRightInd w:val="0"/>
        <w:snapToGrid w:val="0"/>
        <w:rPr>
          <w:rFonts w:ascii="黑体" w:hAnsi="黑体" w:eastAsia="黑体" w:cs="黑体"/>
          <w:color w:val="auto"/>
          <w:sz w:val="32"/>
          <w:szCs w:val="32"/>
        </w:rPr>
      </w:pPr>
    </w:p>
    <w:p>
      <w:pPr>
        <w:widowControl/>
        <w:adjustRightInd w:val="0"/>
        <w:snapToGrid w:val="0"/>
        <w:rPr>
          <w:rFonts w:ascii="黑体" w:hAnsi="黑体" w:eastAsia="黑体" w:cs="黑体"/>
          <w:color w:val="auto"/>
          <w:sz w:val="32"/>
          <w:szCs w:val="32"/>
        </w:rPr>
      </w:pPr>
    </w:p>
    <w:p>
      <w:pPr>
        <w:widowControl/>
        <w:adjustRightInd w:val="0"/>
        <w:snapToGrid w:val="0"/>
        <w:rPr>
          <w:rFonts w:ascii="仿宋_GB2312" w:hAnsi="仿宋_GB2312" w:eastAsia="黑体" w:cs="仿宋_GB2312"/>
          <w:color w:val="auto"/>
          <w:szCs w:val="21"/>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2</w:t>
      </w:r>
    </w:p>
    <w:p>
      <w:pPr>
        <w:widowControl/>
        <w:adjustRightInd w:val="0"/>
        <w:snapToGrid w:val="0"/>
        <w:rPr>
          <w:rFonts w:ascii="仿宋_GB2312" w:hAnsi="仿宋_GB2312" w:eastAsia="仿宋_GB2312" w:cs="仿宋_GB2312"/>
          <w:color w:val="auto"/>
          <w:szCs w:val="21"/>
        </w:rPr>
      </w:pPr>
    </w:p>
    <w:p>
      <w:pPr>
        <w:widowControl/>
        <w:adjustRightInd w:val="0"/>
        <w:snapToGrid w:val="0"/>
        <w:rPr>
          <w:rFonts w:ascii="仿宋_GB2312" w:hAnsi="仿宋_GB2312" w:eastAsia="仿宋_GB2312" w:cs="仿宋_GB2312"/>
          <w:color w:val="auto"/>
          <w:szCs w:val="21"/>
        </w:rPr>
      </w:pPr>
    </w:p>
    <w:p>
      <w:pPr>
        <w:adjustRightInd w:val="0"/>
        <w:snapToGrid w:val="0"/>
        <w:spacing w:line="560" w:lineRule="exact"/>
        <w:jc w:val="center"/>
        <w:rPr>
          <w:rFonts w:hint="eastAsia" w:ascii="方正小标宋_GBK" w:eastAsia="方正小标宋_GBK"/>
          <w:snapToGrid w:val="0"/>
          <w:color w:val="auto"/>
          <w:kern w:val="0"/>
          <w:sz w:val="44"/>
          <w:szCs w:val="44"/>
        </w:rPr>
      </w:pPr>
      <w:r>
        <w:rPr>
          <w:rFonts w:hint="eastAsia" w:ascii="方正小标宋_GBK" w:eastAsia="方正小标宋_GBK"/>
          <w:snapToGrid w:val="0"/>
          <w:color w:val="auto"/>
          <w:kern w:val="0"/>
          <w:sz w:val="44"/>
          <w:szCs w:val="44"/>
        </w:rPr>
        <w:t>广州市义务教育学校招生负面清单</w:t>
      </w:r>
    </w:p>
    <w:p>
      <w:pPr>
        <w:widowControl/>
        <w:spacing w:line="560" w:lineRule="exact"/>
        <w:jc w:val="left"/>
        <w:rPr>
          <w:color w:val="auto"/>
        </w:rPr>
      </w:pPr>
    </w:p>
    <w:tbl>
      <w:tblPr>
        <w:tblStyle w:val="9"/>
        <w:tblW w:w="8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560" w:lineRule="exact"/>
              <w:jc w:val="center"/>
              <w:rPr>
                <w:rFonts w:ascii="黑体" w:hAnsi="黑体" w:eastAsia="黑体"/>
                <w:snapToGrid w:val="0"/>
                <w:color w:val="auto"/>
                <w:kern w:val="0"/>
                <w:sz w:val="28"/>
                <w:szCs w:val="28"/>
              </w:rPr>
            </w:pPr>
            <w:r>
              <w:rPr>
                <w:rFonts w:ascii="黑体" w:hAnsi="黑体" w:eastAsia="黑体"/>
                <w:snapToGrid w:val="0"/>
                <w:color w:val="auto"/>
                <w:kern w:val="0"/>
                <w:sz w:val="28"/>
                <w:szCs w:val="28"/>
              </w:rPr>
              <w:t>序号</w:t>
            </w:r>
          </w:p>
        </w:tc>
        <w:tc>
          <w:tcPr>
            <w:tcW w:w="7371" w:type="dxa"/>
            <w:shd w:val="clear" w:color="auto" w:fill="auto"/>
            <w:noWrap w:val="0"/>
            <w:vAlign w:val="center"/>
          </w:tcPr>
          <w:p>
            <w:pPr>
              <w:adjustRightInd w:val="0"/>
              <w:snapToGrid w:val="0"/>
              <w:spacing w:line="320" w:lineRule="exact"/>
              <w:jc w:val="center"/>
              <w:rPr>
                <w:rFonts w:ascii="黑体" w:hAnsi="黑体" w:eastAsia="黑体"/>
                <w:snapToGrid w:val="0"/>
                <w:color w:val="auto"/>
                <w:kern w:val="0"/>
                <w:sz w:val="28"/>
                <w:szCs w:val="28"/>
              </w:rPr>
            </w:pPr>
            <w:r>
              <w:rPr>
                <w:rFonts w:ascii="黑体" w:hAnsi="黑体" w:eastAsia="黑体"/>
                <w:snapToGrid w:val="0"/>
                <w:color w:val="auto"/>
                <w:kern w:val="0"/>
                <w:sz w:val="28"/>
                <w:szCs w:val="28"/>
              </w:rPr>
              <w:t>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ascii="宋体" w:hAnsi="宋体"/>
                <w:snapToGrid w:val="0"/>
                <w:color w:val="auto"/>
                <w:kern w:val="0"/>
                <w:sz w:val="28"/>
                <w:szCs w:val="28"/>
              </w:rPr>
              <w:t>1</w:t>
            </w:r>
          </w:p>
        </w:tc>
        <w:tc>
          <w:tcPr>
            <w:tcW w:w="7371" w:type="dxa"/>
            <w:shd w:val="clear" w:color="auto" w:fill="auto"/>
            <w:noWrap w:val="0"/>
            <w:vAlign w:val="center"/>
          </w:tcPr>
          <w:p>
            <w:pPr>
              <w:adjustRightInd w:val="0"/>
              <w:snapToGrid w:val="0"/>
              <w:spacing w:line="320" w:lineRule="exact"/>
              <w:rPr>
                <w:rFonts w:ascii="宋体" w:hAnsi="宋体"/>
                <w:b/>
                <w:snapToGrid w:val="0"/>
                <w:color w:val="auto"/>
                <w:kern w:val="0"/>
                <w:sz w:val="28"/>
                <w:szCs w:val="28"/>
              </w:rPr>
            </w:pPr>
            <w:r>
              <w:rPr>
                <w:rFonts w:ascii="宋体" w:hAnsi="宋体"/>
                <w:snapToGrid w:val="0"/>
                <w:color w:val="auto"/>
                <w:kern w:val="0"/>
                <w:sz w:val="28"/>
                <w:szCs w:val="28"/>
              </w:rPr>
              <w:t>采取考试</w:t>
            </w:r>
            <w:r>
              <w:rPr>
                <w:rFonts w:hint="eastAsia" w:ascii="宋体" w:hAnsi="宋体"/>
                <w:snapToGrid w:val="0"/>
                <w:color w:val="auto"/>
                <w:kern w:val="0"/>
                <w:sz w:val="28"/>
                <w:szCs w:val="28"/>
              </w:rPr>
              <w:t>、面试、人机对话等</w:t>
            </w:r>
            <w:r>
              <w:rPr>
                <w:rFonts w:ascii="宋体" w:hAnsi="宋体"/>
                <w:snapToGrid w:val="0"/>
                <w:color w:val="auto"/>
                <w:kern w:val="0"/>
                <w:sz w:val="28"/>
                <w:szCs w:val="28"/>
              </w:rPr>
              <w:t>方式选拔学生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ascii="宋体" w:hAnsi="宋体"/>
                <w:snapToGrid w:val="0"/>
                <w:color w:val="auto"/>
                <w:kern w:val="0"/>
                <w:sz w:val="28"/>
                <w:szCs w:val="28"/>
              </w:rPr>
              <w:t>2</w:t>
            </w:r>
          </w:p>
        </w:tc>
        <w:tc>
          <w:tcPr>
            <w:tcW w:w="7371" w:type="dxa"/>
            <w:shd w:val="clear" w:color="auto" w:fill="auto"/>
            <w:noWrap w:val="0"/>
            <w:vAlign w:val="center"/>
          </w:tcPr>
          <w:p>
            <w:pPr>
              <w:adjustRightInd w:val="0"/>
              <w:snapToGrid w:val="0"/>
              <w:spacing w:line="320" w:lineRule="exact"/>
              <w:rPr>
                <w:rFonts w:ascii="宋体" w:hAnsi="宋体"/>
                <w:b/>
                <w:snapToGrid w:val="0"/>
                <w:color w:val="auto"/>
                <w:kern w:val="0"/>
                <w:sz w:val="28"/>
                <w:szCs w:val="28"/>
              </w:rPr>
            </w:pPr>
            <w:r>
              <w:rPr>
                <w:rFonts w:ascii="宋体" w:hAnsi="宋体"/>
                <w:snapToGrid w:val="0"/>
                <w:color w:val="auto"/>
                <w:kern w:val="0"/>
                <w:sz w:val="28"/>
                <w:szCs w:val="28"/>
              </w:rPr>
              <w:t>不按核准的办学层次、办学规模和招生计划进行招生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ascii="宋体" w:hAnsi="宋体"/>
                <w:snapToGrid w:val="0"/>
                <w:color w:val="auto"/>
                <w:kern w:val="0"/>
                <w:sz w:val="28"/>
                <w:szCs w:val="28"/>
              </w:rPr>
              <w:t>3</w:t>
            </w:r>
          </w:p>
        </w:tc>
        <w:tc>
          <w:tcPr>
            <w:tcW w:w="7371" w:type="dxa"/>
            <w:shd w:val="clear" w:color="auto" w:fill="auto"/>
            <w:noWrap w:val="0"/>
            <w:vAlign w:val="center"/>
          </w:tcPr>
          <w:p>
            <w:pPr>
              <w:adjustRightInd w:val="0"/>
              <w:snapToGrid w:val="0"/>
              <w:spacing w:line="320" w:lineRule="exact"/>
              <w:rPr>
                <w:rFonts w:ascii="宋体" w:hAnsi="宋体"/>
                <w:b/>
                <w:snapToGrid w:val="0"/>
                <w:color w:val="auto"/>
                <w:kern w:val="0"/>
                <w:sz w:val="28"/>
                <w:szCs w:val="28"/>
              </w:rPr>
            </w:pPr>
            <w:r>
              <w:rPr>
                <w:rFonts w:ascii="宋体" w:hAnsi="宋体"/>
                <w:snapToGrid w:val="0"/>
                <w:color w:val="auto"/>
                <w:kern w:val="0"/>
                <w:sz w:val="28"/>
                <w:szCs w:val="28"/>
              </w:rPr>
              <w:t>借助社会团体、培训机构等组织通过考试、竞赛、培训、测试排名</w:t>
            </w:r>
            <w:r>
              <w:rPr>
                <w:rFonts w:hint="eastAsia" w:ascii="宋体" w:hAnsi="宋体"/>
                <w:snapToGrid w:val="0"/>
                <w:color w:val="auto"/>
                <w:kern w:val="0"/>
                <w:sz w:val="28"/>
                <w:szCs w:val="28"/>
              </w:rPr>
              <w:t>、夏（冬）令营、研学活动</w:t>
            </w:r>
            <w:r>
              <w:rPr>
                <w:rFonts w:ascii="宋体" w:hAnsi="宋体"/>
                <w:snapToGrid w:val="0"/>
                <w:color w:val="auto"/>
                <w:kern w:val="0"/>
                <w:sz w:val="28"/>
                <w:szCs w:val="28"/>
              </w:rPr>
              <w:t>等形式选拔学生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ascii="宋体" w:hAnsi="宋体"/>
                <w:snapToGrid w:val="0"/>
                <w:color w:val="auto"/>
                <w:kern w:val="0"/>
                <w:sz w:val="28"/>
                <w:szCs w:val="28"/>
              </w:rPr>
              <w:t>4</w:t>
            </w:r>
          </w:p>
        </w:tc>
        <w:tc>
          <w:tcPr>
            <w:tcW w:w="7371" w:type="dxa"/>
            <w:shd w:val="clear" w:color="auto" w:fill="auto"/>
            <w:noWrap w:val="0"/>
            <w:vAlign w:val="center"/>
          </w:tcPr>
          <w:p>
            <w:pPr>
              <w:adjustRightInd w:val="0"/>
              <w:snapToGrid w:val="0"/>
              <w:spacing w:line="320" w:lineRule="exact"/>
              <w:rPr>
                <w:rFonts w:ascii="宋体" w:hAnsi="宋体"/>
                <w:b/>
                <w:snapToGrid w:val="0"/>
                <w:color w:val="auto"/>
                <w:kern w:val="0"/>
                <w:sz w:val="28"/>
                <w:szCs w:val="28"/>
              </w:rPr>
            </w:pPr>
            <w:r>
              <w:rPr>
                <w:rFonts w:ascii="宋体" w:hAnsi="宋体"/>
                <w:snapToGrid w:val="0"/>
                <w:color w:val="auto"/>
                <w:kern w:val="0"/>
                <w:sz w:val="28"/>
                <w:szCs w:val="28"/>
              </w:rPr>
              <w:t>参与社会团体、培训机构等组织举办的与升学相关的讲座、宣传等活动，或为其提供场地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5</w:t>
            </w:r>
          </w:p>
        </w:tc>
        <w:tc>
          <w:tcPr>
            <w:tcW w:w="7371" w:type="dxa"/>
            <w:shd w:val="clear" w:color="auto" w:fill="auto"/>
            <w:noWrap w:val="0"/>
            <w:vAlign w:val="center"/>
          </w:tcPr>
          <w:p>
            <w:pPr>
              <w:adjustRightInd w:val="0"/>
              <w:snapToGrid w:val="0"/>
              <w:spacing w:line="320" w:lineRule="exact"/>
              <w:rPr>
                <w:rFonts w:ascii="宋体" w:hAnsi="宋体"/>
                <w:snapToGrid w:val="0"/>
                <w:color w:val="auto"/>
                <w:kern w:val="0"/>
                <w:sz w:val="28"/>
                <w:szCs w:val="28"/>
              </w:rPr>
            </w:pPr>
            <w:r>
              <w:rPr>
                <w:rFonts w:hint="eastAsia" w:ascii="宋体" w:hAnsi="宋体"/>
                <w:snapToGrid w:val="0"/>
                <w:color w:val="auto"/>
                <w:kern w:val="0"/>
                <w:sz w:val="28"/>
                <w:szCs w:val="28"/>
              </w:rPr>
              <w:t>民办中小学提前组织面向幼儿园大班幼儿、小学毕业生的招生宣讲，或变相遴选学生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6</w:t>
            </w:r>
          </w:p>
        </w:tc>
        <w:tc>
          <w:tcPr>
            <w:tcW w:w="7371" w:type="dxa"/>
            <w:shd w:val="clear" w:color="auto" w:fill="auto"/>
            <w:noWrap w:val="0"/>
            <w:vAlign w:val="center"/>
          </w:tcPr>
          <w:p>
            <w:pPr>
              <w:adjustRightInd w:val="0"/>
              <w:snapToGrid w:val="0"/>
              <w:spacing w:line="320" w:lineRule="exact"/>
              <w:rPr>
                <w:rFonts w:ascii="宋体" w:hAnsi="宋体"/>
                <w:b/>
                <w:snapToGrid w:val="0"/>
                <w:color w:val="auto"/>
                <w:kern w:val="0"/>
                <w:sz w:val="28"/>
                <w:szCs w:val="28"/>
              </w:rPr>
            </w:pPr>
            <w:r>
              <w:rPr>
                <w:rFonts w:ascii="宋体" w:hAnsi="宋体"/>
                <w:snapToGrid w:val="0"/>
                <w:color w:val="auto"/>
                <w:kern w:val="0"/>
                <w:sz w:val="28"/>
                <w:szCs w:val="28"/>
              </w:rPr>
              <w:t>不按照教育行政部门规定的时间进行招生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7</w:t>
            </w:r>
          </w:p>
        </w:tc>
        <w:tc>
          <w:tcPr>
            <w:tcW w:w="7371" w:type="dxa"/>
            <w:shd w:val="clear" w:color="auto" w:fill="auto"/>
            <w:noWrap w:val="0"/>
            <w:vAlign w:val="center"/>
          </w:tcPr>
          <w:p>
            <w:pPr>
              <w:adjustRightInd w:val="0"/>
              <w:snapToGrid w:val="0"/>
              <w:spacing w:line="320" w:lineRule="exact"/>
              <w:rPr>
                <w:rFonts w:ascii="宋体" w:hAnsi="宋体"/>
                <w:b/>
                <w:snapToGrid w:val="0"/>
                <w:color w:val="auto"/>
                <w:kern w:val="0"/>
                <w:sz w:val="28"/>
                <w:szCs w:val="28"/>
              </w:rPr>
            </w:pPr>
            <w:r>
              <w:rPr>
                <w:rFonts w:ascii="宋体" w:hAnsi="宋体"/>
                <w:snapToGrid w:val="0"/>
                <w:color w:val="auto"/>
                <w:kern w:val="0"/>
                <w:sz w:val="28"/>
                <w:szCs w:val="28"/>
              </w:rPr>
              <w:t>发布虚假的招生简章、广告等信息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8</w:t>
            </w:r>
          </w:p>
        </w:tc>
        <w:tc>
          <w:tcPr>
            <w:tcW w:w="7371" w:type="dxa"/>
            <w:shd w:val="clear" w:color="auto" w:fill="auto"/>
            <w:noWrap w:val="0"/>
            <w:vAlign w:val="center"/>
          </w:tcPr>
          <w:p>
            <w:pPr>
              <w:adjustRightInd w:val="0"/>
              <w:snapToGrid w:val="0"/>
              <w:spacing w:line="320" w:lineRule="exact"/>
              <w:rPr>
                <w:rFonts w:ascii="宋体" w:hAnsi="宋体"/>
                <w:b/>
                <w:snapToGrid w:val="0"/>
                <w:color w:val="auto"/>
                <w:kern w:val="0"/>
                <w:sz w:val="28"/>
                <w:szCs w:val="28"/>
              </w:rPr>
            </w:pPr>
            <w:r>
              <w:rPr>
                <w:rFonts w:hint="eastAsia" w:ascii="宋体" w:hAnsi="宋体"/>
                <w:snapToGrid w:val="0"/>
                <w:color w:val="auto"/>
                <w:kern w:val="0"/>
                <w:sz w:val="28"/>
                <w:szCs w:val="28"/>
              </w:rPr>
              <w:t>幼儿园向小学、小学向初中推荐生源或提供学生信息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9</w:t>
            </w:r>
          </w:p>
        </w:tc>
        <w:tc>
          <w:tcPr>
            <w:tcW w:w="7371" w:type="dxa"/>
            <w:shd w:val="clear" w:color="auto" w:fill="auto"/>
            <w:noWrap w:val="0"/>
            <w:vAlign w:val="center"/>
          </w:tcPr>
          <w:p>
            <w:pPr>
              <w:adjustRightInd w:val="0"/>
              <w:snapToGrid w:val="0"/>
              <w:spacing w:line="320" w:lineRule="exact"/>
              <w:rPr>
                <w:rFonts w:ascii="宋体" w:hAnsi="宋体"/>
                <w:b/>
                <w:snapToGrid w:val="0"/>
                <w:color w:val="auto"/>
                <w:kern w:val="0"/>
                <w:sz w:val="28"/>
                <w:szCs w:val="28"/>
              </w:rPr>
            </w:pPr>
            <w:r>
              <w:rPr>
                <w:rFonts w:ascii="宋体" w:hAnsi="宋体"/>
                <w:snapToGrid w:val="0"/>
                <w:color w:val="auto"/>
                <w:kern w:val="0"/>
                <w:sz w:val="28"/>
                <w:szCs w:val="28"/>
              </w:rPr>
              <w:t>以重点班、快慢班</w:t>
            </w:r>
            <w:r>
              <w:rPr>
                <w:rFonts w:hint="eastAsia" w:ascii="宋体" w:hAnsi="宋体"/>
                <w:snapToGrid w:val="0"/>
                <w:color w:val="auto"/>
                <w:kern w:val="0"/>
                <w:sz w:val="28"/>
                <w:szCs w:val="28"/>
              </w:rPr>
              <w:t>、“国际部”、“国际课程班”</w:t>
            </w:r>
            <w:r>
              <w:rPr>
                <w:rFonts w:ascii="宋体" w:hAnsi="宋体"/>
                <w:snapToGrid w:val="0"/>
                <w:color w:val="auto"/>
                <w:kern w:val="0"/>
                <w:sz w:val="28"/>
                <w:szCs w:val="28"/>
              </w:rPr>
              <w:t>等各种名义进行招生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10</w:t>
            </w:r>
          </w:p>
        </w:tc>
        <w:tc>
          <w:tcPr>
            <w:tcW w:w="7371" w:type="dxa"/>
            <w:shd w:val="clear" w:color="auto" w:fill="auto"/>
            <w:noWrap w:val="0"/>
            <w:vAlign w:val="center"/>
          </w:tcPr>
          <w:p>
            <w:pPr>
              <w:adjustRightInd w:val="0"/>
              <w:snapToGrid w:val="0"/>
              <w:spacing w:line="320" w:lineRule="exact"/>
              <w:rPr>
                <w:rFonts w:ascii="宋体" w:hAnsi="宋体"/>
                <w:b/>
                <w:snapToGrid w:val="0"/>
                <w:color w:val="auto"/>
                <w:kern w:val="0"/>
                <w:sz w:val="28"/>
                <w:szCs w:val="28"/>
              </w:rPr>
            </w:pPr>
            <w:r>
              <w:rPr>
                <w:rFonts w:ascii="宋体" w:hAnsi="宋体"/>
                <w:snapToGrid w:val="0"/>
                <w:color w:val="auto"/>
                <w:kern w:val="0"/>
                <w:sz w:val="28"/>
                <w:szCs w:val="28"/>
              </w:rPr>
              <w:t>以各类竞赛、考试证书等作为招生入学的依据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ascii="宋体" w:hAnsi="宋体"/>
                <w:snapToGrid w:val="0"/>
                <w:color w:val="auto"/>
                <w:kern w:val="0"/>
                <w:sz w:val="28"/>
                <w:szCs w:val="28"/>
              </w:rPr>
              <w:t>1</w:t>
            </w:r>
            <w:r>
              <w:rPr>
                <w:rFonts w:hint="eastAsia" w:ascii="宋体" w:hAnsi="宋体"/>
                <w:snapToGrid w:val="0"/>
                <w:color w:val="auto"/>
                <w:kern w:val="0"/>
                <w:sz w:val="28"/>
                <w:szCs w:val="28"/>
              </w:rPr>
              <w:t>1</w:t>
            </w:r>
          </w:p>
        </w:tc>
        <w:tc>
          <w:tcPr>
            <w:tcW w:w="7371" w:type="dxa"/>
            <w:shd w:val="clear" w:color="auto" w:fill="auto"/>
            <w:noWrap w:val="0"/>
            <w:vAlign w:val="center"/>
          </w:tcPr>
          <w:p>
            <w:pPr>
              <w:adjustRightInd w:val="0"/>
              <w:snapToGrid w:val="0"/>
              <w:spacing w:line="320" w:lineRule="exact"/>
              <w:rPr>
                <w:rFonts w:ascii="宋体" w:hAnsi="宋体"/>
                <w:b/>
                <w:snapToGrid w:val="0"/>
                <w:color w:val="auto"/>
                <w:kern w:val="0"/>
                <w:sz w:val="28"/>
                <w:szCs w:val="28"/>
              </w:rPr>
            </w:pPr>
            <w:r>
              <w:rPr>
                <w:rFonts w:ascii="宋体" w:hAnsi="宋体"/>
                <w:snapToGrid w:val="0"/>
                <w:color w:val="auto"/>
                <w:kern w:val="0"/>
                <w:sz w:val="28"/>
                <w:szCs w:val="28"/>
              </w:rPr>
              <w:t>为社会团体、培训机构等组织举办任何学科竞赛、综合能力竞赛和考级等活动提供场地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ascii="宋体" w:hAnsi="宋体"/>
                <w:snapToGrid w:val="0"/>
                <w:color w:val="auto"/>
                <w:kern w:val="0"/>
                <w:sz w:val="28"/>
                <w:szCs w:val="28"/>
              </w:rPr>
              <w:t>1</w:t>
            </w:r>
            <w:r>
              <w:rPr>
                <w:rFonts w:hint="eastAsia" w:ascii="宋体" w:hAnsi="宋体"/>
                <w:snapToGrid w:val="0"/>
                <w:color w:val="auto"/>
                <w:kern w:val="0"/>
                <w:sz w:val="28"/>
                <w:szCs w:val="28"/>
              </w:rPr>
              <w:t>2</w:t>
            </w:r>
          </w:p>
        </w:tc>
        <w:tc>
          <w:tcPr>
            <w:tcW w:w="7371" w:type="dxa"/>
            <w:shd w:val="clear" w:color="auto" w:fill="auto"/>
            <w:noWrap w:val="0"/>
            <w:vAlign w:val="center"/>
          </w:tcPr>
          <w:p>
            <w:pPr>
              <w:adjustRightInd w:val="0"/>
              <w:snapToGrid w:val="0"/>
              <w:spacing w:line="320" w:lineRule="exact"/>
              <w:rPr>
                <w:rFonts w:ascii="宋体" w:hAnsi="宋体"/>
                <w:snapToGrid w:val="0"/>
                <w:color w:val="auto"/>
                <w:kern w:val="0"/>
                <w:sz w:val="28"/>
                <w:szCs w:val="28"/>
              </w:rPr>
            </w:pPr>
            <w:r>
              <w:rPr>
                <w:rFonts w:ascii="宋体" w:hAnsi="宋体"/>
                <w:snapToGrid w:val="0"/>
                <w:color w:val="auto"/>
                <w:kern w:val="0"/>
                <w:sz w:val="28"/>
                <w:szCs w:val="28"/>
              </w:rPr>
              <w:t>未经批准组织学生参加包括“奥赛”在内的各种学科竞赛、综合能力测试、读书读报评奖和考级等竞赛活动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13</w:t>
            </w:r>
          </w:p>
        </w:tc>
        <w:tc>
          <w:tcPr>
            <w:tcW w:w="7371" w:type="dxa"/>
            <w:shd w:val="clear" w:color="auto" w:fill="auto"/>
            <w:noWrap w:val="0"/>
            <w:vAlign w:val="center"/>
          </w:tcPr>
          <w:p>
            <w:pPr>
              <w:adjustRightInd w:val="0"/>
              <w:snapToGrid w:val="0"/>
              <w:spacing w:line="320" w:lineRule="exact"/>
              <w:rPr>
                <w:rFonts w:ascii="宋体" w:hAnsi="宋体"/>
                <w:snapToGrid w:val="0"/>
                <w:color w:val="auto"/>
                <w:kern w:val="0"/>
                <w:sz w:val="28"/>
                <w:szCs w:val="28"/>
              </w:rPr>
            </w:pPr>
            <w:r>
              <w:rPr>
                <w:rFonts w:ascii="宋体" w:hAnsi="宋体"/>
                <w:snapToGrid w:val="0"/>
                <w:color w:val="auto"/>
                <w:kern w:val="0"/>
                <w:sz w:val="28"/>
                <w:szCs w:val="28"/>
              </w:rPr>
              <w:t>通过设置奖金等方式违规争抢生源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ascii="宋体" w:hAnsi="宋体"/>
                <w:snapToGrid w:val="0"/>
                <w:color w:val="auto"/>
                <w:kern w:val="0"/>
                <w:sz w:val="28"/>
                <w:szCs w:val="28"/>
              </w:rPr>
              <w:t>1</w:t>
            </w:r>
            <w:r>
              <w:rPr>
                <w:rFonts w:hint="eastAsia" w:ascii="宋体" w:hAnsi="宋体"/>
                <w:snapToGrid w:val="0"/>
                <w:color w:val="auto"/>
                <w:kern w:val="0"/>
                <w:sz w:val="28"/>
                <w:szCs w:val="28"/>
              </w:rPr>
              <w:t>4</w:t>
            </w:r>
          </w:p>
        </w:tc>
        <w:tc>
          <w:tcPr>
            <w:tcW w:w="7371" w:type="dxa"/>
            <w:shd w:val="clear" w:color="auto" w:fill="auto"/>
            <w:noWrap w:val="0"/>
            <w:vAlign w:val="center"/>
          </w:tcPr>
          <w:p>
            <w:pPr>
              <w:adjustRightInd w:val="0"/>
              <w:snapToGrid w:val="0"/>
              <w:spacing w:line="320" w:lineRule="exact"/>
              <w:rPr>
                <w:rFonts w:ascii="宋体" w:hAnsi="宋体"/>
                <w:b/>
                <w:snapToGrid w:val="0"/>
                <w:color w:val="auto"/>
                <w:kern w:val="0"/>
                <w:sz w:val="28"/>
                <w:szCs w:val="28"/>
              </w:rPr>
            </w:pPr>
            <w:r>
              <w:rPr>
                <w:rFonts w:ascii="宋体" w:hAnsi="宋体"/>
                <w:snapToGrid w:val="0"/>
                <w:color w:val="auto"/>
                <w:kern w:val="0"/>
                <w:sz w:val="28"/>
                <w:szCs w:val="28"/>
              </w:rPr>
              <w:t>公办学校拒绝接收本服务区应接收的学生，或拒绝教育行政部门统筹安排的学生入学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ascii="宋体" w:hAnsi="宋体"/>
                <w:snapToGrid w:val="0"/>
                <w:color w:val="auto"/>
                <w:kern w:val="0"/>
                <w:sz w:val="28"/>
                <w:szCs w:val="28"/>
              </w:rPr>
              <w:t>1</w:t>
            </w:r>
            <w:r>
              <w:rPr>
                <w:rFonts w:hint="eastAsia" w:ascii="宋体" w:hAnsi="宋体"/>
                <w:snapToGrid w:val="0"/>
                <w:color w:val="auto"/>
                <w:kern w:val="0"/>
                <w:sz w:val="28"/>
                <w:szCs w:val="28"/>
              </w:rPr>
              <w:t>5</w:t>
            </w:r>
          </w:p>
        </w:tc>
        <w:tc>
          <w:tcPr>
            <w:tcW w:w="7371" w:type="dxa"/>
            <w:shd w:val="clear" w:color="auto" w:fill="auto"/>
            <w:noWrap w:val="0"/>
            <w:vAlign w:val="center"/>
          </w:tcPr>
          <w:p>
            <w:pPr>
              <w:adjustRightInd w:val="0"/>
              <w:snapToGrid w:val="0"/>
              <w:spacing w:line="320" w:lineRule="exact"/>
              <w:rPr>
                <w:rFonts w:ascii="宋体" w:hAnsi="宋体"/>
                <w:b/>
                <w:snapToGrid w:val="0"/>
                <w:color w:val="auto"/>
                <w:kern w:val="0"/>
                <w:sz w:val="28"/>
                <w:szCs w:val="28"/>
              </w:rPr>
            </w:pPr>
            <w:r>
              <w:rPr>
                <w:rFonts w:ascii="宋体" w:hAnsi="宋体"/>
                <w:snapToGrid w:val="0"/>
                <w:color w:val="auto"/>
                <w:kern w:val="0"/>
                <w:sz w:val="28"/>
                <w:szCs w:val="28"/>
              </w:rPr>
              <w:t>利用等级学校进行招生宣传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055" w:type="dxa"/>
            <w:shd w:val="clear" w:color="auto" w:fill="auto"/>
            <w:noWrap w:val="0"/>
            <w:vAlign w:val="center"/>
          </w:tcPr>
          <w:p>
            <w:pPr>
              <w:adjustRightInd w:val="0"/>
              <w:snapToGrid w:val="0"/>
              <w:spacing w:line="320" w:lineRule="exact"/>
              <w:jc w:val="center"/>
              <w:rPr>
                <w:rFonts w:ascii="宋体" w:hAnsi="宋体"/>
                <w:snapToGrid w:val="0"/>
                <w:color w:val="auto"/>
                <w:kern w:val="0"/>
                <w:sz w:val="28"/>
                <w:szCs w:val="28"/>
              </w:rPr>
            </w:pPr>
            <w:r>
              <w:rPr>
                <w:rFonts w:ascii="宋体" w:hAnsi="宋体"/>
                <w:snapToGrid w:val="0"/>
                <w:color w:val="auto"/>
                <w:kern w:val="0"/>
                <w:sz w:val="28"/>
                <w:szCs w:val="28"/>
              </w:rPr>
              <w:t>1</w:t>
            </w:r>
            <w:r>
              <w:rPr>
                <w:rFonts w:hint="eastAsia" w:ascii="宋体" w:hAnsi="宋体"/>
                <w:snapToGrid w:val="0"/>
                <w:color w:val="auto"/>
                <w:kern w:val="0"/>
                <w:sz w:val="28"/>
                <w:szCs w:val="28"/>
              </w:rPr>
              <w:t>6</w:t>
            </w:r>
          </w:p>
        </w:tc>
        <w:tc>
          <w:tcPr>
            <w:tcW w:w="7371" w:type="dxa"/>
            <w:shd w:val="clear" w:color="auto" w:fill="auto"/>
            <w:noWrap w:val="0"/>
            <w:vAlign w:val="center"/>
          </w:tcPr>
          <w:p>
            <w:pPr>
              <w:adjustRightInd w:val="0"/>
              <w:snapToGrid w:val="0"/>
              <w:spacing w:line="320" w:lineRule="exact"/>
              <w:rPr>
                <w:rFonts w:ascii="宋体" w:hAnsi="宋体"/>
                <w:b/>
                <w:snapToGrid w:val="0"/>
                <w:color w:val="auto"/>
                <w:kern w:val="0"/>
                <w:sz w:val="28"/>
                <w:szCs w:val="28"/>
              </w:rPr>
            </w:pPr>
            <w:r>
              <w:rPr>
                <w:rFonts w:ascii="宋体" w:hAnsi="宋体"/>
                <w:snapToGrid w:val="0"/>
                <w:color w:val="auto"/>
                <w:kern w:val="0"/>
                <w:sz w:val="28"/>
                <w:szCs w:val="28"/>
              </w:rPr>
              <w:t>其他干扰招生工作秩序、影响教育教学秩序的行为</w:t>
            </w:r>
          </w:p>
        </w:tc>
      </w:tr>
    </w:tbl>
    <w:p>
      <w:pPr>
        <w:widowControl/>
        <w:adjustRightInd w:val="0"/>
        <w:snapToGrid w:val="0"/>
        <w:rPr>
          <w:rFonts w:ascii="仿宋_GB2312" w:hAnsi="仿宋_GB2312" w:eastAsia="仿宋_GB2312" w:cs="仿宋_GB2312"/>
          <w:color w:val="auto"/>
          <w:szCs w:val="21"/>
        </w:rPr>
      </w:pPr>
    </w:p>
    <w:p>
      <w:pPr>
        <w:widowControl/>
        <w:adjustRightInd w:val="0"/>
        <w:snapToGrid w:val="0"/>
        <w:rPr>
          <w:rFonts w:ascii="仿宋_GB2312" w:hAnsi="仿宋_GB2312" w:eastAsia="仿宋_GB2312" w:cs="仿宋_GB2312"/>
          <w:color w:val="auto"/>
          <w:szCs w:val="21"/>
        </w:rPr>
      </w:pPr>
    </w:p>
    <w:p>
      <w:pPr>
        <w:spacing w:line="580" w:lineRule="exact"/>
        <w:ind w:right="11"/>
        <w:rPr>
          <w:rFonts w:ascii="黑体" w:eastAsia="黑体"/>
          <w:color w:val="auto"/>
          <w:sz w:val="32"/>
        </w:rPr>
      </w:pPr>
    </w:p>
    <w:p>
      <w:pPr>
        <w:spacing w:line="580" w:lineRule="exact"/>
        <w:ind w:right="11"/>
        <w:rPr>
          <w:rFonts w:ascii="黑体" w:eastAsia="黑体"/>
          <w:color w:val="auto"/>
          <w:sz w:val="32"/>
        </w:rPr>
      </w:pPr>
    </w:p>
    <w:p>
      <w:pPr>
        <w:spacing w:line="580" w:lineRule="exact"/>
        <w:ind w:right="11"/>
        <w:rPr>
          <w:rFonts w:ascii="黑体" w:eastAsia="黑体"/>
          <w:color w:val="auto"/>
          <w:sz w:val="32"/>
        </w:rPr>
      </w:pPr>
    </w:p>
    <w:sectPr>
      <w:footerReference r:id="rId3" w:type="default"/>
      <w:pgSz w:w="11906" w:h="16838"/>
      <w:pgMar w:top="1440" w:right="1474" w:bottom="1984" w:left="1587" w:header="851"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99553"/>
                          </w:sdtPr>
                          <w:sdtContent>
                            <w:p>
                              <w:pPr>
                                <w:pStyle w:val="6"/>
                                <w:jc w:val="center"/>
                              </w:pPr>
                              <w:r>
                                <w:fldChar w:fldCharType="begin"/>
                              </w:r>
                              <w:r>
                                <w:instrText xml:space="preserve"> PAGE   \* MERGEFORMAT </w:instrText>
                              </w:r>
                              <w:r>
                                <w:fldChar w:fldCharType="separate"/>
                              </w:r>
                              <w:r>
                                <w:rPr>
                                  <w:lang w:val="zh-CN"/>
                                </w:rPr>
                                <w:t>-</w:t>
                              </w:r>
                              <w:r>
                                <w:t xml:space="preserve"> 27 -</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9599553"/>
                    </w:sdtPr>
                    <w:sdtContent>
                      <w:p>
                        <w:pPr>
                          <w:pStyle w:val="6"/>
                          <w:jc w:val="center"/>
                        </w:pPr>
                        <w:r>
                          <w:fldChar w:fldCharType="begin"/>
                        </w:r>
                        <w:r>
                          <w:instrText xml:space="preserve"> PAGE   \* MERGEFORMAT </w:instrText>
                        </w:r>
                        <w:r>
                          <w:fldChar w:fldCharType="separate"/>
                        </w:r>
                        <w:r>
                          <w:rPr>
                            <w:lang w:val="zh-CN"/>
                          </w:rPr>
                          <w:t>-</w:t>
                        </w:r>
                        <w:r>
                          <w:t xml:space="preserve"> 27 -</w:t>
                        </w:r>
                        <w:r>
                          <w:fldChar w:fldCharType="end"/>
                        </w:r>
                      </w:p>
                    </w:sdtContent>
                  </w:sdt>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FB79"/>
    <w:multiLevelType w:val="singleLevel"/>
    <w:tmpl w:val="1E92FB79"/>
    <w:lvl w:ilvl="0" w:tentative="0">
      <w:start w:val="6"/>
      <w:numFmt w:val="chineseCounting"/>
      <w:suff w:val="space"/>
      <w:lvlText w:val="第%1条"/>
      <w:lvlJc w:val="left"/>
      <w:rPr>
        <w:rFonts w:hint="eastAsia"/>
      </w:rPr>
    </w:lvl>
  </w:abstractNum>
  <w:abstractNum w:abstractNumId="1">
    <w:nsid w:val="344459E0"/>
    <w:multiLevelType w:val="multilevel"/>
    <w:tmpl w:val="344459E0"/>
    <w:lvl w:ilvl="0" w:tentative="0">
      <w:start w:val="1"/>
      <w:numFmt w:val="chineseCountingThousand"/>
      <w:pStyle w:val="19"/>
      <w:lvlText w:val="第%1条"/>
      <w:lvlJc w:val="left"/>
      <w:pPr>
        <w:ind w:left="1060" w:hanging="420"/>
      </w:pPr>
      <w:rPr>
        <w:b/>
        <w:bCs w:val="0"/>
        <w:i w:val="0"/>
        <w:iCs w:val="0"/>
        <w:caps w:val="0"/>
        <w:smallCaps w:val="0"/>
        <w:vanish w:val="0"/>
        <w:color w:val="000000"/>
        <w:spacing w:val="0"/>
        <w:position w:val="0"/>
        <w:u w:val="none"/>
        <w:vertAlign w:val="baseline"/>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5C"/>
    <w:rsid w:val="000033AA"/>
    <w:rsid w:val="000036B6"/>
    <w:rsid w:val="0000482F"/>
    <w:rsid w:val="000250DD"/>
    <w:rsid w:val="000260E6"/>
    <w:rsid w:val="0003161A"/>
    <w:rsid w:val="00057176"/>
    <w:rsid w:val="000672DB"/>
    <w:rsid w:val="00072F35"/>
    <w:rsid w:val="00073AE9"/>
    <w:rsid w:val="000761AB"/>
    <w:rsid w:val="00077741"/>
    <w:rsid w:val="00083DED"/>
    <w:rsid w:val="000967E7"/>
    <w:rsid w:val="000B1F10"/>
    <w:rsid w:val="000B4143"/>
    <w:rsid w:val="000B6E7A"/>
    <w:rsid w:val="000C3DAD"/>
    <w:rsid w:val="000C55EE"/>
    <w:rsid w:val="000C5D73"/>
    <w:rsid w:val="000D1E4B"/>
    <w:rsid w:val="000D2AC2"/>
    <w:rsid w:val="000D713A"/>
    <w:rsid w:val="000E072E"/>
    <w:rsid w:val="000E434C"/>
    <w:rsid w:val="000F5D53"/>
    <w:rsid w:val="000F640F"/>
    <w:rsid w:val="00102909"/>
    <w:rsid w:val="00103A59"/>
    <w:rsid w:val="00105162"/>
    <w:rsid w:val="0011261E"/>
    <w:rsid w:val="00113C2A"/>
    <w:rsid w:val="001327CD"/>
    <w:rsid w:val="00132E3D"/>
    <w:rsid w:val="00135645"/>
    <w:rsid w:val="001438C3"/>
    <w:rsid w:val="001554FE"/>
    <w:rsid w:val="001573AC"/>
    <w:rsid w:val="00157C51"/>
    <w:rsid w:val="00162029"/>
    <w:rsid w:val="001671A3"/>
    <w:rsid w:val="0017162E"/>
    <w:rsid w:val="00172A27"/>
    <w:rsid w:val="00176070"/>
    <w:rsid w:val="00186B1A"/>
    <w:rsid w:val="0019643D"/>
    <w:rsid w:val="001A22C4"/>
    <w:rsid w:val="001E02A0"/>
    <w:rsid w:val="001E3003"/>
    <w:rsid w:val="001F7A16"/>
    <w:rsid w:val="002033D4"/>
    <w:rsid w:val="00206AE2"/>
    <w:rsid w:val="00213A02"/>
    <w:rsid w:val="00215020"/>
    <w:rsid w:val="002175FB"/>
    <w:rsid w:val="002249DE"/>
    <w:rsid w:val="00232AAB"/>
    <w:rsid w:val="002367F8"/>
    <w:rsid w:val="00240782"/>
    <w:rsid w:val="002535AA"/>
    <w:rsid w:val="00255966"/>
    <w:rsid w:val="00256102"/>
    <w:rsid w:val="00256952"/>
    <w:rsid w:val="00265F26"/>
    <w:rsid w:val="0027282B"/>
    <w:rsid w:val="002758B3"/>
    <w:rsid w:val="0028584F"/>
    <w:rsid w:val="0029283F"/>
    <w:rsid w:val="00296E3E"/>
    <w:rsid w:val="002A1953"/>
    <w:rsid w:val="002B26F2"/>
    <w:rsid w:val="002B609C"/>
    <w:rsid w:val="002B7A97"/>
    <w:rsid w:val="002D128B"/>
    <w:rsid w:val="002D4DE1"/>
    <w:rsid w:val="002D58CD"/>
    <w:rsid w:val="002E449B"/>
    <w:rsid w:val="002E6FBE"/>
    <w:rsid w:val="002F57BA"/>
    <w:rsid w:val="002F77FA"/>
    <w:rsid w:val="0030650B"/>
    <w:rsid w:val="00312FD4"/>
    <w:rsid w:val="00314E09"/>
    <w:rsid w:val="00322795"/>
    <w:rsid w:val="0033084B"/>
    <w:rsid w:val="00337CF7"/>
    <w:rsid w:val="00341F94"/>
    <w:rsid w:val="00343619"/>
    <w:rsid w:val="0035244D"/>
    <w:rsid w:val="00356418"/>
    <w:rsid w:val="003569DC"/>
    <w:rsid w:val="00356CF1"/>
    <w:rsid w:val="00357F33"/>
    <w:rsid w:val="00361AA5"/>
    <w:rsid w:val="0037035F"/>
    <w:rsid w:val="0037316D"/>
    <w:rsid w:val="00374557"/>
    <w:rsid w:val="0037470B"/>
    <w:rsid w:val="00375D32"/>
    <w:rsid w:val="00382263"/>
    <w:rsid w:val="00386284"/>
    <w:rsid w:val="0038674C"/>
    <w:rsid w:val="00387CF8"/>
    <w:rsid w:val="00392059"/>
    <w:rsid w:val="00395F94"/>
    <w:rsid w:val="003A2E31"/>
    <w:rsid w:val="003A6290"/>
    <w:rsid w:val="003B4F48"/>
    <w:rsid w:val="003B76E6"/>
    <w:rsid w:val="003C1662"/>
    <w:rsid w:val="003E3B2C"/>
    <w:rsid w:val="003E42C9"/>
    <w:rsid w:val="00403D6D"/>
    <w:rsid w:val="00405933"/>
    <w:rsid w:val="00407E75"/>
    <w:rsid w:val="0042363F"/>
    <w:rsid w:val="00431DF5"/>
    <w:rsid w:val="00432BF5"/>
    <w:rsid w:val="00433C75"/>
    <w:rsid w:val="004539E3"/>
    <w:rsid w:val="00453B50"/>
    <w:rsid w:val="00455E29"/>
    <w:rsid w:val="00470B4B"/>
    <w:rsid w:val="0047501D"/>
    <w:rsid w:val="004819DF"/>
    <w:rsid w:val="00482771"/>
    <w:rsid w:val="00492046"/>
    <w:rsid w:val="004A0EB8"/>
    <w:rsid w:val="004A1462"/>
    <w:rsid w:val="004C0BB8"/>
    <w:rsid w:val="004D128B"/>
    <w:rsid w:val="004D28A8"/>
    <w:rsid w:val="004D5152"/>
    <w:rsid w:val="004E100E"/>
    <w:rsid w:val="004E354A"/>
    <w:rsid w:val="004E4C15"/>
    <w:rsid w:val="004F079F"/>
    <w:rsid w:val="00503CF4"/>
    <w:rsid w:val="0051077A"/>
    <w:rsid w:val="00511D14"/>
    <w:rsid w:val="00511F4D"/>
    <w:rsid w:val="005140F4"/>
    <w:rsid w:val="00516316"/>
    <w:rsid w:val="0052672B"/>
    <w:rsid w:val="00530BA3"/>
    <w:rsid w:val="005600AB"/>
    <w:rsid w:val="00562B20"/>
    <w:rsid w:val="00572FB8"/>
    <w:rsid w:val="00574BED"/>
    <w:rsid w:val="00582EB2"/>
    <w:rsid w:val="00583126"/>
    <w:rsid w:val="005841D1"/>
    <w:rsid w:val="00584676"/>
    <w:rsid w:val="00586934"/>
    <w:rsid w:val="00587E4C"/>
    <w:rsid w:val="0059566F"/>
    <w:rsid w:val="005A5951"/>
    <w:rsid w:val="005A7887"/>
    <w:rsid w:val="005B561A"/>
    <w:rsid w:val="005C2AE7"/>
    <w:rsid w:val="005C3D86"/>
    <w:rsid w:val="005C746A"/>
    <w:rsid w:val="005D1FDD"/>
    <w:rsid w:val="005D5523"/>
    <w:rsid w:val="005D5E2F"/>
    <w:rsid w:val="005E23C2"/>
    <w:rsid w:val="00601C8B"/>
    <w:rsid w:val="006047E0"/>
    <w:rsid w:val="00606FAB"/>
    <w:rsid w:val="006106CD"/>
    <w:rsid w:val="00616195"/>
    <w:rsid w:val="006223CE"/>
    <w:rsid w:val="0063637A"/>
    <w:rsid w:val="0064094C"/>
    <w:rsid w:val="006527B2"/>
    <w:rsid w:val="00654A2A"/>
    <w:rsid w:val="006610F4"/>
    <w:rsid w:val="00661A74"/>
    <w:rsid w:val="00680C5E"/>
    <w:rsid w:val="006838AA"/>
    <w:rsid w:val="00684808"/>
    <w:rsid w:val="006968BB"/>
    <w:rsid w:val="006B608F"/>
    <w:rsid w:val="006B6CC0"/>
    <w:rsid w:val="006D72D3"/>
    <w:rsid w:val="006E3E51"/>
    <w:rsid w:val="006E46FD"/>
    <w:rsid w:val="006E66FC"/>
    <w:rsid w:val="006E7C31"/>
    <w:rsid w:val="006F5F73"/>
    <w:rsid w:val="006F6DB4"/>
    <w:rsid w:val="0070533A"/>
    <w:rsid w:val="007078C8"/>
    <w:rsid w:val="00716731"/>
    <w:rsid w:val="0073046D"/>
    <w:rsid w:val="00737CB1"/>
    <w:rsid w:val="00737F6D"/>
    <w:rsid w:val="007402D1"/>
    <w:rsid w:val="00755F2B"/>
    <w:rsid w:val="0076251E"/>
    <w:rsid w:val="00765B4F"/>
    <w:rsid w:val="00787219"/>
    <w:rsid w:val="00791932"/>
    <w:rsid w:val="00793F0D"/>
    <w:rsid w:val="00794F95"/>
    <w:rsid w:val="007A1F89"/>
    <w:rsid w:val="007A6D3E"/>
    <w:rsid w:val="007B7D42"/>
    <w:rsid w:val="007C1178"/>
    <w:rsid w:val="007C1A7B"/>
    <w:rsid w:val="007C1BE5"/>
    <w:rsid w:val="007C640D"/>
    <w:rsid w:val="007C7659"/>
    <w:rsid w:val="007D61C3"/>
    <w:rsid w:val="007E69AF"/>
    <w:rsid w:val="00804F29"/>
    <w:rsid w:val="00836A06"/>
    <w:rsid w:val="00840054"/>
    <w:rsid w:val="008640C3"/>
    <w:rsid w:val="00873841"/>
    <w:rsid w:val="00876824"/>
    <w:rsid w:val="00880784"/>
    <w:rsid w:val="0089282A"/>
    <w:rsid w:val="008B6D30"/>
    <w:rsid w:val="008D4C91"/>
    <w:rsid w:val="008F127D"/>
    <w:rsid w:val="00902C13"/>
    <w:rsid w:val="00910F87"/>
    <w:rsid w:val="00930F9B"/>
    <w:rsid w:val="009703F9"/>
    <w:rsid w:val="00992771"/>
    <w:rsid w:val="009B0566"/>
    <w:rsid w:val="009B3ADE"/>
    <w:rsid w:val="009C301D"/>
    <w:rsid w:val="009D14DC"/>
    <w:rsid w:val="009E2526"/>
    <w:rsid w:val="009E28EB"/>
    <w:rsid w:val="009E3334"/>
    <w:rsid w:val="009E54FE"/>
    <w:rsid w:val="009F212D"/>
    <w:rsid w:val="009F6A8D"/>
    <w:rsid w:val="00A01F26"/>
    <w:rsid w:val="00A1436D"/>
    <w:rsid w:val="00A20149"/>
    <w:rsid w:val="00A20399"/>
    <w:rsid w:val="00A225DF"/>
    <w:rsid w:val="00A25459"/>
    <w:rsid w:val="00A26E3F"/>
    <w:rsid w:val="00A337AD"/>
    <w:rsid w:val="00A3527B"/>
    <w:rsid w:val="00A4050E"/>
    <w:rsid w:val="00A449C8"/>
    <w:rsid w:val="00A55F80"/>
    <w:rsid w:val="00A7123C"/>
    <w:rsid w:val="00A86E8B"/>
    <w:rsid w:val="00AA20FD"/>
    <w:rsid w:val="00AB253C"/>
    <w:rsid w:val="00AB3C0F"/>
    <w:rsid w:val="00AC37B6"/>
    <w:rsid w:val="00AC4F24"/>
    <w:rsid w:val="00AD5878"/>
    <w:rsid w:val="00AD75D0"/>
    <w:rsid w:val="00AE06F4"/>
    <w:rsid w:val="00AE1F47"/>
    <w:rsid w:val="00AE3AFE"/>
    <w:rsid w:val="00AF7B96"/>
    <w:rsid w:val="00B01393"/>
    <w:rsid w:val="00B034C1"/>
    <w:rsid w:val="00B10219"/>
    <w:rsid w:val="00B14F7E"/>
    <w:rsid w:val="00B20E56"/>
    <w:rsid w:val="00B23C38"/>
    <w:rsid w:val="00B32746"/>
    <w:rsid w:val="00B34DA8"/>
    <w:rsid w:val="00B43A84"/>
    <w:rsid w:val="00B45783"/>
    <w:rsid w:val="00B469DA"/>
    <w:rsid w:val="00B50D0D"/>
    <w:rsid w:val="00B54191"/>
    <w:rsid w:val="00B61BCA"/>
    <w:rsid w:val="00B76691"/>
    <w:rsid w:val="00B80A45"/>
    <w:rsid w:val="00B83EDC"/>
    <w:rsid w:val="00B91F77"/>
    <w:rsid w:val="00BB3C3C"/>
    <w:rsid w:val="00BB7E45"/>
    <w:rsid w:val="00BC5050"/>
    <w:rsid w:val="00BD56A6"/>
    <w:rsid w:val="00BF1D8C"/>
    <w:rsid w:val="00BF37DB"/>
    <w:rsid w:val="00BF5EFF"/>
    <w:rsid w:val="00BF6585"/>
    <w:rsid w:val="00C11907"/>
    <w:rsid w:val="00C261B6"/>
    <w:rsid w:val="00C35856"/>
    <w:rsid w:val="00C45154"/>
    <w:rsid w:val="00C57642"/>
    <w:rsid w:val="00C83366"/>
    <w:rsid w:val="00C84538"/>
    <w:rsid w:val="00C87816"/>
    <w:rsid w:val="00C9082B"/>
    <w:rsid w:val="00C90F19"/>
    <w:rsid w:val="00C962FB"/>
    <w:rsid w:val="00CA0A22"/>
    <w:rsid w:val="00CA3EF2"/>
    <w:rsid w:val="00CA3EF3"/>
    <w:rsid w:val="00CA6B60"/>
    <w:rsid w:val="00CB3F4B"/>
    <w:rsid w:val="00CC4E8A"/>
    <w:rsid w:val="00CD1E8E"/>
    <w:rsid w:val="00CD3250"/>
    <w:rsid w:val="00CD4833"/>
    <w:rsid w:val="00CD4F88"/>
    <w:rsid w:val="00CE315D"/>
    <w:rsid w:val="00CE6A02"/>
    <w:rsid w:val="00CF1667"/>
    <w:rsid w:val="00CF491C"/>
    <w:rsid w:val="00D02945"/>
    <w:rsid w:val="00D0333D"/>
    <w:rsid w:val="00D03477"/>
    <w:rsid w:val="00D2451A"/>
    <w:rsid w:val="00D40B16"/>
    <w:rsid w:val="00D46BDD"/>
    <w:rsid w:val="00D46E75"/>
    <w:rsid w:val="00D54E80"/>
    <w:rsid w:val="00D64D5E"/>
    <w:rsid w:val="00D71974"/>
    <w:rsid w:val="00D83A19"/>
    <w:rsid w:val="00D85703"/>
    <w:rsid w:val="00D85EB3"/>
    <w:rsid w:val="00D92607"/>
    <w:rsid w:val="00D951A5"/>
    <w:rsid w:val="00D97685"/>
    <w:rsid w:val="00DA715D"/>
    <w:rsid w:val="00DB6A25"/>
    <w:rsid w:val="00DC3411"/>
    <w:rsid w:val="00DC61C8"/>
    <w:rsid w:val="00DC6AB2"/>
    <w:rsid w:val="00DD01EE"/>
    <w:rsid w:val="00DE24AE"/>
    <w:rsid w:val="00DE3062"/>
    <w:rsid w:val="00E065E9"/>
    <w:rsid w:val="00E12F6F"/>
    <w:rsid w:val="00E22FF3"/>
    <w:rsid w:val="00E33A3E"/>
    <w:rsid w:val="00E40A5D"/>
    <w:rsid w:val="00E470C2"/>
    <w:rsid w:val="00E5262D"/>
    <w:rsid w:val="00E63164"/>
    <w:rsid w:val="00E7186C"/>
    <w:rsid w:val="00E73E89"/>
    <w:rsid w:val="00E74289"/>
    <w:rsid w:val="00E857BB"/>
    <w:rsid w:val="00E85E2B"/>
    <w:rsid w:val="00E8782F"/>
    <w:rsid w:val="00E921A3"/>
    <w:rsid w:val="00E94D94"/>
    <w:rsid w:val="00E954EA"/>
    <w:rsid w:val="00E95569"/>
    <w:rsid w:val="00EA316E"/>
    <w:rsid w:val="00EC1A15"/>
    <w:rsid w:val="00EC7538"/>
    <w:rsid w:val="00ED5597"/>
    <w:rsid w:val="00EE14D9"/>
    <w:rsid w:val="00EE2E9E"/>
    <w:rsid w:val="00EE56A1"/>
    <w:rsid w:val="00EE65A3"/>
    <w:rsid w:val="00EF7AE9"/>
    <w:rsid w:val="00F02B03"/>
    <w:rsid w:val="00F05DAC"/>
    <w:rsid w:val="00F11238"/>
    <w:rsid w:val="00F1473F"/>
    <w:rsid w:val="00F245EF"/>
    <w:rsid w:val="00F24C5F"/>
    <w:rsid w:val="00F31ED7"/>
    <w:rsid w:val="00F54261"/>
    <w:rsid w:val="00F56618"/>
    <w:rsid w:val="00F6456A"/>
    <w:rsid w:val="00F65E73"/>
    <w:rsid w:val="00F72745"/>
    <w:rsid w:val="00F77411"/>
    <w:rsid w:val="00F8058E"/>
    <w:rsid w:val="00F84C80"/>
    <w:rsid w:val="00F915A2"/>
    <w:rsid w:val="00FA426D"/>
    <w:rsid w:val="00FA7CC0"/>
    <w:rsid w:val="00FC35E9"/>
    <w:rsid w:val="00FC5A96"/>
    <w:rsid w:val="00FC6B2F"/>
    <w:rsid w:val="00FD094C"/>
    <w:rsid w:val="00FD28EB"/>
    <w:rsid w:val="00FD59BF"/>
    <w:rsid w:val="00FD7DBD"/>
    <w:rsid w:val="00FE147A"/>
    <w:rsid w:val="00FE1F7A"/>
    <w:rsid w:val="00FE417D"/>
    <w:rsid w:val="031C2391"/>
    <w:rsid w:val="031F7DE7"/>
    <w:rsid w:val="0C533B39"/>
    <w:rsid w:val="0E3719B0"/>
    <w:rsid w:val="10D20C2D"/>
    <w:rsid w:val="10F14EF3"/>
    <w:rsid w:val="14D523F1"/>
    <w:rsid w:val="1B1E77DD"/>
    <w:rsid w:val="212D7FD3"/>
    <w:rsid w:val="21A1676A"/>
    <w:rsid w:val="22317DA2"/>
    <w:rsid w:val="22485CFE"/>
    <w:rsid w:val="23F26882"/>
    <w:rsid w:val="290A6D23"/>
    <w:rsid w:val="2A3B3D53"/>
    <w:rsid w:val="2AFC37F2"/>
    <w:rsid w:val="2C956BD0"/>
    <w:rsid w:val="2D5D7356"/>
    <w:rsid w:val="2E5B0550"/>
    <w:rsid w:val="30DF420A"/>
    <w:rsid w:val="333571D0"/>
    <w:rsid w:val="336C5A3E"/>
    <w:rsid w:val="350625F6"/>
    <w:rsid w:val="351B0308"/>
    <w:rsid w:val="36E67048"/>
    <w:rsid w:val="38053DBD"/>
    <w:rsid w:val="3B0A3106"/>
    <w:rsid w:val="3C913632"/>
    <w:rsid w:val="3CA27671"/>
    <w:rsid w:val="3D195EC9"/>
    <w:rsid w:val="40505AA7"/>
    <w:rsid w:val="420B16F6"/>
    <w:rsid w:val="44DF12EE"/>
    <w:rsid w:val="460A4DE3"/>
    <w:rsid w:val="466F2EB4"/>
    <w:rsid w:val="48D82059"/>
    <w:rsid w:val="49164F7E"/>
    <w:rsid w:val="49EB04B9"/>
    <w:rsid w:val="4AA47600"/>
    <w:rsid w:val="4C2E097D"/>
    <w:rsid w:val="4E904913"/>
    <w:rsid w:val="4F2E62D9"/>
    <w:rsid w:val="500B0C42"/>
    <w:rsid w:val="50982509"/>
    <w:rsid w:val="554E5272"/>
    <w:rsid w:val="55E56CBA"/>
    <w:rsid w:val="5AB558BE"/>
    <w:rsid w:val="5C2927A3"/>
    <w:rsid w:val="5D9F3C4C"/>
    <w:rsid w:val="6273252E"/>
    <w:rsid w:val="6335034D"/>
    <w:rsid w:val="684C1A08"/>
    <w:rsid w:val="6AB73FC1"/>
    <w:rsid w:val="718858BF"/>
    <w:rsid w:val="718C5E43"/>
    <w:rsid w:val="71CB1B64"/>
    <w:rsid w:val="72C7163D"/>
    <w:rsid w:val="76A64B07"/>
    <w:rsid w:val="782A2B51"/>
    <w:rsid w:val="79B621FF"/>
    <w:rsid w:val="7AFE7481"/>
    <w:rsid w:val="7DF341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ody Text"/>
    <w:basedOn w:val="1"/>
    <w:qFormat/>
    <w:uiPriority w:val="0"/>
    <w:pPr>
      <w:spacing w:line="580" w:lineRule="exact"/>
    </w:pPr>
    <w:rPr>
      <w:rFonts w:ascii="宋体" w:hAnsi="宋体"/>
      <w:w w:val="99"/>
      <w:sz w:val="44"/>
    </w:rPr>
  </w:style>
  <w:style w:type="paragraph" w:styleId="4">
    <w:name w:val="Date"/>
    <w:basedOn w:val="1"/>
    <w:next w:val="1"/>
    <w:qFormat/>
    <w:uiPriority w:val="0"/>
    <w:pPr>
      <w:ind w:left="100" w:leftChars="2500"/>
    </w:pPr>
    <w:rPr>
      <w:rFonts w:eastAsia="仿宋_GB2312"/>
      <w:w w:val="99"/>
      <w:sz w:val="32"/>
    </w:rPr>
  </w:style>
  <w:style w:type="paragraph" w:styleId="5">
    <w:name w:val="Balloon Text"/>
    <w:basedOn w:val="1"/>
    <w:link w:val="15"/>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18"/>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0"/>
    <w:rPr>
      <w:rFonts w:ascii="Times New Roman" w:hAnsi="Times New Roman" w:eastAsia="宋体" w:cs="Times New Roman"/>
    </w:rPr>
  </w:style>
  <w:style w:type="character" w:styleId="13">
    <w:name w:val="annotation reference"/>
    <w:basedOn w:val="11"/>
    <w:qFormat/>
    <w:uiPriority w:val="0"/>
    <w:rPr>
      <w:rFonts w:ascii="Times New Roman" w:hAnsi="Times New Roman" w:eastAsia="宋体" w:cs="Times New Roman"/>
      <w:sz w:val="21"/>
      <w:szCs w:val="21"/>
    </w:rPr>
  </w:style>
  <w:style w:type="character" w:customStyle="1" w:styleId="14">
    <w:name w:val="页脚 Char"/>
    <w:basedOn w:val="11"/>
    <w:link w:val="6"/>
    <w:qFormat/>
    <w:uiPriority w:val="99"/>
    <w:rPr>
      <w:rFonts w:ascii="Times New Roman" w:hAnsi="Times New Roman" w:eastAsia="宋体" w:cs="Times New Roman"/>
      <w:kern w:val="2"/>
      <w:sz w:val="18"/>
      <w:szCs w:val="18"/>
    </w:rPr>
  </w:style>
  <w:style w:type="character" w:customStyle="1" w:styleId="15">
    <w:name w:val="批注框文本 Char"/>
    <w:link w:val="5"/>
    <w:qFormat/>
    <w:uiPriority w:val="0"/>
    <w:rPr>
      <w:rFonts w:ascii="Times New Roman" w:hAnsi="Times New Roman" w:eastAsia="宋体" w:cs="Times New Roman"/>
      <w:kern w:val="2"/>
      <w:sz w:val="18"/>
      <w:szCs w:val="18"/>
    </w:rPr>
  </w:style>
  <w:style w:type="paragraph" w:styleId="16">
    <w:name w:val="List Paragraph"/>
    <w:basedOn w:val="1"/>
    <w:qFormat/>
    <w:uiPriority w:val="99"/>
    <w:pPr>
      <w:ind w:firstLine="420" w:firstLineChars="200"/>
    </w:pPr>
  </w:style>
  <w:style w:type="character" w:customStyle="1" w:styleId="17">
    <w:name w:val="批注文字 Char"/>
    <w:basedOn w:val="11"/>
    <w:link w:val="2"/>
    <w:qFormat/>
    <w:uiPriority w:val="0"/>
    <w:rPr>
      <w:rFonts w:ascii="Times New Roman" w:hAnsi="Times New Roman" w:eastAsia="宋体" w:cs="Times New Roman"/>
      <w:kern w:val="2"/>
      <w:sz w:val="21"/>
      <w:szCs w:val="24"/>
    </w:rPr>
  </w:style>
  <w:style w:type="character" w:customStyle="1" w:styleId="18">
    <w:name w:val="批注主题 Char"/>
    <w:basedOn w:val="17"/>
    <w:link w:val="8"/>
    <w:qFormat/>
    <w:uiPriority w:val="0"/>
    <w:rPr>
      <w:rFonts w:ascii="Times New Roman" w:hAnsi="Times New Roman" w:eastAsia="宋体" w:cs="Times New Roman"/>
      <w:b/>
      <w:bCs/>
      <w:kern w:val="2"/>
      <w:sz w:val="21"/>
      <w:szCs w:val="24"/>
    </w:rPr>
  </w:style>
  <w:style w:type="paragraph" w:customStyle="1" w:styleId="19">
    <w:name w:val="条"/>
    <w:basedOn w:val="16"/>
    <w:qFormat/>
    <w:uiPriority w:val="0"/>
    <w:pPr>
      <w:numPr>
        <w:ilvl w:val="0"/>
        <w:numId w:val="1"/>
      </w:numPr>
      <w:tabs>
        <w:tab w:val="left" w:pos="1701"/>
      </w:tabs>
      <w:snapToGrid w:val="0"/>
      <w:spacing w:line="360" w:lineRule="auto"/>
      <w:ind w:firstLine="0" w:firstLineChars="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805D3C-C9A2-4732-A1FE-886D1E8B293A}">
  <ds:schemaRefs/>
</ds:datastoreItem>
</file>

<file path=docProps/app.xml><?xml version="1.0" encoding="utf-8"?>
<Properties xmlns="http://schemas.openxmlformats.org/officeDocument/2006/extended-properties" xmlns:vt="http://schemas.openxmlformats.org/officeDocument/2006/docPropsVTypes">
  <Template>Normal</Template>
  <Company>lover</Company>
  <Pages>26</Pages>
  <Words>11008</Words>
  <Characters>11457</Characters>
  <Lines>89</Lines>
  <Paragraphs>25</Paragraphs>
  <TotalTime>1</TotalTime>
  <ScaleCrop>false</ScaleCrop>
  <LinksUpToDate>false</LinksUpToDate>
  <CharactersWithSpaces>11646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2020-04-10T06:41:00Z</dcterms:created>
  <dc:creator>mayor</dc:creator>
  <cp:lastModifiedBy>贾臻</cp:lastModifiedBy>
  <cp:lastPrinted>2021-06-21T08:30:00Z</cp:lastPrinted>
  <dcterms:modified xsi:type="dcterms:W3CDTF">2022-04-29T07:49:37Z</dcterms:modified>
  <dc:title>一二三四五六七八九十一二三四五六七八九十一二三四五六七八</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