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val="0"/>
        <w:ind w:firstLine="0"/>
        <w:jc w:val="both"/>
        <w:rPr>
          <w:rFonts w:hint="eastAsia" w:ascii="黑体" w:hAnsi="黑体" w:eastAsia="黑体" w:cs="黑体"/>
          <w:b w:val="0"/>
          <w:i w:val="0"/>
          <w:snapToGrid/>
          <w:color w:val="333333"/>
          <w:sz w:val="28"/>
          <w:szCs w:val="28"/>
          <w:lang w:eastAsia="zh-CN"/>
        </w:rPr>
      </w:pPr>
      <w:r>
        <w:rPr>
          <w:rFonts w:hint="eastAsia" w:ascii="黑体" w:hAnsi="黑体" w:eastAsia="黑体" w:cs="黑体"/>
          <w:b w:val="0"/>
          <w:i w:val="0"/>
          <w:snapToGrid/>
          <w:color w:val="333333"/>
          <w:sz w:val="28"/>
          <w:szCs w:val="28"/>
          <w:lang w:eastAsia="zh-CN"/>
        </w:rPr>
        <w:t>附件</w:t>
      </w:r>
      <w:bookmarkStart w:id="0" w:name="_GoBack"/>
      <w:bookmarkEnd w:id="0"/>
    </w:p>
    <w:p>
      <w:pPr>
        <w:kinsoku/>
        <w:autoSpaceDE/>
        <w:autoSpaceDN w:val="0"/>
        <w:ind w:firstLine="0"/>
        <w:jc w:val="center"/>
        <w:rPr>
          <w:rFonts w:hint="eastAsia" w:ascii="方正小标宋简体" w:hAnsi="方正小标宋简体" w:eastAsia="方正小标宋简体" w:cs="方正小标宋简体"/>
          <w:b w:val="0"/>
          <w:i w:val="0"/>
          <w:snapToGrid/>
          <w:color w:val="333333"/>
          <w:sz w:val="44"/>
          <w:szCs w:val="44"/>
          <w:lang w:eastAsia="zh-CN"/>
        </w:rPr>
      </w:pPr>
      <w:r>
        <w:rPr>
          <w:rFonts w:hint="eastAsia" w:ascii="方正小标宋简体" w:hAnsi="方正小标宋简体" w:eastAsia="方正小标宋简体" w:cs="方正小标宋简体"/>
          <w:b w:val="0"/>
          <w:i w:val="0"/>
          <w:snapToGrid/>
          <w:color w:val="333333"/>
          <w:sz w:val="44"/>
          <w:szCs w:val="44"/>
          <w:lang w:eastAsia="zh-CN"/>
        </w:rPr>
        <w:t>评审具体方法和标准</w:t>
      </w:r>
    </w:p>
    <w:p>
      <w:pPr>
        <w:kinsoku/>
        <w:autoSpaceDE/>
        <w:autoSpaceDN w:val="0"/>
        <w:ind w:firstLine="0"/>
        <w:jc w:val="both"/>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　　一、对所有报价人的报价文件评审，都采用相同的程序和标准。</w:t>
      </w:r>
    </w:p>
    <w:p>
      <w:pPr>
        <w:kinsoku/>
        <w:autoSpaceDE/>
        <w:autoSpaceDN w:val="0"/>
        <w:ind w:firstLine="0"/>
        <w:jc w:val="both"/>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　　首先，由评审小组根据询价文件要求审核各报价文件是否合格、有效，凡不符合专业条件要求和未实质性响应询价文件要求的均不进入评分程序。</w:t>
      </w:r>
    </w:p>
    <w:p>
      <w:pPr>
        <w:kinsoku/>
        <w:autoSpaceDE/>
        <w:autoSpaceDN w:val="0"/>
        <w:ind w:firstLine="0"/>
        <w:jc w:val="both"/>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　　当对询价文件作出实质性响应的报价人达三家时，评审小组按本评审办法进行评审;当对询价文件作出实质响应的供应商只有两家的，评审小组可以按本评审办法进行评审;当对询价文件作出实质响应的供应商只有一家的，评审小组按照符合采购需求、报价合理的原则推荐为成交供应商。</w:t>
      </w:r>
    </w:p>
    <w:p>
      <w:pPr>
        <w:kinsoku/>
        <w:autoSpaceDE/>
        <w:autoSpaceDN w:val="0"/>
        <w:ind w:firstLine="0"/>
        <w:jc w:val="both"/>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　　二、评审小组对通过以上审核的有效报价人进行评审和推荐。</w:t>
      </w:r>
    </w:p>
    <w:p>
      <w:pPr>
        <w:kinsoku/>
        <w:autoSpaceDE/>
        <w:autoSpaceDN w:val="0"/>
        <w:ind w:firstLine="0"/>
        <w:jc w:val="both"/>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　　1、首先根据下列能力因素评分。若评审小组人数为3人，在评分结果统计时，以算术平均计算各有效报价人的最终得分;若评审小组人数大于3人，在评分结果统计时，将去掉一个最高分与一个最低分后再行算术平均计算各有效报价人的最终得分。</w:t>
      </w:r>
    </w:p>
    <w:p>
      <w:pPr>
        <w:kinsoku/>
        <w:autoSpaceDE/>
        <w:autoSpaceDN w:val="0"/>
        <w:ind w:firstLine="640"/>
        <w:jc w:val="both"/>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2、有效平均得分达到70分及以上的报价人，可认定其符合采购需求，视为实质性响应询价文件。得分达到70分及以上的报价人，分数最高者为成交人(未达到以上分数，视为未实质性响应询价文件)。</w:t>
      </w:r>
    </w:p>
    <w:p>
      <w:pPr>
        <w:kinsoku/>
        <w:autoSpaceDE/>
        <w:autoSpaceDN w:val="0"/>
        <w:ind w:firstLine="0"/>
        <w:jc w:val="both"/>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　　三、能力因素评分(满分100分)</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3189"/>
        <w:gridCol w:w="297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1" w:type="dxa"/>
            <w:vAlign w:val="top"/>
          </w:tcPr>
          <w:p>
            <w:pPr>
              <w:kinsoku/>
              <w:autoSpaceDE/>
              <w:autoSpaceDN w:val="0"/>
              <w:ind w:firstLine="0"/>
              <w:jc w:val="center"/>
              <w:rPr>
                <w:rFonts w:hint="eastAsia" w:ascii="仿宋_GB2312" w:hAnsi="仿宋_GB2312" w:eastAsia="仿宋_GB2312" w:cs="仿宋_GB2312"/>
                <w:b/>
                <w:i w:val="0"/>
                <w:snapToGrid/>
                <w:color w:val="333333"/>
                <w:sz w:val="32"/>
                <w:szCs w:val="32"/>
                <w:lang w:eastAsia="zh-CN"/>
              </w:rPr>
            </w:pPr>
            <w:r>
              <w:rPr>
                <w:rFonts w:hint="eastAsia" w:ascii="仿宋_GB2312" w:hAnsi="仿宋_GB2312" w:eastAsia="仿宋_GB2312" w:cs="仿宋_GB2312"/>
                <w:b/>
                <w:i w:val="0"/>
                <w:snapToGrid/>
                <w:color w:val="333333"/>
                <w:sz w:val="32"/>
                <w:szCs w:val="32"/>
                <w:lang w:eastAsia="zh-CN"/>
              </w:rPr>
              <w:t>分值</w:t>
            </w:r>
          </w:p>
        </w:tc>
        <w:tc>
          <w:tcPr>
            <w:tcW w:w="3189" w:type="dxa"/>
            <w:vAlign w:val="top"/>
          </w:tcPr>
          <w:p>
            <w:pPr>
              <w:kinsoku/>
              <w:autoSpaceDE/>
              <w:autoSpaceDN w:val="0"/>
              <w:ind w:firstLine="0"/>
              <w:jc w:val="center"/>
              <w:rPr>
                <w:rFonts w:hint="eastAsia" w:ascii="仿宋_GB2312" w:hAnsi="仿宋_GB2312" w:eastAsia="仿宋_GB2312" w:cs="仿宋_GB2312"/>
                <w:b/>
                <w:i w:val="0"/>
                <w:snapToGrid/>
                <w:color w:val="333333"/>
                <w:sz w:val="32"/>
                <w:szCs w:val="32"/>
                <w:lang w:eastAsia="zh-CN"/>
              </w:rPr>
            </w:pPr>
            <w:r>
              <w:rPr>
                <w:rFonts w:hint="eastAsia" w:ascii="仿宋_GB2312" w:hAnsi="仿宋_GB2312" w:eastAsia="仿宋_GB2312" w:cs="仿宋_GB2312"/>
                <w:b/>
                <w:i w:val="0"/>
                <w:snapToGrid/>
                <w:color w:val="333333"/>
                <w:sz w:val="32"/>
                <w:szCs w:val="32"/>
                <w:lang w:eastAsia="zh-CN"/>
              </w:rPr>
              <w:t>评审内容</w:t>
            </w:r>
          </w:p>
        </w:tc>
        <w:tc>
          <w:tcPr>
            <w:tcW w:w="2976" w:type="dxa"/>
            <w:vAlign w:val="top"/>
          </w:tcPr>
          <w:p>
            <w:pPr>
              <w:kinsoku/>
              <w:autoSpaceDE/>
              <w:autoSpaceDN w:val="0"/>
              <w:ind w:firstLine="0"/>
              <w:jc w:val="center"/>
              <w:rPr>
                <w:rFonts w:hint="eastAsia" w:ascii="仿宋_GB2312" w:hAnsi="仿宋_GB2312" w:eastAsia="仿宋_GB2312" w:cs="仿宋_GB2312"/>
                <w:b/>
                <w:i w:val="0"/>
                <w:snapToGrid/>
                <w:color w:val="333333"/>
                <w:sz w:val="32"/>
                <w:szCs w:val="32"/>
                <w:lang w:eastAsia="zh-CN"/>
              </w:rPr>
            </w:pPr>
            <w:r>
              <w:rPr>
                <w:rFonts w:hint="eastAsia" w:ascii="仿宋_GB2312" w:hAnsi="仿宋_GB2312" w:eastAsia="仿宋_GB2312" w:cs="仿宋_GB2312"/>
                <w:b/>
                <w:i w:val="0"/>
                <w:snapToGrid/>
                <w:color w:val="333333"/>
                <w:sz w:val="32"/>
                <w:szCs w:val="32"/>
                <w:lang w:eastAsia="zh-CN"/>
              </w:rPr>
              <w:t>评分细则</w:t>
            </w:r>
          </w:p>
        </w:tc>
        <w:tc>
          <w:tcPr>
            <w:tcW w:w="1286" w:type="dxa"/>
            <w:vAlign w:val="top"/>
          </w:tcPr>
          <w:p>
            <w:pPr>
              <w:kinsoku/>
              <w:autoSpaceDE/>
              <w:autoSpaceDN w:val="0"/>
              <w:ind w:firstLine="0"/>
              <w:jc w:val="center"/>
              <w:rPr>
                <w:rFonts w:hint="eastAsia" w:ascii="仿宋_GB2312" w:hAnsi="仿宋_GB2312" w:eastAsia="仿宋_GB2312" w:cs="仿宋_GB2312"/>
                <w:b/>
                <w:i w:val="0"/>
                <w:snapToGrid/>
                <w:color w:val="333333"/>
                <w:sz w:val="32"/>
                <w:szCs w:val="32"/>
                <w:lang w:eastAsia="zh-CN"/>
              </w:rPr>
            </w:pPr>
            <w:r>
              <w:rPr>
                <w:rFonts w:hint="eastAsia" w:ascii="仿宋_GB2312" w:hAnsi="仿宋_GB2312" w:eastAsia="仿宋_GB2312" w:cs="仿宋_GB2312"/>
                <w:b/>
                <w:i w:val="0"/>
                <w:snapToGrid/>
                <w:color w:val="333333"/>
                <w:sz w:val="32"/>
                <w:szCs w:val="32"/>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9" w:hRule="atLeast"/>
        </w:trPr>
        <w:tc>
          <w:tcPr>
            <w:tcW w:w="1071" w:type="dxa"/>
            <w:vAlign w:val="top"/>
          </w:tcPr>
          <w:p>
            <w:pPr>
              <w:kinsoku/>
              <w:autoSpaceDE/>
              <w:autoSpaceDN w:val="0"/>
              <w:ind w:firstLine="0"/>
              <w:jc w:val="center"/>
              <w:rPr>
                <w:rFonts w:hint="default" w:ascii="宋体" w:hAnsi="宋体" w:eastAsia="宋体"/>
                <w:b w:val="0"/>
                <w:snapToGrid/>
                <w:color w:val="333333"/>
                <w:sz w:val="21"/>
                <w:lang w:val="en-US" w:eastAsia="zh-CN"/>
              </w:rPr>
            </w:pPr>
            <w:r>
              <w:rPr>
                <w:rFonts w:hint="eastAsia" w:ascii="宋体" w:hAnsi="宋体"/>
                <w:b w:val="0"/>
                <w:snapToGrid/>
                <w:color w:val="333333"/>
                <w:sz w:val="21"/>
                <w:lang w:val="en-US" w:eastAsia="zh-CN"/>
              </w:rPr>
              <w:t>50</w:t>
            </w:r>
          </w:p>
        </w:tc>
        <w:tc>
          <w:tcPr>
            <w:tcW w:w="3189" w:type="dxa"/>
            <w:vAlign w:val="top"/>
          </w:tcPr>
          <w:p>
            <w:pPr>
              <w:kinsoku/>
              <w:autoSpaceDE/>
              <w:autoSpaceDN w:val="0"/>
              <w:ind w:firstLine="0"/>
              <w:jc w:val="left"/>
              <w:rPr>
                <w:rFonts w:hint="default" w:ascii="宋体" w:hAnsi="宋体" w:eastAsia="宋体"/>
                <w:b w:val="0"/>
                <w:snapToGrid/>
                <w:color w:val="333333"/>
                <w:sz w:val="21"/>
                <w:lang w:eastAsia="zh-CN"/>
              </w:rPr>
            </w:pPr>
            <w:r>
              <w:rPr>
                <w:rFonts w:hint="default" w:ascii="宋体" w:hAnsi="宋体" w:eastAsia="宋体"/>
                <w:b w:val="0"/>
                <w:snapToGrid/>
                <w:color w:val="333333"/>
                <w:sz w:val="21"/>
                <w:lang w:eastAsia="zh-CN"/>
              </w:rPr>
              <w:t>对项目背景、现状和目标整体理解程度，方案设计的合理性与先进性。</w:t>
            </w:r>
          </w:p>
          <w:p>
            <w:pPr>
              <w:kinsoku/>
              <w:autoSpaceDE/>
              <w:autoSpaceDN w:val="0"/>
              <w:ind w:firstLine="0"/>
              <w:jc w:val="left"/>
              <w:rPr>
                <w:rFonts w:hint="eastAsia" w:ascii="宋体" w:hAnsi="宋体" w:eastAsia="宋体"/>
                <w:b w:val="0"/>
                <w:snapToGrid/>
                <w:color w:val="333333"/>
                <w:sz w:val="21"/>
                <w:lang w:eastAsia="zh-CN"/>
              </w:rPr>
            </w:pPr>
          </w:p>
        </w:tc>
        <w:tc>
          <w:tcPr>
            <w:tcW w:w="2976" w:type="dxa"/>
            <w:vAlign w:val="top"/>
          </w:tcPr>
          <w:p>
            <w:pPr>
              <w:kinsoku/>
              <w:autoSpaceDE/>
              <w:autoSpaceDN w:val="0"/>
              <w:jc w:val="both"/>
              <w:rPr>
                <w:rFonts w:hint="eastAsia" w:ascii="宋体" w:hAnsi="宋体"/>
                <w:b w:val="0"/>
                <w:i w:val="0"/>
                <w:snapToGrid/>
                <w:color w:val="333333"/>
                <w:sz w:val="21"/>
                <w:lang w:eastAsia="zh-CN"/>
              </w:rPr>
            </w:pPr>
            <w:r>
              <w:rPr>
                <w:rFonts w:hint="eastAsia" w:ascii="宋体" w:hAnsi="宋体"/>
                <w:b w:val="0"/>
                <w:i w:val="0"/>
                <w:snapToGrid/>
                <w:color w:val="333333"/>
                <w:sz w:val="21"/>
                <w:lang w:eastAsia="zh-CN"/>
              </w:rPr>
              <w:t>按照投标人提供的报告书框架思路开展综合评估。</w:t>
            </w:r>
          </w:p>
          <w:p>
            <w:pPr>
              <w:kinsoku/>
              <w:autoSpaceDE/>
              <w:autoSpaceDN w:val="0"/>
              <w:ind w:firstLine="0"/>
              <w:jc w:val="left"/>
              <w:rPr>
                <w:rFonts w:hint="default" w:ascii="宋体" w:hAnsi="宋体" w:eastAsia="宋体"/>
                <w:b w:val="0"/>
                <w:snapToGrid/>
                <w:color w:val="333333"/>
                <w:sz w:val="21"/>
                <w:lang w:eastAsia="zh-CN"/>
              </w:rPr>
            </w:pPr>
            <w:r>
              <w:rPr>
                <w:rFonts w:hint="default" w:ascii="宋体" w:hAnsi="宋体" w:eastAsia="宋体"/>
                <w:b w:val="0"/>
                <w:snapToGrid/>
                <w:color w:val="333333"/>
                <w:sz w:val="21"/>
                <w:lang w:eastAsia="zh-CN"/>
              </w:rPr>
              <w:t>（1）</w:t>
            </w:r>
            <w:r>
              <w:rPr>
                <w:rFonts w:hint="eastAsia" w:ascii="宋体" w:hAnsi="宋体"/>
                <w:b w:val="0"/>
                <w:snapToGrid/>
                <w:color w:val="333333"/>
                <w:sz w:val="21"/>
                <w:lang w:eastAsia="zh-CN"/>
              </w:rPr>
              <w:t>编制报告书思路框架</w:t>
            </w:r>
            <w:r>
              <w:rPr>
                <w:rFonts w:hint="default" w:ascii="宋体" w:hAnsi="宋体" w:eastAsia="宋体"/>
                <w:b w:val="0"/>
                <w:snapToGrid/>
                <w:color w:val="333333"/>
                <w:sz w:val="21"/>
                <w:lang w:eastAsia="zh-CN"/>
              </w:rPr>
              <w:t>优：提供的方案对项目需求理解准确，满足或高于招标文件要求，评估技术满足或优于招标要求，工期进度安排合理，得</w:t>
            </w:r>
            <w:r>
              <w:rPr>
                <w:rFonts w:hint="eastAsia" w:ascii="宋体" w:hAnsi="宋体"/>
                <w:b w:val="0"/>
                <w:snapToGrid/>
                <w:color w:val="333333"/>
                <w:sz w:val="21"/>
                <w:lang w:val="en-US" w:eastAsia="zh-CN"/>
              </w:rPr>
              <w:t>5</w:t>
            </w:r>
            <w:r>
              <w:rPr>
                <w:rFonts w:hint="default" w:ascii="宋体" w:hAnsi="宋体" w:eastAsia="宋体"/>
                <w:b w:val="0"/>
                <w:snapToGrid/>
                <w:color w:val="333333"/>
                <w:sz w:val="21"/>
                <w:lang w:eastAsia="zh-CN"/>
              </w:rPr>
              <w:t>0分。</w:t>
            </w:r>
          </w:p>
          <w:p>
            <w:pPr>
              <w:kinsoku/>
              <w:autoSpaceDE/>
              <w:autoSpaceDN w:val="0"/>
              <w:ind w:firstLine="0"/>
              <w:jc w:val="left"/>
              <w:rPr>
                <w:rFonts w:hint="default" w:ascii="宋体" w:hAnsi="宋体" w:eastAsia="宋体"/>
                <w:b w:val="0"/>
                <w:snapToGrid/>
                <w:color w:val="333333"/>
                <w:sz w:val="21"/>
                <w:lang w:eastAsia="zh-CN"/>
              </w:rPr>
            </w:pPr>
            <w:r>
              <w:rPr>
                <w:rFonts w:hint="default" w:ascii="宋体" w:hAnsi="宋体" w:eastAsia="宋体"/>
                <w:b w:val="0"/>
                <w:snapToGrid/>
                <w:color w:val="333333"/>
                <w:sz w:val="21"/>
                <w:lang w:eastAsia="zh-CN"/>
              </w:rPr>
              <w:t>（2）</w:t>
            </w:r>
            <w:r>
              <w:rPr>
                <w:rFonts w:hint="eastAsia" w:ascii="宋体" w:hAnsi="宋体"/>
                <w:b w:val="0"/>
                <w:snapToGrid/>
                <w:color w:val="333333"/>
                <w:sz w:val="21"/>
                <w:lang w:eastAsia="zh-CN"/>
              </w:rPr>
              <w:t>编制报告书思路框架</w:t>
            </w:r>
            <w:r>
              <w:rPr>
                <w:rFonts w:hint="default" w:ascii="宋体" w:hAnsi="宋体" w:eastAsia="宋体"/>
                <w:b w:val="0"/>
                <w:snapToGrid/>
                <w:color w:val="333333"/>
                <w:sz w:val="21"/>
                <w:lang w:eastAsia="zh-CN"/>
              </w:rPr>
              <w:t>良：提供的方案中规中矩，基本满足招标文件要求，得</w:t>
            </w:r>
            <w:r>
              <w:rPr>
                <w:rFonts w:hint="eastAsia" w:ascii="宋体" w:hAnsi="宋体"/>
                <w:b w:val="0"/>
                <w:snapToGrid/>
                <w:color w:val="333333"/>
                <w:sz w:val="21"/>
                <w:lang w:val="en-US" w:eastAsia="zh-CN"/>
              </w:rPr>
              <w:t>30</w:t>
            </w:r>
            <w:r>
              <w:rPr>
                <w:rFonts w:hint="default" w:ascii="宋体" w:hAnsi="宋体" w:eastAsia="宋体"/>
                <w:b w:val="0"/>
                <w:snapToGrid/>
                <w:color w:val="333333"/>
                <w:sz w:val="21"/>
                <w:lang w:eastAsia="zh-CN"/>
              </w:rPr>
              <w:t>分。</w:t>
            </w:r>
          </w:p>
          <w:p>
            <w:pPr>
              <w:kinsoku/>
              <w:autoSpaceDE/>
              <w:autoSpaceDN w:val="0"/>
              <w:jc w:val="both"/>
              <w:rPr>
                <w:rFonts w:hint="eastAsia" w:ascii="宋体" w:hAnsi="宋体"/>
                <w:b w:val="0"/>
                <w:i w:val="0"/>
                <w:snapToGrid/>
                <w:color w:val="333333"/>
                <w:sz w:val="21"/>
                <w:lang w:eastAsia="zh-CN"/>
              </w:rPr>
            </w:pPr>
            <w:r>
              <w:rPr>
                <w:rFonts w:hint="default" w:ascii="宋体" w:hAnsi="宋体" w:eastAsia="宋体"/>
                <w:b w:val="0"/>
                <w:snapToGrid/>
                <w:color w:val="333333"/>
                <w:sz w:val="21"/>
                <w:lang w:eastAsia="zh-CN"/>
              </w:rPr>
              <w:t>（3）</w:t>
            </w:r>
            <w:r>
              <w:rPr>
                <w:rFonts w:hint="eastAsia" w:ascii="宋体" w:hAnsi="宋体"/>
                <w:b w:val="0"/>
                <w:snapToGrid/>
                <w:color w:val="333333"/>
                <w:sz w:val="21"/>
                <w:lang w:eastAsia="zh-CN"/>
              </w:rPr>
              <w:t>编制报告书思路框架</w:t>
            </w:r>
            <w:r>
              <w:rPr>
                <w:rFonts w:hint="default" w:ascii="宋体" w:hAnsi="宋体" w:eastAsia="宋体"/>
                <w:b w:val="0"/>
                <w:snapToGrid/>
                <w:color w:val="333333"/>
                <w:sz w:val="21"/>
                <w:lang w:eastAsia="zh-CN"/>
              </w:rPr>
              <w:t>差：提供方案对项目需求理解含糊，存在有不满足招标文件的要求；或者提供的技术方案空泛没有针对性，得0-10分。</w:t>
            </w:r>
          </w:p>
        </w:tc>
        <w:tc>
          <w:tcPr>
            <w:tcW w:w="1286" w:type="dxa"/>
            <w:vAlign w:val="top"/>
          </w:tcPr>
          <w:p>
            <w:pPr>
              <w:kinsoku/>
              <w:autoSpaceDE/>
              <w:autoSpaceDN w:val="0"/>
              <w:jc w:val="both"/>
              <w:rPr>
                <w:rFonts w:hint="eastAsia" w:ascii="仿宋_GB2312" w:hAnsi="仿宋_GB2312" w:eastAsia="仿宋_GB2312" w:cs="仿宋_GB2312"/>
                <w:b w:val="0"/>
                <w:i w:val="0"/>
                <w:snapToGrid/>
                <w:color w:val="333333"/>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1" w:type="dxa"/>
            <w:vAlign w:val="top"/>
          </w:tcPr>
          <w:p>
            <w:pPr>
              <w:kinsoku/>
              <w:autoSpaceDE/>
              <w:autoSpaceDN w:val="0"/>
              <w:ind w:firstLine="0" w:firstLineChars="0"/>
              <w:jc w:val="center"/>
              <w:rPr>
                <w:rFonts w:hint="eastAsia" w:ascii="宋体" w:hAnsi="宋体" w:eastAsia="宋体"/>
                <w:b w:val="0"/>
                <w:snapToGrid/>
                <w:color w:val="333333"/>
                <w:sz w:val="21"/>
                <w:lang w:val="en-US" w:eastAsia="zh-CN"/>
              </w:rPr>
            </w:pPr>
            <w:r>
              <w:rPr>
                <w:rFonts w:hint="eastAsia" w:ascii="宋体" w:hAnsi="宋体"/>
                <w:b w:val="0"/>
                <w:snapToGrid/>
                <w:color w:val="333333"/>
                <w:sz w:val="21"/>
                <w:lang w:val="en-US" w:eastAsia="zh-CN"/>
              </w:rPr>
              <w:t>1</w:t>
            </w:r>
            <w:r>
              <w:rPr>
                <w:rFonts w:hint="eastAsia" w:ascii="宋体" w:hAnsi="宋体" w:eastAsia="宋体"/>
                <w:b w:val="0"/>
                <w:snapToGrid/>
                <w:color w:val="333333"/>
                <w:sz w:val="21"/>
                <w:lang w:val="en-US" w:eastAsia="zh-CN"/>
              </w:rPr>
              <w:t>0</w:t>
            </w:r>
          </w:p>
        </w:tc>
        <w:tc>
          <w:tcPr>
            <w:tcW w:w="3189" w:type="dxa"/>
            <w:vAlign w:val="top"/>
          </w:tcPr>
          <w:p>
            <w:pPr>
              <w:kinsoku/>
              <w:autoSpaceDE/>
              <w:autoSpaceDN w:val="0"/>
              <w:ind w:firstLine="0" w:firstLineChars="0"/>
              <w:jc w:val="left"/>
              <w:rPr>
                <w:rFonts w:hint="eastAsia" w:ascii="宋体" w:hAnsi="宋体" w:eastAsia="宋体"/>
                <w:b w:val="0"/>
                <w:snapToGrid/>
                <w:color w:val="333333"/>
                <w:sz w:val="21"/>
                <w:lang w:val="en-US" w:eastAsia="zh-CN"/>
              </w:rPr>
            </w:pPr>
            <w:r>
              <w:rPr>
                <w:rFonts w:hint="default" w:ascii="宋体" w:hAnsi="宋体" w:eastAsia="宋体"/>
                <w:b w:val="0"/>
                <w:snapToGrid/>
                <w:color w:val="333333"/>
                <w:sz w:val="21"/>
                <w:lang w:eastAsia="zh-CN"/>
              </w:rPr>
              <w:t>投标人本地综合服务支撑能力，提供营业执照副本复印件</w:t>
            </w:r>
            <w:r>
              <w:rPr>
                <w:rFonts w:hint="eastAsia" w:ascii="宋体" w:hAnsi="宋体"/>
                <w:b w:val="0"/>
                <w:snapToGrid/>
                <w:color w:val="333333"/>
                <w:sz w:val="21"/>
                <w:lang w:eastAsia="zh-CN"/>
              </w:rPr>
              <w:t>。</w:t>
            </w:r>
          </w:p>
        </w:tc>
        <w:tc>
          <w:tcPr>
            <w:tcW w:w="2976" w:type="dxa"/>
            <w:vAlign w:val="top"/>
          </w:tcPr>
          <w:p>
            <w:pPr>
              <w:numPr>
                <w:ilvl w:val="0"/>
                <w:numId w:val="1"/>
              </w:numPr>
              <w:kinsoku/>
              <w:autoSpaceDE/>
              <w:autoSpaceDN w:val="0"/>
              <w:ind w:firstLine="0" w:firstLineChars="0"/>
              <w:jc w:val="left"/>
              <w:rPr>
                <w:rFonts w:hint="default" w:ascii="宋体" w:hAnsi="宋体" w:eastAsia="宋体"/>
                <w:b w:val="0"/>
                <w:snapToGrid/>
                <w:color w:val="333333"/>
                <w:sz w:val="21"/>
                <w:lang w:eastAsia="zh-CN"/>
              </w:rPr>
            </w:pPr>
            <w:r>
              <w:rPr>
                <w:rFonts w:hint="default" w:ascii="宋体" w:hAnsi="宋体" w:eastAsia="宋体"/>
                <w:b w:val="0"/>
                <w:snapToGrid/>
                <w:color w:val="333333"/>
                <w:sz w:val="21"/>
                <w:lang w:eastAsia="zh-CN"/>
              </w:rPr>
              <w:t>投标人总部设在</w:t>
            </w:r>
            <w:r>
              <w:rPr>
                <w:rFonts w:hint="eastAsia" w:ascii="宋体" w:hAnsi="宋体"/>
                <w:b w:val="0"/>
                <w:snapToGrid/>
                <w:color w:val="333333"/>
                <w:sz w:val="21"/>
                <w:lang w:eastAsia="zh-CN"/>
              </w:rPr>
              <w:t>南沙</w:t>
            </w:r>
            <w:r>
              <w:rPr>
                <w:rFonts w:hint="default" w:ascii="宋体" w:hAnsi="宋体" w:eastAsia="宋体"/>
                <w:b w:val="0"/>
                <w:snapToGrid/>
                <w:color w:val="333333"/>
                <w:sz w:val="21"/>
                <w:lang w:eastAsia="zh-CN"/>
              </w:rPr>
              <w:t>，得</w:t>
            </w:r>
            <w:r>
              <w:rPr>
                <w:rFonts w:hint="eastAsia" w:ascii="宋体" w:hAnsi="宋体"/>
                <w:b w:val="0"/>
                <w:snapToGrid/>
                <w:color w:val="333333"/>
                <w:sz w:val="21"/>
                <w:lang w:val="en-US" w:eastAsia="zh-CN"/>
              </w:rPr>
              <w:t>10</w:t>
            </w:r>
            <w:r>
              <w:rPr>
                <w:rFonts w:hint="default" w:ascii="宋体" w:hAnsi="宋体" w:eastAsia="宋体"/>
                <w:b w:val="0"/>
                <w:snapToGrid/>
                <w:color w:val="333333"/>
                <w:sz w:val="21"/>
                <w:lang w:eastAsia="zh-CN"/>
              </w:rPr>
              <w:t>分；</w:t>
            </w:r>
          </w:p>
          <w:p>
            <w:pPr>
              <w:numPr>
                <w:ilvl w:val="0"/>
                <w:numId w:val="1"/>
              </w:numPr>
              <w:kinsoku/>
              <w:autoSpaceDE/>
              <w:autoSpaceDN w:val="0"/>
              <w:ind w:firstLine="0" w:firstLineChars="0"/>
              <w:jc w:val="left"/>
              <w:rPr>
                <w:rFonts w:hint="default" w:ascii="宋体" w:hAnsi="宋体" w:eastAsia="宋体"/>
                <w:b w:val="0"/>
                <w:i w:val="0"/>
                <w:snapToGrid/>
                <w:color w:val="333333"/>
                <w:sz w:val="21"/>
                <w:lang w:eastAsia="zh-CN"/>
              </w:rPr>
            </w:pPr>
            <w:r>
              <w:rPr>
                <w:rFonts w:hint="default" w:ascii="宋体" w:hAnsi="宋体" w:eastAsia="宋体"/>
                <w:b w:val="0"/>
                <w:snapToGrid/>
                <w:color w:val="333333"/>
                <w:sz w:val="21"/>
                <w:lang w:eastAsia="zh-CN"/>
              </w:rPr>
              <w:t>投标人在</w:t>
            </w:r>
            <w:r>
              <w:rPr>
                <w:rFonts w:hint="eastAsia" w:ascii="宋体" w:hAnsi="宋体"/>
                <w:b w:val="0"/>
                <w:snapToGrid/>
                <w:color w:val="333333"/>
                <w:sz w:val="21"/>
                <w:lang w:eastAsia="zh-CN"/>
              </w:rPr>
              <w:t>南沙</w:t>
            </w:r>
            <w:r>
              <w:rPr>
                <w:rFonts w:hint="default" w:ascii="宋体" w:hAnsi="宋体" w:eastAsia="宋体"/>
                <w:b w:val="0"/>
                <w:snapToGrid/>
                <w:color w:val="333333"/>
                <w:sz w:val="21"/>
                <w:lang w:eastAsia="zh-CN"/>
              </w:rPr>
              <w:t>有分公司或分支机构，得</w:t>
            </w:r>
            <w:r>
              <w:rPr>
                <w:rFonts w:hint="eastAsia" w:ascii="宋体" w:hAnsi="宋体"/>
                <w:b w:val="0"/>
                <w:snapToGrid/>
                <w:color w:val="333333"/>
                <w:sz w:val="21"/>
                <w:lang w:val="en-US" w:eastAsia="zh-CN"/>
              </w:rPr>
              <w:t>5</w:t>
            </w:r>
            <w:r>
              <w:rPr>
                <w:rFonts w:hint="default" w:ascii="宋体" w:hAnsi="宋体" w:eastAsia="宋体"/>
                <w:b w:val="0"/>
                <w:snapToGrid/>
                <w:color w:val="333333"/>
                <w:sz w:val="21"/>
                <w:lang w:eastAsia="zh-CN"/>
              </w:rPr>
              <w:t>分</w:t>
            </w:r>
            <w:r>
              <w:rPr>
                <w:rFonts w:hint="eastAsia" w:ascii="宋体" w:hAnsi="宋体" w:eastAsia="宋体"/>
                <w:b w:val="0"/>
                <w:snapToGrid/>
                <w:color w:val="333333"/>
                <w:sz w:val="21"/>
                <w:lang w:eastAsia="zh-CN"/>
              </w:rPr>
              <w:t>；</w:t>
            </w:r>
          </w:p>
          <w:p>
            <w:pPr>
              <w:numPr>
                <w:ilvl w:val="0"/>
                <w:numId w:val="0"/>
              </w:numPr>
              <w:kinsoku/>
              <w:autoSpaceDE/>
              <w:autoSpaceDN w:val="0"/>
              <w:jc w:val="left"/>
              <w:rPr>
                <w:rFonts w:hint="default" w:ascii="宋体" w:hAnsi="宋体" w:eastAsia="宋体"/>
                <w:b w:val="0"/>
                <w:i w:val="0"/>
                <w:snapToGrid/>
                <w:color w:val="333333"/>
                <w:sz w:val="21"/>
                <w:lang w:eastAsia="zh-CN"/>
              </w:rPr>
            </w:pPr>
            <w:r>
              <w:rPr>
                <w:rFonts w:hint="eastAsia" w:ascii="宋体" w:hAnsi="宋体"/>
                <w:b w:val="0"/>
                <w:snapToGrid/>
                <w:color w:val="333333"/>
                <w:sz w:val="21"/>
                <w:lang w:eastAsia="zh-CN"/>
              </w:rPr>
              <w:t>（</w:t>
            </w:r>
            <w:r>
              <w:rPr>
                <w:rFonts w:hint="eastAsia" w:ascii="宋体" w:hAnsi="宋体"/>
                <w:b w:val="0"/>
                <w:snapToGrid/>
                <w:color w:val="333333"/>
                <w:sz w:val="21"/>
                <w:lang w:val="en-US" w:eastAsia="zh-CN"/>
              </w:rPr>
              <w:t>3</w:t>
            </w:r>
            <w:r>
              <w:rPr>
                <w:rFonts w:hint="eastAsia" w:ascii="宋体" w:hAnsi="宋体"/>
                <w:b w:val="0"/>
                <w:snapToGrid/>
                <w:color w:val="333333"/>
                <w:sz w:val="21"/>
                <w:lang w:eastAsia="zh-CN"/>
              </w:rPr>
              <w:t>）</w:t>
            </w:r>
            <w:r>
              <w:rPr>
                <w:rFonts w:hint="default" w:ascii="宋体" w:hAnsi="宋体" w:eastAsia="宋体"/>
                <w:b w:val="0"/>
                <w:snapToGrid/>
                <w:color w:val="333333"/>
                <w:sz w:val="21"/>
                <w:lang w:eastAsia="zh-CN"/>
              </w:rPr>
              <w:t>其他得0分。</w:t>
            </w:r>
          </w:p>
        </w:tc>
        <w:tc>
          <w:tcPr>
            <w:tcW w:w="1286" w:type="dxa"/>
            <w:vAlign w:val="top"/>
          </w:tcPr>
          <w:p>
            <w:pPr>
              <w:kinsoku/>
              <w:autoSpaceDE/>
              <w:autoSpaceDN w:val="0"/>
              <w:jc w:val="both"/>
              <w:rPr>
                <w:rFonts w:hint="eastAsia" w:ascii="仿宋_GB2312" w:hAnsi="仿宋_GB2312" w:eastAsia="仿宋_GB2312" w:cs="仿宋_GB2312"/>
                <w:b w:val="0"/>
                <w:i w:val="0"/>
                <w:snapToGrid/>
                <w:color w:val="333333"/>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1" w:type="dxa"/>
            <w:vAlign w:val="top"/>
          </w:tcPr>
          <w:p>
            <w:pPr>
              <w:kinsoku/>
              <w:autoSpaceDE/>
              <w:autoSpaceDN w:val="0"/>
              <w:ind w:firstLine="0" w:firstLineChars="0"/>
              <w:jc w:val="center"/>
              <w:rPr>
                <w:rFonts w:hint="eastAsia" w:ascii="宋体" w:hAnsi="宋体" w:eastAsia="宋体"/>
                <w:b w:val="0"/>
                <w:snapToGrid/>
                <w:color w:val="333333"/>
                <w:sz w:val="21"/>
                <w:lang w:val="en-US" w:eastAsia="zh-CN"/>
              </w:rPr>
            </w:pPr>
            <w:r>
              <w:rPr>
                <w:rFonts w:hint="eastAsia" w:ascii="宋体" w:hAnsi="宋体"/>
                <w:b w:val="0"/>
                <w:snapToGrid/>
                <w:color w:val="333333"/>
                <w:sz w:val="21"/>
                <w:lang w:val="en-US" w:eastAsia="zh-CN"/>
              </w:rPr>
              <w:t>2</w:t>
            </w:r>
            <w:r>
              <w:rPr>
                <w:rFonts w:hint="eastAsia" w:ascii="宋体" w:hAnsi="宋体" w:eastAsia="宋体"/>
                <w:b w:val="0"/>
                <w:snapToGrid/>
                <w:color w:val="333333"/>
                <w:sz w:val="21"/>
                <w:lang w:val="en-US" w:eastAsia="zh-CN"/>
              </w:rPr>
              <w:t>0</w:t>
            </w:r>
          </w:p>
        </w:tc>
        <w:tc>
          <w:tcPr>
            <w:tcW w:w="3189" w:type="dxa"/>
            <w:vAlign w:val="top"/>
          </w:tcPr>
          <w:p>
            <w:pPr>
              <w:kinsoku/>
              <w:autoSpaceDE/>
              <w:autoSpaceDN w:val="0"/>
              <w:ind w:firstLine="0" w:firstLineChars="0"/>
              <w:jc w:val="left"/>
              <w:rPr>
                <w:rFonts w:hint="eastAsia" w:ascii="宋体" w:hAnsi="宋体" w:eastAsia="宋体"/>
                <w:b w:val="0"/>
                <w:snapToGrid/>
                <w:color w:val="333333"/>
                <w:sz w:val="21"/>
                <w:lang w:val="en-US" w:eastAsia="zh-CN"/>
              </w:rPr>
            </w:pPr>
            <w:r>
              <w:rPr>
                <w:rFonts w:hint="default" w:ascii="宋体" w:hAnsi="宋体" w:eastAsia="宋体"/>
                <w:b w:val="0"/>
                <w:snapToGrid/>
                <w:color w:val="333333"/>
                <w:sz w:val="21"/>
                <w:lang w:eastAsia="zh-CN"/>
              </w:rPr>
              <w:t>投标人在</w:t>
            </w:r>
            <w:r>
              <w:rPr>
                <w:rFonts w:hint="eastAsia" w:ascii="宋体" w:hAnsi="宋体"/>
                <w:b w:val="0"/>
                <w:snapToGrid/>
                <w:color w:val="333333"/>
                <w:sz w:val="21"/>
                <w:lang w:eastAsia="zh-CN"/>
              </w:rPr>
              <w:t>南沙</w:t>
            </w:r>
            <w:r>
              <w:rPr>
                <w:rFonts w:hint="default" w:ascii="宋体" w:hAnsi="宋体" w:eastAsia="宋体"/>
                <w:b w:val="0"/>
                <w:snapToGrid/>
                <w:color w:val="333333"/>
                <w:sz w:val="21"/>
                <w:lang w:eastAsia="zh-CN"/>
              </w:rPr>
              <w:t>的稳定的技术服务人员情况，提供以上人员在本公司任职的证明材料</w:t>
            </w:r>
            <w:r>
              <w:rPr>
                <w:rFonts w:hint="eastAsia" w:ascii="宋体" w:hAnsi="宋体"/>
                <w:b w:val="0"/>
                <w:snapToGrid/>
                <w:color w:val="333333"/>
                <w:sz w:val="21"/>
                <w:lang w:eastAsia="zh-CN"/>
              </w:rPr>
              <w:t>。</w:t>
            </w:r>
          </w:p>
        </w:tc>
        <w:tc>
          <w:tcPr>
            <w:tcW w:w="2976" w:type="dxa"/>
            <w:vAlign w:val="top"/>
          </w:tcPr>
          <w:p>
            <w:pPr>
              <w:kinsoku/>
              <w:autoSpaceDE/>
              <w:autoSpaceDN w:val="0"/>
              <w:ind w:firstLine="0"/>
              <w:jc w:val="left"/>
              <w:rPr>
                <w:rFonts w:hint="default" w:ascii="宋体" w:hAnsi="宋体" w:eastAsia="宋体"/>
                <w:b w:val="0"/>
                <w:snapToGrid/>
                <w:color w:val="333333"/>
                <w:sz w:val="21"/>
                <w:lang w:eastAsia="zh-CN"/>
              </w:rPr>
            </w:pPr>
            <w:r>
              <w:rPr>
                <w:rFonts w:hint="eastAsia" w:ascii="宋体" w:hAnsi="宋体"/>
                <w:b w:val="0"/>
                <w:snapToGrid/>
                <w:color w:val="333333"/>
                <w:sz w:val="21"/>
                <w:lang w:eastAsia="zh-CN"/>
              </w:rPr>
              <w:t>（</w:t>
            </w:r>
            <w:r>
              <w:rPr>
                <w:rFonts w:hint="eastAsia" w:ascii="宋体" w:hAnsi="宋体"/>
                <w:b w:val="0"/>
                <w:snapToGrid/>
                <w:color w:val="333333"/>
                <w:sz w:val="21"/>
                <w:lang w:val="en-US" w:eastAsia="zh-CN"/>
              </w:rPr>
              <w:t>1</w:t>
            </w:r>
            <w:r>
              <w:rPr>
                <w:rFonts w:hint="eastAsia" w:ascii="宋体" w:hAnsi="宋体"/>
                <w:b w:val="0"/>
                <w:snapToGrid/>
                <w:color w:val="333333"/>
                <w:sz w:val="21"/>
                <w:lang w:eastAsia="zh-CN"/>
              </w:rPr>
              <w:t>）有本地工作场所和工作人员</w:t>
            </w:r>
            <w:r>
              <w:rPr>
                <w:rFonts w:hint="default" w:ascii="宋体" w:hAnsi="宋体" w:eastAsia="宋体"/>
                <w:b w:val="0"/>
                <w:snapToGrid/>
                <w:color w:val="333333"/>
                <w:sz w:val="21"/>
                <w:lang w:eastAsia="zh-CN"/>
              </w:rPr>
              <w:t>，得</w:t>
            </w:r>
            <w:r>
              <w:rPr>
                <w:rFonts w:hint="eastAsia" w:ascii="宋体" w:hAnsi="宋体"/>
                <w:b w:val="0"/>
                <w:snapToGrid/>
                <w:color w:val="333333"/>
                <w:sz w:val="21"/>
                <w:lang w:val="en-US" w:eastAsia="zh-CN"/>
              </w:rPr>
              <w:t>2</w:t>
            </w:r>
            <w:r>
              <w:rPr>
                <w:rFonts w:hint="default" w:ascii="宋体" w:hAnsi="宋体" w:eastAsia="宋体"/>
                <w:b w:val="0"/>
                <w:snapToGrid/>
                <w:color w:val="333333"/>
                <w:sz w:val="21"/>
                <w:lang w:eastAsia="zh-CN"/>
              </w:rPr>
              <w:t>0分；</w:t>
            </w:r>
          </w:p>
          <w:p>
            <w:pPr>
              <w:kinsoku/>
              <w:autoSpaceDE/>
              <w:autoSpaceDN w:val="0"/>
              <w:ind w:firstLine="0" w:firstLineChars="0"/>
              <w:jc w:val="left"/>
              <w:rPr>
                <w:rFonts w:hint="default" w:ascii="宋体" w:hAnsi="宋体" w:eastAsia="宋体"/>
                <w:b w:val="0"/>
                <w:i w:val="0"/>
                <w:snapToGrid/>
                <w:color w:val="333333"/>
                <w:sz w:val="21"/>
                <w:lang w:eastAsia="zh-CN"/>
              </w:rPr>
            </w:pPr>
            <w:r>
              <w:rPr>
                <w:rFonts w:hint="eastAsia" w:ascii="宋体" w:hAnsi="宋体"/>
                <w:b w:val="0"/>
                <w:snapToGrid/>
                <w:color w:val="333333"/>
                <w:sz w:val="21"/>
                <w:lang w:eastAsia="zh-CN"/>
              </w:rPr>
              <w:t>（</w:t>
            </w:r>
            <w:r>
              <w:rPr>
                <w:rFonts w:hint="eastAsia" w:ascii="宋体" w:hAnsi="宋体"/>
                <w:b w:val="0"/>
                <w:snapToGrid/>
                <w:color w:val="333333"/>
                <w:sz w:val="21"/>
                <w:lang w:val="en-US" w:eastAsia="zh-CN"/>
              </w:rPr>
              <w:t>2</w:t>
            </w:r>
            <w:r>
              <w:rPr>
                <w:rFonts w:hint="eastAsia" w:ascii="宋体" w:hAnsi="宋体"/>
                <w:b w:val="0"/>
                <w:snapToGrid/>
                <w:color w:val="333333"/>
                <w:sz w:val="21"/>
                <w:lang w:eastAsia="zh-CN"/>
              </w:rPr>
              <w:t>）无本地工作场所和工作人员</w:t>
            </w:r>
            <w:r>
              <w:rPr>
                <w:rFonts w:hint="default" w:ascii="宋体" w:hAnsi="宋体" w:eastAsia="宋体"/>
                <w:b w:val="0"/>
                <w:snapToGrid/>
                <w:color w:val="333333"/>
                <w:sz w:val="21"/>
                <w:lang w:eastAsia="zh-CN"/>
              </w:rPr>
              <w:t>，得0分。</w:t>
            </w:r>
          </w:p>
        </w:tc>
        <w:tc>
          <w:tcPr>
            <w:tcW w:w="1286" w:type="dxa"/>
            <w:vAlign w:val="top"/>
          </w:tcPr>
          <w:p>
            <w:pPr>
              <w:kinsoku/>
              <w:autoSpaceDE/>
              <w:autoSpaceDN w:val="0"/>
              <w:jc w:val="both"/>
              <w:rPr>
                <w:rFonts w:hint="eastAsia" w:ascii="仿宋_GB2312" w:hAnsi="仿宋_GB2312" w:eastAsia="仿宋_GB2312" w:cs="仿宋_GB2312"/>
                <w:b w:val="0"/>
                <w:i w:val="0"/>
                <w:snapToGrid/>
                <w:color w:val="333333"/>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1" w:type="dxa"/>
            <w:vAlign w:val="top"/>
          </w:tcPr>
          <w:p>
            <w:pPr>
              <w:kinsoku/>
              <w:autoSpaceDE/>
              <w:autoSpaceDN w:val="0"/>
              <w:ind w:firstLine="0" w:firstLineChars="0"/>
              <w:jc w:val="center"/>
              <w:rPr>
                <w:rFonts w:hint="default" w:ascii="宋体" w:hAnsi="宋体"/>
                <w:b w:val="0"/>
                <w:snapToGrid/>
                <w:color w:val="333333"/>
                <w:sz w:val="21"/>
                <w:lang w:val="en-US" w:eastAsia="zh-CN"/>
              </w:rPr>
            </w:pPr>
            <w:r>
              <w:rPr>
                <w:rFonts w:hint="eastAsia" w:ascii="宋体" w:hAnsi="宋体"/>
                <w:b w:val="0"/>
                <w:snapToGrid/>
                <w:color w:val="333333"/>
                <w:sz w:val="21"/>
                <w:lang w:val="en-US" w:eastAsia="zh-CN"/>
              </w:rPr>
              <w:t>20</w:t>
            </w:r>
          </w:p>
        </w:tc>
        <w:tc>
          <w:tcPr>
            <w:tcW w:w="3189" w:type="dxa"/>
            <w:vAlign w:val="top"/>
          </w:tcPr>
          <w:p>
            <w:pPr>
              <w:kinsoku/>
              <w:autoSpaceDE/>
              <w:autoSpaceDN w:val="0"/>
              <w:ind w:firstLine="0" w:firstLineChars="0"/>
              <w:jc w:val="left"/>
              <w:rPr>
                <w:rFonts w:hint="default" w:ascii="宋体" w:hAnsi="宋体" w:eastAsia="宋体"/>
                <w:b w:val="0"/>
                <w:snapToGrid/>
                <w:color w:val="333333"/>
                <w:sz w:val="21"/>
                <w:lang w:eastAsia="zh-CN"/>
              </w:rPr>
            </w:pPr>
            <w:r>
              <w:rPr>
                <w:rFonts w:hint="eastAsia" w:ascii="宋体" w:hAnsi="宋体" w:eastAsia="宋体"/>
                <w:b w:val="0"/>
                <w:snapToGrid/>
                <w:color w:val="333333"/>
                <w:sz w:val="21"/>
                <w:lang w:val="en-US" w:eastAsia="zh-CN"/>
              </w:rPr>
              <w:t>投标单位</w:t>
            </w:r>
            <w:r>
              <w:rPr>
                <w:rFonts w:hint="eastAsia" w:ascii="宋体" w:hAnsi="宋体"/>
                <w:b w:val="0"/>
                <w:snapToGrid/>
                <w:color w:val="333333"/>
                <w:sz w:val="21"/>
                <w:lang w:val="en-US" w:eastAsia="zh-CN"/>
              </w:rPr>
              <w:t>曾参与过质量相关工作。</w:t>
            </w:r>
            <w:r>
              <w:rPr>
                <w:rFonts w:hint="default" w:ascii="宋体" w:hAnsi="宋体" w:eastAsia="宋体"/>
                <w:b w:val="0"/>
                <w:snapToGrid/>
                <w:color w:val="333333"/>
                <w:sz w:val="21"/>
                <w:lang w:eastAsia="zh-CN"/>
              </w:rPr>
              <w:t>（提供</w:t>
            </w:r>
            <w:r>
              <w:rPr>
                <w:rFonts w:hint="eastAsia" w:ascii="宋体" w:hAnsi="宋体" w:eastAsia="宋体"/>
                <w:b w:val="0"/>
                <w:snapToGrid/>
                <w:color w:val="333333"/>
                <w:sz w:val="21"/>
                <w:lang w:eastAsia="zh-CN"/>
              </w:rPr>
              <w:t>佐证材料</w:t>
            </w:r>
            <w:r>
              <w:rPr>
                <w:rFonts w:hint="default" w:ascii="宋体" w:hAnsi="宋体" w:eastAsia="宋体"/>
                <w:b w:val="0"/>
                <w:snapToGrid/>
                <w:color w:val="333333"/>
                <w:sz w:val="21"/>
                <w:lang w:eastAsia="zh-CN"/>
              </w:rPr>
              <w:t>并加盖公章）</w:t>
            </w:r>
          </w:p>
        </w:tc>
        <w:tc>
          <w:tcPr>
            <w:tcW w:w="2976" w:type="dxa"/>
            <w:vAlign w:val="top"/>
          </w:tcPr>
          <w:p>
            <w:pPr>
              <w:kinsoku/>
              <w:autoSpaceDE/>
              <w:autoSpaceDN w:val="0"/>
              <w:jc w:val="both"/>
              <w:rPr>
                <w:rFonts w:hint="default" w:ascii="宋体" w:hAnsi="宋体" w:eastAsia="宋体"/>
                <w:b w:val="0"/>
                <w:snapToGrid/>
                <w:color w:val="333333"/>
                <w:sz w:val="21"/>
                <w:lang w:eastAsia="zh-CN"/>
              </w:rPr>
            </w:pPr>
            <w:r>
              <w:rPr>
                <w:rFonts w:hint="eastAsia" w:ascii="宋体" w:hAnsi="宋体"/>
                <w:b w:val="0"/>
                <w:i w:val="0"/>
                <w:snapToGrid/>
                <w:color w:val="333333"/>
                <w:sz w:val="21"/>
                <w:lang w:eastAsia="zh-CN"/>
              </w:rPr>
              <w:t>按提供材料的质量综合评估。</w:t>
            </w:r>
          </w:p>
        </w:tc>
        <w:tc>
          <w:tcPr>
            <w:tcW w:w="1286" w:type="dxa"/>
            <w:vAlign w:val="top"/>
          </w:tcPr>
          <w:p>
            <w:pPr>
              <w:kinsoku/>
              <w:autoSpaceDE/>
              <w:autoSpaceDN w:val="0"/>
              <w:jc w:val="both"/>
              <w:rPr>
                <w:rFonts w:hint="eastAsia" w:ascii="仿宋_GB2312" w:hAnsi="仿宋_GB2312" w:eastAsia="仿宋_GB2312" w:cs="仿宋_GB2312"/>
                <w:b w:val="0"/>
                <w:i w:val="0"/>
                <w:snapToGrid/>
                <w:color w:val="333333"/>
                <w:sz w:val="32"/>
                <w:szCs w:val="32"/>
                <w:vertAlign w:val="baseline"/>
                <w:lang w:eastAsia="zh-CN"/>
              </w:rPr>
            </w:pPr>
          </w:p>
        </w:tc>
      </w:tr>
    </w:tbl>
    <w:p>
      <w:pPr>
        <w:kinsoku/>
        <w:autoSpaceDE/>
        <w:autoSpaceDN w:val="0"/>
        <w:ind w:firstLine="0"/>
        <w:jc w:val="both"/>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　　注：本次项目不兼投不兼中，询价文件中载明的能力要求，属于得(扣)分条款的，可以要求报价人提供证明材料并标注对应关系，未按要求提供证明材料的，应当认定该项能力因素不得分。</w:t>
      </w:r>
    </w:p>
    <w:p/>
    <w:p/>
    <w:sectPr>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2959B"/>
    <w:multiLevelType w:val="singleLevel"/>
    <w:tmpl w:val="353295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D5587"/>
    <w:rsid w:val="5DBD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2022-02-10T01:27:00Z</dcterms:created>
  <dc:creator>区市场监督管理局（区知识产权局）</dc:creator>
  <cp:lastModifiedBy>区市场监督管理局（区知识产权局）</cp:lastModifiedBy>
  <dcterms:modified xsi:type="dcterms:W3CDTF">2022-02-10T01:27:30Z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