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insoku w:val="0"/>
        <w:overflowPunct w:val="0"/>
        <w:spacing w:before="40"/>
        <w:ind w:left="102"/>
        <w:rPr>
          <w:rFonts w:ascii="黑体" w:hAnsi="黑体" w:eastAsia="黑体" w:cs="Times New Roman"/>
          <w:sz w:val="28"/>
          <w:szCs w:val="21"/>
        </w:rPr>
      </w:pPr>
      <w:bookmarkStart w:id="0" w:name="_Hlk88836711"/>
      <w:bookmarkEnd w:id="0"/>
      <w:r>
        <w:rPr>
          <w:rFonts w:hint="eastAsia" w:ascii="黑体" w:hAnsi="黑体" w:eastAsia="黑体" w:cs="Times New Roman"/>
          <w:sz w:val="28"/>
          <w:szCs w:val="21"/>
        </w:rPr>
        <w:t>附件1</w:t>
      </w:r>
    </w:p>
    <w:p>
      <w:pPr>
        <w:pStyle w:val="8"/>
        <w:kinsoku w:val="0"/>
        <w:overflowPunct w:val="0"/>
        <w:spacing w:before="40"/>
        <w:jc w:val="center"/>
        <w:rPr>
          <w:rFonts w:ascii="宋体" w:hAnsi="宋体" w:eastAsia="宋体" w:cs="Times New Roman"/>
          <w:b/>
          <w:sz w:val="32"/>
          <w:szCs w:val="21"/>
        </w:rPr>
      </w:pPr>
      <w:r>
        <w:rPr>
          <w:rFonts w:hint="eastAsia" w:ascii="宋体" w:hAnsi="宋体" w:eastAsia="宋体" w:cs="Times New Roman"/>
          <w:b/>
          <w:sz w:val="32"/>
          <w:szCs w:val="21"/>
        </w:rPr>
        <w:t>大岗镇土地利用主要调控指标表</w:t>
      </w:r>
    </w:p>
    <w:p>
      <w:pPr>
        <w:pStyle w:val="8"/>
        <w:kinsoku w:val="0"/>
        <w:overflowPunct w:val="0"/>
        <w:spacing w:before="40"/>
        <w:ind w:left="102" w:firstLine="420" w:firstLineChars="200"/>
        <w:jc w:val="right"/>
        <w:rPr>
          <w:rFonts w:ascii="Times New Roman" w:eastAsia="仿宋" w:cs="Times New Roman"/>
          <w:sz w:val="21"/>
          <w:szCs w:val="21"/>
        </w:rPr>
      </w:pPr>
      <w:r>
        <w:rPr>
          <w:rFonts w:hint="eastAsia" w:ascii="Times New Roman" w:eastAsia="仿宋" w:cs="Times New Roman"/>
          <w:sz w:val="21"/>
          <w:szCs w:val="21"/>
        </w:rPr>
        <w:t>单位：公顷</w:t>
      </w:r>
    </w:p>
    <w:tbl>
      <w:tblPr>
        <w:tblStyle w:val="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646"/>
        <w:gridCol w:w="1359"/>
        <w:gridCol w:w="143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blHeader/>
          <w:jc w:val="center"/>
        </w:trPr>
        <w:tc>
          <w:tcPr>
            <w:tcW w:w="4150" w:type="dxa"/>
            <w:gridSpan w:val="2"/>
            <w:vAlign w:val="center"/>
          </w:tcPr>
          <w:p>
            <w:pPr>
              <w:pStyle w:val="7"/>
              <w:spacing w:line="240" w:lineRule="auto"/>
              <w:rPr>
                <w:rFonts w:ascii="Times New Roman" w:eastAsia="仿宋"/>
                <w:b/>
              </w:rPr>
            </w:pPr>
            <w:r>
              <w:rPr>
                <w:rFonts w:ascii="Times New Roman" w:eastAsia="仿宋"/>
                <w:b/>
              </w:rPr>
              <w:t>主要调控指标</w:t>
            </w:r>
          </w:p>
        </w:tc>
        <w:tc>
          <w:tcPr>
            <w:tcW w:w="1359" w:type="dxa"/>
            <w:vAlign w:val="center"/>
          </w:tcPr>
          <w:p>
            <w:pPr>
              <w:pStyle w:val="7"/>
              <w:spacing w:line="240" w:lineRule="auto"/>
              <w:rPr>
                <w:rFonts w:ascii="Times New Roman" w:eastAsia="仿宋"/>
                <w:b/>
              </w:rPr>
            </w:pPr>
            <w:r>
              <w:rPr>
                <w:rFonts w:ascii="Times New Roman" w:eastAsia="仿宋"/>
                <w:b/>
              </w:rPr>
              <w:t>落实前</w:t>
            </w:r>
          </w:p>
        </w:tc>
        <w:tc>
          <w:tcPr>
            <w:tcW w:w="1430" w:type="dxa"/>
            <w:vAlign w:val="center"/>
          </w:tcPr>
          <w:p>
            <w:pPr>
              <w:pStyle w:val="7"/>
              <w:spacing w:line="240" w:lineRule="auto"/>
              <w:rPr>
                <w:rFonts w:ascii="Times New Roman" w:eastAsia="仿宋"/>
                <w:b/>
              </w:rPr>
            </w:pPr>
            <w:r>
              <w:rPr>
                <w:rFonts w:ascii="Times New Roman" w:eastAsia="仿宋"/>
                <w:b/>
              </w:rPr>
              <w:t>落实后</w:t>
            </w:r>
          </w:p>
        </w:tc>
        <w:tc>
          <w:tcPr>
            <w:tcW w:w="1357" w:type="dxa"/>
            <w:vAlign w:val="center"/>
          </w:tcPr>
          <w:p>
            <w:pPr>
              <w:pStyle w:val="7"/>
              <w:spacing w:line="240" w:lineRule="auto"/>
              <w:rPr>
                <w:rFonts w:ascii="Times New Roman" w:eastAsia="仿宋"/>
                <w:b/>
              </w:rPr>
            </w:pPr>
            <w:r>
              <w:rPr>
                <w:rFonts w:ascii="Times New Roman" w:eastAsia="仿宋"/>
                <w:b/>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restart"/>
            <w:vAlign w:val="center"/>
          </w:tcPr>
          <w:p>
            <w:pPr>
              <w:pStyle w:val="9"/>
              <w:jc w:val="center"/>
              <w:rPr>
                <w:rFonts w:eastAsia="仿宋"/>
              </w:rPr>
            </w:pPr>
            <w:r>
              <w:rPr>
                <w:rFonts w:hint="eastAsia" w:eastAsia="仿宋"/>
              </w:rPr>
              <w:t>大岗镇</w:t>
            </w:r>
          </w:p>
          <w:p>
            <w:pPr>
              <w:pStyle w:val="9"/>
              <w:jc w:val="center"/>
              <w:rPr>
                <w:rFonts w:eastAsia="仿宋"/>
              </w:rPr>
            </w:pPr>
            <w:r>
              <w:rPr>
                <w:rFonts w:eastAsia="仿宋"/>
              </w:rPr>
              <w:t>总量指标</w:t>
            </w:r>
          </w:p>
        </w:tc>
        <w:tc>
          <w:tcPr>
            <w:tcW w:w="2646" w:type="dxa"/>
            <w:vAlign w:val="center"/>
          </w:tcPr>
          <w:p>
            <w:pPr>
              <w:pStyle w:val="9"/>
              <w:jc w:val="center"/>
              <w:rPr>
                <w:rFonts w:eastAsia="仿宋"/>
              </w:rPr>
            </w:pPr>
            <w:r>
              <w:rPr>
                <w:rFonts w:eastAsia="仿宋"/>
              </w:rPr>
              <w:t>耕地保有量</w:t>
            </w:r>
          </w:p>
        </w:tc>
        <w:tc>
          <w:tcPr>
            <w:tcW w:w="1359" w:type="dxa"/>
            <w:vAlign w:val="center"/>
          </w:tcPr>
          <w:p>
            <w:pPr>
              <w:widowControl/>
              <w:jc w:val="center"/>
              <w:rPr>
                <w:rFonts w:ascii="Times New Roman" w:eastAsia="仿宋" w:cs="Times New Roman"/>
                <w:color w:val="000000"/>
                <w:sz w:val="21"/>
                <w:szCs w:val="21"/>
              </w:rPr>
            </w:pPr>
            <w:r>
              <w:rPr>
                <w:rFonts w:ascii="Times New Roman" w:eastAsia="仿宋" w:cs="Times New Roman"/>
                <w:color w:val="000000"/>
                <w:sz w:val="21"/>
                <w:szCs w:val="21"/>
              </w:rPr>
              <w:t>2759</w:t>
            </w:r>
          </w:p>
        </w:tc>
        <w:tc>
          <w:tcPr>
            <w:tcW w:w="1430" w:type="dxa"/>
            <w:vAlign w:val="center"/>
          </w:tcPr>
          <w:p>
            <w:pPr>
              <w:widowControl/>
              <w:jc w:val="center"/>
              <w:rPr>
                <w:rFonts w:ascii="Times New Roman" w:eastAsia="仿宋" w:cs="Times New Roman"/>
                <w:color w:val="000000"/>
                <w:sz w:val="21"/>
                <w:szCs w:val="21"/>
              </w:rPr>
            </w:pPr>
            <w:r>
              <w:rPr>
                <w:rFonts w:ascii="Times New Roman" w:eastAsia="仿宋" w:cs="Times New Roman"/>
                <w:color w:val="000000"/>
                <w:sz w:val="21"/>
                <w:szCs w:val="21"/>
              </w:rPr>
              <w:t>2759</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基本农田保护面积</w:t>
            </w:r>
          </w:p>
        </w:tc>
        <w:tc>
          <w:tcPr>
            <w:tcW w:w="1359" w:type="dxa"/>
            <w:vAlign w:val="center"/>
          </w:tcPr>
          <w:p>
            <w:pPr>
              <w:jc w:val="center"/>
              <w:rPr>
                <w:rFonts w:ascii="Times New Roman" w:eastAsia="仿宋" w:cs="Times New Roman"/>
                <w:color w:val="000000"/>
                <w:sz w:val="21"/>
                <w:szCs w:val="21"/>
              </w:rPr>
            </w:pPr>
            <w:r>
              <w:rPr>
                <w:rFonts w:hint="eastAsia" w:ascii="Times New Roman" w:eastAsia="仿宋" w:cs="Times New Roman"/>
                <w:color w:val="000000"/>
                <w:sz w:val="21"/>
                <w:szCs w:val="21"/>
              </w:rPr>
              <w:t>2</w:t>
            </w:r>
            <w:r>
              <w:rPr>
                <w:rFonts w:ascii="Times New Roman" w:eastAsia="仿宋" w:cs="Times New Roman"/>
                <w:color w:val="000000"/>
                <w:sz w:val="21"/>
                <w:szCs w:val="21"/>
              </w:rPr>
              <w:t>278</w:t>
            </w:r>
          </w:p>
        </w:tc>
        <w:tc>
          <w:tcPr>
            <w:tcW w:w="1430" w:type="dxa"/>
            <w:vAlign w:val="center"/>
          </w:tcPr>
          <w:p>
            <w:pPr>
              <w:jc w:val="center"/>
              <w:rPr>
                <w:rFonts w:ascii="Times New Roman" w:eastAsia="仿宋" w:cs="Times New Roman"/>
                <w:color w:val="000000"/>
                <w:sz w:val="21"/>
                <w:szCs w:val="21"/>
              </w:rPr>
            </w:pPr>
            <w:r>
              <w:rPr>
                <w:rFonts w:hint="eastAsia" w:ascii="Times New Roman" w:eastAsia="仿宋" w:cs="Times New Roman"/>
                <w:color w:val="000000"/>
                <w:sz w:val="21"/>
                <w:szCs w:val="21"/>
              </w:rPr>
              <w:t>2</w:t>
            </w:r>
            <w:r>
              <w:rPr>
                <w:rFonts w:ascii="Times New Roman" w:eastAsia="仿宋" w:cs="Times New Roman"/>
                <w:color w:val="000000"/>
                <w:sz w:val="21"/>
                <w:szCs w:val="21"/>
              </w:rPr>
              <w:t>278</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建设用地总规模</w:t>
            </w:r>
          </w:p>
        </w:tc>
        <w:tc>
          <w:tcPr>
            <w:tcW w:w="1359" w:type="dxa"/>
          </w:tcPr>
          <w:p>
            <w:pPr>
              <w:widowControl/>
              <w:autoSpaceDE/>
              <w:autoSpaceDN/>
              <w:adjustRightInd/>
              <w:jc w:val="center"/>
              <w:rPr>
                <w:rFonts w:ascii="Times New Roman" w:eastAsia="仿宋" w:cs="Times New Roman"/>
                <w:color w:val="000000"/>
                <w:sz w:val="21"/>
                <w:szCs w:val="21"/>
              </w:rPr>
            </w:pPr>
            <w:r>
              <w:rPr>
                <w:rFonts w:hint="eastAsia" w:ascii="Times New Roman" w:eastAsia="仿宋" w:cs="Times New Roman"/>
                <w:color w:val="000000"/>
                <w:sz w:val="21"/>
                <w:szCs w:val="21"/>
              </w:rPr>
              <w:t>2902</w:t>
            </w:r>
          </w:p>
        </w:tc>
        <w:tc>
          <w:tcPr>
            <w:tcW w:w="1430" w:type="dxa"/>
          </w:tcPr>
          <w:p>
            <w:pPr>
              <w:widowControl/>
              <w:autoSpaceDE/>
              <w:autoSpaceDN/>
              <w:adjustRightInd/>
              <w:jc w:val="center"/>
              <w:rPr>
                <w:rFonts w:ascii="Times New Roman" w:eastAsia="仿宋" w:cs="Times New Roman"/>
                <w:color w:val="000000"/>
                <w:sz w:val="21"/>
                <w:szCs w:val="21"/>
              </w:rPr>
            </w:pPr>
            <w:r>
              <w:rPr>
                <w:rFonts w:hint="eastAsia" w:ascii="Times New Roman" w:eastAsia="仿宋" w:cs="Times New Roman"/>
                <w:color w:val="000000"/>
                <w:sz w:val="21"/>
                <w:szCs w:val="21"/>
              </w:rPr>
              <w:t>2902</w:t>
            </w:r>
          </w:p>
        </w:tc>
        <w:tc>
          <w:tcPr>
            <w:tcW w:w="1357" w:type="dxa"/>
            <w:vAlign w:val="center"/>
          </w:tcPr>
          <w:p>
            <w:pPr>
              <w:jc w:val="center"/>
              <w:rPr>
                <w:rFonts w:ascii="Times New Roman" w:eastAsia="仿宋" w:cs="Times New Roman"/>
                <w:sz w:val="21"/>
                <w:szCs w:val="21"/>
              </w:rPr>
            </w:pPr>
            <w:r>
              <w:rPr>
                <w:rFonts w:asci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城乡建设用地规模</w:t>
            </w:r>
          </w:p>
        </w:tc>
        <w:tc>
          <w:tcPr>
            <w:tcW w:w="1359"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24</w:t>
            </w:r>
            <w:r>
              <w:rPr>
                <w:rFonts w:hint="eastAsia" w:ascii="Times New Roman" w:eastAsia="仿宋" w:cs="Times New Roman"/>
                <w:color w:val="000000"/>
                <w:sz w:val="21"/>
                <w:szCs w:val="21"/>
              </w:rPr>
              <w:t>39</w:t>
            </w:r>
          </w:p>
        </w:tc>
        <w:tc>
          <w:tcPr>
            <w:tcW w:w="1430"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24</w:t>
            </w:r>
            <w:r>
              <w:rPr>
                <w:rFonts w:hint="eastAsia" w:ascii="Times New Roman" w:eastAsia="仿宋" w:cs="Times New Roman"/>
                <w:color w:val="000000"/>
                <w:sz w:val="21"/>
                <w:szCs w:val="21"/>
              </w:rPr>
              <w:t>40</w:t>
            </w:r>
          </w:p>
        </w:tc>
        <w:tc>
          <w:tcPr>
            <w:tcW w:w="1357" w:type="dxa"/>
            <w:vAlign w:val="center"/>
          </w:tcPr>
          <w:p>
            <w:pPr>
              <w:jc w:val="center"/>
              <w:rPr>
                <w:sz w:val="21"/>
                <w:szCs w:val="21"/>
              </w:rPr>
            </w:pPr>
            <w:r>
              <w:rPr>
                <w:rFonts w:ascii="Times New Roman" w:cs="Times New Roman"/>
                <w:sz w:val="21"/>
                <w:szCs w:val="21"/>
              </w:rPr>
              <w:t>+</w:t>
            </w:r>
            <w:r>
              <w:rPr>
                <w:rFonts w:hint="eastAsia" w:asci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04" w:type="dxa"/>
            <w:vMerge w:val="continue"/>
            <w:vAlign w:val="center"/>
          </w:tcPr>
          <w:p>
            <w:pPr>
              <w:pStyle w:val="9"/>
              <w:jc w:val="center"/>
              <w:rPr>
                <w:rFonts w:eastAsia="仿宋"/>
              </w:rPr>
            </w:pPr>
          </w:p>
        </w:tc>
        <w:tc>
          <w:tcPr>
            <w:tcW w:w="2646" w:type="dxa"/>
            <w:vAlign w:val="center"/>
          </w:tcPr>
          <w:p>
            <w:pPr>
              <w:pStyle w:val="9"/>
              <w:jc w:val="center"/>
              <w:rPr>
                <w:rFonts w:eastAsia="仿宋"/>
              </w:rPr>
            </w:pPr>
            <w:r>
              <w:rPr>
                <w:rFonts w:eastAsia="仿宋"/>
              </w:rPr>
              <w:t>城镇工矿用地规模</w:t>
            </w:r>
          </w:p>
        </w:tc>
        <w:tc>
          <w:tcPr>
            <w:tcW w:w="1359"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1</w:t>
            </w:r>
            <w:r>
              <w:rPr>
                <w:rFonts w:hint="eastAsia" w:ascii="Times New Roman" w:eastAsia="仿宋" w:cs="Times New Roman"/>
                <w:color w:val="000000"/>
                <w:sz w:val="21"/>
                <w:szCs w:val="21"/>
              </w:rPr>
              <w:t>797</w:t>
            </w:r>
          </w:p>
        </w:tc>
        <w:tc>
          <w:tcPr>
            <w:tcW w:w="1430" w:type="dxa"/>
          </w:tcPr>
          <w:p>
            <w:pPr>
              <w:widowControl/>
              <w:autoSpaceDE/>
              <w:autoSpaceDN/>
              <w:adjustRightInd/>
              <w:jc w:val="center"/>
              <w:rPr>
                <w:rFonts w:ascii="Times New Roman" w:eastAsia="仿宋" w:cs="Times New Roman"/>
                <w:color w:val="000000"/>
                <w:sz w:val="21"/>
                <w:szCs w:val="21"/>
              </w:rPr>
            </w:pPr>
            <w:r>
              <w:rPr>
                <w:rFonts w:ascii="Times New Roman" w:eastAsia="仿宋" w:cs="Times New Roman"/>
                <w:color w:val="000000"/>
                <w:sz w:val="21"/>
                <w:szCs w:val="21"/>
              </w:rPr>
              <w:t>1</w:t>
            </w:r>
            <w:r>
              <w:rPr>
                <w:rFonts w:hint="eastAsia" w:ascii="Times New Roman" w:eastAsia="仿宋" w:cs="Times New Roman"/>
                <w:color w:val="000000"/>
                <w:sz w:val="21"/>
                <w:szCs w:val="21"/>
              </w:rPr>
              <w:t>798</w:t>
            </w:r>
          </w:p>
        </w:tc>
        <w:tc>
          <w:tcPr>
            <w:tcW w:w="1357" w:type="dxa"/>
            <w:vAlign w:val="center"/>
          </w:tcPr>
          <w:p>
            <w:pPr>
              <w:jc w:val="center"/>
              <w:rPr>
                <w:sz w:val="21"/>
                <w:szCs w:val="21"/>
              </w:rPr>
            </w:pPr>
            <w:r>
              <w:rPr>
                <w:rFonts w:ascii="Times New Roman" w:cs="Times New Roman"/>
                <w:sz w:val="21"/>
                <w:szCs w:val="21"/>
              </w:rPr>
              <w:t>+</w:t>
            </w:r>
            <w:r>
              <w:rPr>
                <w:rFonts w:hint="eastAsia" w:ascii="Times New Roman" w:cs="Times New Roman"/>
                <w:sz w:val="21"/>
                <w:szCs w:val="21"/>
              </w:rPr>
              <w:t>1</w:t>
            </w:r>
          </w:p>
        </w:tc>
      </w:tr>
    </w:tbl>
    <w:p>
      <w:pPr>
        <w:pStyle w:val="8"/>
        <w:kinsoku w:val="0"/>
        <w:overflowPunct w:val="0"/>
        <w:ind w:firstLine="360" w:firstLineChars="200"/>
        <w:rPr>
          <w:del w:id="0" w:author="袁艺桐" w:date="2021-12-02T10:53:40Z"/>
          <w:rFonts w:ascii="Times New Roman" w:eastAsia="仿宋" w:cs="Times New Roman"/>
          <w:sz w:val="18"/>
          <w:szCs w:val="28"/>
        </w:rPr>
      </w:pPr>
      <w:r>
        <w:rPr>
          <w:rFonts w:hint="eastAsia" w:ascii="Times New Roman" w:eastAsia="仿宋" w:cs="Times New Roman"/>
          <w:sz w:val="18"/>
          <w:szCs w:val="18"/>
        </w:rPr>
        <w:t>注：</w:t>
      </w:r>
      <w:ins w:id="1" w:author="袁艺桐" w:date="2021-12-02T10:53:40Z">
        <w:r>
          <w:rPr>
            <w:rFonts w:hint="eastAsia" w:ascii="Times New Roman" w:eastAsia="仿宋" w:cs="Times New Roman"/>
            <w:sz w:val="18"/>
            <w:szCs w:val="28"/>
          </w:rPr>
          <w:t>调整前调控指标数据来源于调整完善规划数据库</w:t>
        </w:r>
      </w:ins>
      <w:del w:id="2" w:author="袁艺桐" w:date="2021-12-02T10:53:40Z">
        <w:r>
          <w:rPr>
            <w:rFonts w:hint="eastAsia" w:ascii="Times New Roman" w:eastAsia="仿宋" w:cs="Times New Roman"/>
            <w:sz w:val="18"/>
            <w:szCs w:val="28"/>
          </w:rPr>
          <w:delText>目前，大岗镇内已批复的跨省调剂规模落实方案有大岗先进制造业基地平高路和港口大道项目一项，共计2.1919公顷，无广州市已批使用预下达规模落实方案。按照整数保留原则，原大岗镇的建设用地规模、城乡建设用地规模和城镇工矿用地规模指标在调整完善数据库基础上增加2公顷。</w:delText>
        </w:r>
      </w:del>
    </w:p>
    <w:p>
      <w:pPr>
        <w:pStyle w:val="8"/>
        <w:kinsoku w:val="0"/>
        <w:overflowPunct w:val="0"/>
        <w:ind w:firstLine="360" w:firstLineChars="200"/>
        <w:rPr>
          <w:rFonts w:ascii="Times New Roman" w:eastAsia="仿宋" w:cs="Times New Roman"/>
          <w:sz w:val="20"/>
          <w:szCs w:val="20"/>
        </w:rPr>
      </w:pPr>
      <w:del w:id="3" w:author="袁艺桐" w:date="2021-12-02T10:53:40Z">
        <w:r>
          <w:rPr>
            <w:rFonts w:hint="eastAsia" w:ascii="Times New Roman" w:eastAsia="仿宋" w:cs="Times New Roman"/>
            <w:sz w:val="18"/>
            <w:szCs w:val="18"/>
          </w:rPr>
          <w:delText>本次落实预留规模使用的是区级预留规模0.6033公顷</w:delText>
        </w:r>
      </w:del>
      <w:del w:id="4" w:author="袁艺桐" w:date="2021-12-02T10:53:40Z">
        <w:r>
          <w:rPr>
            <w:rFonts w:hint="eastAsia" w:ascii="Times New Roman" w:eastAsia="仿宋" w:cs="Times New Roman"/>
            <w:sz w:val="18"/>
            <w:szCs w:val="28"/>
          </w:rPr>
          <w:delText>。按照整数保留原则，本次预留规模落实后，大岗镇的建设用地规模指标不变，城乡建设用地规模和城镇工矿用地规模指标在原调控指标的基础上增加1公顷</w:delText>
        </w:r>
      </w:del>
      <w:bookmarkStart w:id="1" w:name="_GoBack"/>
      <w:bookmarkEnd w:id="1"/>
      <w:r>
        <w:rPr>
          <w:rFonts w:hint="eastAsia" w:ascii="Times New Roman" w:eastAsia="仿宋" w:cs="Times New Roman"/>
          <w:sz w:val="18"/>
          <w:szCs w:val="28"/>
        </w:rPr>
        <w:t>。</w:t>
      </w:r>
    </w:p>
    <w:p/>
    <w:p>
      <w:pPr>
        <w:widowControl/>
        <w:autoSpaceDE/>
        <w:autoSpaceDN/>
        <w:adjustRightInd/>
        <w:sectPr>
          <w:pgSz w:w="11906" w:h="16838"/>
          <w:pgMar w:top="1440" w:right="1800" w:bottom="1440" w:left="1800" w:header="851" w:footer="992" w:gutter="0"/>
          <w:cols w:space="425" w:num="1"/>
          <w:docGrid w:type="lines" w:linePitch="312" w:charSpace="0"/>
        </w:sectPr>
      </w:pPr>
    </w:p>
    <w:p>
      <w:pPr>
        <w:rPr>
          <w:rFonts w:ascii="黑体" w:hAnsi="黑体" w:eastAsia="黑体"/>
          <w:sz w:val="28"/>
        </w:rPr>
      </w:pPr>
      <w:r>
        <w:rPr>
          <w:rFonts w:hint="eastAsia" w:ascii="黑体" w:hAnsi="黑体" w:eastAsia="黑体"/>
          <w:sz w:val="28"/>
        </w:rPr>
        <w:t>附件2：</w:t>
      </w:r>
    </w:p>
    <w:p>
      <w:pPr>
        <w:jc w:val="center"/>
        <w:rPr>
          <w:rFonts w:ascii="黑体" w:hAnsi="黑体" w:eastAsia="黑体"/>
          <w:sz w:val="28"/>
        </w:rPr>
      </w:pPr>
      <w:r>
        <w:rPr>
          <w:rFonts w:ascii="黑体" w:hAnsi="黑体" w:eastAsia="黑体"/>
          <w:sz w:val="28"/>
        </w:rPr>
        <w:drawing>
          <wp:inline distT="0" distB="0" distL="0" distR="0">
            <wp:extent cx="5562600" cy="78625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8148" cy="7871039"/>
                    </a:xfrm>
                    <a:prstGeom prst="rect">
                      <a:avLst/>
                    </a:prstGeom>
                  </pic:spPr>
                </pic:pic>
              </a:graphicData>
            </a:graphic>
          </wp:inline>
        </w:drawing>
      </w:r>
    </w:p>
    <w:p>
      <w:pPr>
        <w:rPr>
          <w:rFonts w:ascii="黑体" w:hAnsi="黑体" w:eastAsia="黑体"/>
          <w:sz w:val="28"/>
        </w:rPr>
      </w:pPr>
      <w:r>
        <w:br w:type="page"/>
      </w:r>
      <w:r>
        <w:rPr>
          <w:rFonts w:hint="eastAsia" w:ascii="黑体" w:hAnsi="黑体" w:eastAsia="黑体"/>
          <w:sz w:val="28"/>
        </w:rPr>
        <w:t>附件3：</w:t>
      </w:r>
    </w:p>
    <w:p>
      <w:pPr>
        <w:jc w:val="center"/>
      </w:pPr>
      <w:r>
        <w:rPr>
          <w:rFonts w:ascii="黑体" w:hAnsi="黑体" w:eastAsia="黑体"/>
          <w:sz w:val="28"/>
        </w:rPr>
        <w:drawing>
          <wp:inline distT="0" distB="0" distL="0" distR="0">
            <wp:extent cx="5567680" cy="7870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8148" cy="7870816"/>
                    </a:xfrm>
                    <a:prstGeom prst="rect">
                      <a:avLst/>
                    </a:prstGeom>
                  </pic:spPr>
                </pic:pic>
              </a:graphicData>
            </a:graphic>
          </wp:inline>
        </w:drawing>
      </w:r>
    </w:p>
    <w:sectPr>
      <w:pgSz w:w="11906" w:h="16838"/>
      <w:pgMar w:top="1797" w:right="1440" w:bottom="1797" w:left="144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袁艺桐">
    <w15:presenceInfo w15:providerId="None" w15:userId="袁艺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dit="trackedChanges" w:enforcement="1"/>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24"/>
    <w:rsid w:val="005D3963"/>
    <w:rsid w:val="005F38C6"/>
    <w:rsid w:val="006414A9"/>
    <w:rsid w:val="00652719"/>
    <w:rsid w:val="00727A24"/>
    <w:rsid w:val="007B3AC8"/>
    <w:rsid w:val="008D34A8"/>
    <w:rsid w:val="009D4727"/>
    <w:rsid w:val="00A20C67"/>
    <w:rsid w:val="00A64B02"/>
    <w:rsid w:val="1DDC4F71"/>
    <w:rsid w:val="6B2C6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仿宋_GB2312" w:hAnsi="Times New Roman" w:eastAsia="仿宋_GB2312" w:cs="仿宋_GB2312"/>
      <w:kern w:val="0"/>
      <w:sz w:val="24"/>
      <w:szCs w:val="24"/>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1"/>
    <w:unhideWhenUsed/>
    <w:uiPriority w:val="99"/>
    <w:pPr>
      <w:tabs>
        <w:tab w:val="center" w:pos="4153"/>
        <w:tab w:val="right" w:pos="8306"/>
      </w:tabs>
      <w:snapToGrid w:val="0"/>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运用表格 Char Char"/>
    <w:link w:val="7"/>
    <w:qFormat/>
    <w:uiPriority w:val="0"/>
    <w:rPr>
      <w:rFonts w:ascii="仿宋_GB2312" w:eastAsia="仿宋_GB2312"/>
      <w:bCs/>
      <w:szCs w:val="21"/>
    </w:rPr>
  </w:style>
  <w:style w:type="paragraph" w:customStyle="1" w:styleId="7">
    <w:name w:val="运用表格"/>
    <w:basedOn w:val="1"/>
    <w:next w:val="1"/>
    <w:link w:val="6"/>
    <w:qFormat/>
    <w:uiPriority w:val="0"/>
    <w:pPr>
      <w:autoSpaceDE/>
      <w:autoSpaceDN/>
      <w:snapToGrid w:val="0"/>
      <w:spacing w:line="300" w:lineRule="exact"/>
      <w:jc w:val="center"/>
      <w:textAlignment w:val="center"/>
    </w:pPr>
    <w:rPr>
      <w:rFonts w:hAnsiTheme="minorHAnsi" w:cstheme="minorBidi"/>
      <w:bCs/>
      <w:kern w:val="2"/>
      <w:sz w:val="21"/>
      <w:szCs w:val="21"/>
    </w:rPr>
  </w:style>
  <w:style w:type="paragraph" w:customStyle="1" w:styleId="8">
    <w:name w:val="Table Paragraph"/>
    <w:basedOn w:val="1"/>
    <w:qFormat/>
    <w:uiPriority w:val="1"/>
  </w:style>
  <w:style w:type="paragraph" w:customStyle="1" w:styleId="9">
    <w:name w:val="p0"/>
    <w:basedOn w:val="1"/>
    <w:qFormat/>
    <w:uiPriority w:val="0"/>
    <w:pPr>
      <w:widowControl/>
      <w:autoSpaceDE/>
      <w:autoSpaceDN/>
      <w:adjustRightInd/>
      <w:jc w:val="both"/>
    </w:pPr>
    <w:rPr>
      <w:rFonts w:ascii="Times New Roman" w:eastAsia="宋体" w:cs="Times New Roman"/>
      <w:sz w:val="21"/>
      <w:szCs w:val="21"/>
    </w:rPr>
  </w:style>
  <w:style w:type="character" w:customStyle="1" w:styleId="10">
    <w:name w:val="页眉 字符"/>
    <w:basedOn w:val="4"/>
    <w:link w:val="3"/>
    <w:uiPriority w:val="99"/>
    <w:rPr>
      <w:rFonts w:ascii="仿宋_GB2312" w:hAnsi="Times New Roman" w:eastAsia="仿宋_GB2312" w:cs="仿宋_GB2312"/>
      <w:kern w:val="0"/>
      <w:sz w:val="18"/>
      <w:szCs w:val="18"/>
    </w:rPr>
  </w:style>
  <w:style w:type="character" w:customStyle="1" w:styleId="11">
    <w:name w:val="页脚 字符"/>
    <w:basedOn w:val="4"/>
    <w:link w:val="2"/>
    <w:qFormat/>
    <w:uiPriority w:val="99"/>
    <w:rPr>
      <w:rFonts w:ascii="仿宋_GB2312" w:hAnsi="Times New Roman" w:eastAsia="仿宋_GB2312" w:cs="仿宋_GB2312"/>
      <w:kern w:val="0"/>
      <w:sz w:val="18"/>
      <w:szCs w:val="18"/>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61</Words>
  <Characters>352</Characters>
  <Lines>2</Lines>
  <Paragraphs>1</Paragraphs>
  <TotalTime>0</TotalTime>
  <ScaleCrop>false</ScaleCrop>
  <LinksUpToDate>false</LinksUpToDate>
  <CharactersWithSpaces>412</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2021-11-02T03:10:00Z</dcterms:created>
  <dc:creator>Administrator</dc:creator>
  <cp:lastModifiedBy>袁艺桐</cp:lastModifiedBy>
  <dcterms:modified xsi:type="dcterms:W3CDTF">2021-12-02T02:53:41Z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