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ascii="华文中宋" w:hAnsi="华文中宋" w:eastAsia="华文中宋"/>
          <w:b/>
          <w:color w:val="auto"/>
          <w:sz w:val="72"/>
        </w:rPr>
      </w:pPr>
      <w:r>
        <w:rPr>
          <w:rFonts w:ascii="黑体" w:eastAsia="黑体"/>
          <w:color w:val="auto"/>
          <w:sz w:val="24"/>
        </w:rPr>
        <w:drawing>
          <wp:anchor distT="0" distB="0" distL="114300" distR="114300" simplePos="0" relativeHeight="251659264" behindDoc="0" locked="0" layoutInCell="1" allowOverlap="1">
            <wp:simplePos x="0" y="0"/>
            <wp:positionH relativeFrom="column">
              <wp:align>left</wp:align>
            </wp:positionH>
            <wp:positionV relativeFrom="paragraph">
              <wp:posOffset>81280</wp:posOffset>
            </wp:positionV>
            <wp:extent cx="2289810" cy="1186180"/>
            <wp:effectExtent l="19050" t="0" r="0" b="0"/>
            <wp:wrapSquare wrapText="right"/>
            <wp:docPr id="1" name="图片 1" descr="15288957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28895719(1)"/>
                    <pic:cNvPicPr>
                      <a:picLocks noChangeAspect="1" noChangeArrowheads="1"/>
                    </pic:cNvPicPr>
                  </pic:nvPicPr>
                  <pic:blipFill>
                    <a:blip r:embed="rId13" cstate="print"/>
                    <a:srcRect/>
                    <a:stretch>
                      <a:fillRect/>
                    </a:stretch>
                  </pic:blipFill>
                  <pic:spPr>
                    <a:xfrm>
                      <a:off x="0" y="0"/>
                      <a:ext cx="2291715" cy="1189990"/>
                    </a:xfrm>
                    <a:prstGeom prst="rect">
                      <a:avLst/>
                    </a:prstGeom>
                    <a:noFill/>
                    <a:ln w="9525">
                      <a:noFill/>
                      <a:miter lim="800000"/>
                      <a:headEnd/>
                      <a:tailEnd/>
                    </a:ln>
                  </pic:spPr>
                </pic:pic>
              </a:graphicData>
            </a:graphic>
          </wp:anchor>
        </w:drawing>
      </w:r>
    </w:p>
    <w:p>
      <w:pPr>
        <w:spacing w:line="480" w:lineRule="auto"/>
        <w:rPr>
          <w:rFonts w:ascii="华文中宋" w:hAnsi="华文中宋" w:eastAsia="华文中宋"/>
          <w:b/>
          <w:color w:val="auto"/>
          <w:sz w:val="72"/>
        </w:rPr>
      </w:pPr>
    </w:p>
    <w:p>
      <w:pPr>
        <w:snapToGrid w:val="0"/>
        <w:spacing w:beforeLines="50"/>
        <w:jc w:val="center"/>
        <w:rPr>
          <w:rFonts w:ascii="黑体" w:hAnsi="华文中宋" w:eastAsia="黑体" w:cs="华文中宋"/>
          <w:b/>
          <w:bCs/>
          <w:color w:val="auto"/>
          <w:sz w:val="72"/>
          <w:szCs w:val="72"/>
        </w:rPr>
      </w:pPr>
    </w:p>
    <w:p>
      <w:pPr>
        <w:snapToGrid w:val="0"/>
        <w:spacing w:beforeLines="50"/>
        <w:jc w:val="center"/>
        <w:rPr>
          <w:rFonts w:ascii="黑体" w:hAnsi="华文中宋" w:eastAsia="黑体" w:cs="华文中宋"/>
          <w:b/>
          <w:bCs/>
          <w:color w:val="auto"/>
          <w:sz w:val="72"/>
          <w:szCs w:val="72"/>
        </w:rPr>
      </w:pPr>
      <w:r>
        <w:rPr>
          <w:rFonts w:hint="eastAsia" w:ascii="黑体" w:hAnsi="华文中宋" w:eastAsia="黑体" w:cs="华文中宋"/>
          <w:b/>
          <w:bCs/>
          <w:color w:val="auto"/>
          <w:sz w:val="72"/>
          <w:szCs w:val="72"/>
        </w:rPr>
        <w:t>服务采购</w:t>
      </w:r>
    </w:p>
    <w:p>
      <w:pPr>
        <w:snapToGrid w:val="0"/>
        <w:spacing w:beforeLines="50"/>
        <w:jc w:val="center"/>
        <w:rPr>
          <w:rFonts w:ascii="仿宋_GB2312" w:eastAsia="仿宋_GB2312"/>
          <w:b/>
          <w:bCs/>
          <w:color w:val="auto"/>
          <w:sz w:val="72"/>
          <w:szCs w:val="72"/>
        </w:rPr>
      </w:pPr>
      <w:r>
        <w:rPr>
          <w:rFonts w:hint="eastAsia" w:ascii="黑体" w:hAnsi="华文中宋" w:eastAsia="黑体" w:cs="华文中宋"/>
          <w:b/>
          <w:bCs/>
          <w:color w:val="auto"/>
          <w:sz w:val="72"/>
          <w:szCs w:val="72"/>
        </w:rPr>
        <w:t>公开招标文件</w:t>
      </w: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pStyle w:val="18"/>
        <w:adjustRightInd w:val="0"/>
        <w:snapToGrid w:val="0"/>
        <w:spacing w:after="0" w:line="360" w:lineRule="auto"/>
        <w:rPr>
          <w:rFonts w:ascii="仿宋_GB2312" w:eastAsia="仿宋_GB2312"/>
          <w:b/>
          <w:color w:val="auto"/>
          <w:sz w:val="32"/>
        </w:rPr>
      </w:pPr>
      <w:r>
        <w:rPr>
          <w:rFonts w:hint="eastAsia" w:ascii="仿宋_GB2312" w:eastAsia="仿宋_GB2312"/>
          <w:b/>
          <w:color w:val="auto"/>
          <w:sz w:val="32"/>
        </w:rPr>
        <w:t>项目编号：GZGX21GZ00QY-45</w:t>
      </w:r>
    </w:p>
    <w:p>
      <w:pPr>
        <w:pStyle w:val="18"/>
        <w:adjustRightInd w:val="0"/>
        <w:snapToGrid w:val="0"/>
        <w:spacing w:after="0" w:line="360" w:lineRule="auto"/>
        <w:ind w:left="1606" w:hanging="1600" w:hangingChars="500"/>
        <w:rPr>
          <w:rFonts w:ascii="仿宋_GB2312" w:eastAsia="仿宋_GB2312"/>
          <w:b/>
          <w:color w:val="auto"/>
          <w:sz w:val="32"/>
        </w:rPr>
      </w:pPr>
      <w:r>
        <w:rPr>
          <w:rFonts w:hint="eastAsia" w:ascii="仿宋_GB2312" w:eastAsia="仿宋_GB2312"/>
          <w:b/>
          <w:color w:val="auto"/>
          <w:sz w:val="32"/>
        </w:rPr>
        <w:t>项目名称：珠江街2021年粤港深度合作区（启动区）临时排水设施日常运行管养项目</w:t>
      </w:r>
    </w:p>
    <w:p>
      <w:pPr>
        <w:pStyle w:val="18"/>
        <w:spacing w:line="360" w:lineRule="auto"/>
        <w:rPr>
          <w:rFonts w:ascii="仿宋_GB2312" w:eastAsia="仿宋_GB2312"/>
          <w:b/>
          <w:color w:val="auto"/>
          <w:sz w:val="32"/>
        </w:rPr>
      </w:pPr>
    </w:p>
    <w:p>
      <w:pPr>
        <w:spacing w:line="360" w:lineRule="auto"/>
        <w:rPr>
          <w:rFonts w:eastAsia="华文中宋"/>
          <w:color w:val="auto"/>
          <w:sz w:val="30"/>
        </w:rPr>
      </w:pPr>
    </w:p>
    <w:p>
      <w:pPr>
        <w:spacing w:line="360" w:lineRule="auto"/>
        <w:rPr>
          <w:rFonts w:eastAsia="华文中宋"/>
          <w:color w:val="auto"/>
          <w:sz w:val="30"/>
        </w:rPr>
      </w:pPr>
    </w:p>
    <w:p>
      <w:pPr>
        <w:spacing w:line="360" w:lineRule="auto"/>
        <w:rPr>
          <w:rFonts w:eastAsia="华文中宋"/>
          <w:color w:val="auto"/>
          <w:sz w:val="30"/>
        </w:rPr>
      </w:pPr>
    </w:p>
    <w:p>
      <w:pPr>
        <w:snapToGrid w:val="0"/>
        <w:spacing w:line="360" w:lineRule="auto"/>
        <w:jc w:val="center"/>
        <w:rPr>
          <w:rFonts w:ascii="黑体" w:hAnsi="华文中宋" w:eastAsia="黑体" w:cs="华文中宋"/>
          <w:color w:val="auto"/>
          <w:sz w:val="30"/>
          <w:szCs w:val="30"/>
        </w:rPr>
      </w:pPr>
      <w:r>
        <w:rPr>
          <w:rFonts w:hint="eastAsia" w:ascii="黑体" w:hAnsi="华文中宋" w:eastAsia="黑体" w:cs="华文中宋"/>
          <w:color w:val="auto"/>
          <w:sz w:val="30"/>
          <w:szCs w:val="30"/>
        </w:rPr>
        <w:t>广州市南沙区人民政府珠江街道办事处</w:t>
      </w:r>
    </w:p>
    <w:p>
      <w:pPr>
        <w:snapToGrid w:val="0"/>
        <w:spacing w:line="360" w:lineRule="auto"/>
        <w:jc w:val="center"/>
        <w:rPr>
          <w:rFonts w:ascii="黑体" w:hAnsi="华文中宋" w:eastAsia="黑体" w:cs="华文中宋"/>
          <w:color w:val="auto"/>
          <w:sz w:val="30"/>
          <w:szCs w:val="30"/>
        </w:rPr>
      </w:pPr>
      <w:r>
        <w:rPr>
          <w:rFonts w:hint="eastAsia" w:ascii="黑体" w:hAnsi="华文中宋" w:eastAsia="黑体" w:cs="华文中宋"/>
          <w:color w:val="auto"/>
          <w:sz w:val="30"/>
          <w:szCs w:val="30"/>
        </w:rPr>
        <w:t>广东公信招标有限公司</w:t>
      </w:r>
    </w:p>
    <w:p>
      <w:pPr>
        <w:snapToGrid w:val="0"/>
        <w:spacing w:line="360" w:lineRule="auto"/>
        <w:jc w:val="center"/>
        <w:rPr>
          <w:rFonts w:ascii="黑体" w:hAnsi="华文中宋" w:eastAsia="黑体" w:cs="华文中宋"/>
          <w:color w:val="auto"/>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440" w:right="1466" w:bottom="1440" w:left="1800" w:header="567" w:footer="992" w:gutter="0"/>
          <w:cols w:space="720" w:num="1"/>
          <w:titlePg/>
          <w:docGrid w:type="linesAndChars" w:linePitch="312" w:charSpace="0"/>
        </w:sectPr>
      </w:pPr>
      <w:r>
        <w:rPr>
          <w:rFonts w:hint="eastAsia" w:ascii="黑体" w:hAnsi="华文中宋" w:eastAsia="黑体" w:cs="华文中宋"/>
          <w:color w:val="auto"/>
          <w:sz w:val="30"/>
          <w:szCs w:val="30"/>
        </w:rPr>
        <w:t>2021年</w:t>
      </w:r>
    </w:p>
    <w:p>
      <w:pPr>
        <w:autoSpaceDE w:val="0"/>
        <w:autoSpaceDN w:val="0"/>
        <w:adjustRightInd w:val="0"/>
        <w:snapToGrid w:val="0"/>
        <w:spacing w:beforeLines="50" w:afterLines="50"/>
        <w:jc w:val="center"/>
        <w:rPr>
          <w:rFonts w:ascii="宋体" w:hAnsi="宋体"/>
          <w:b/>
          <w:color w:val="auto"/>
          <w:sz w:val="44"/>
          <w:szCs w:val="44"/>
        </w:rPr>
      </w:pPr>
      <w:r>
        <w:rPr>
          <w:rFonts w:hint="eastAsia" w:ascii="宋体" w:hAnsi="宋体"/>
          <w:b/>
          <w:color w:val="auto"/>
          <w:sz w:val="44"/>
          <w:szCs w:val="44"/>
        </w:rPr>
        <w:t>温馨提示！！！</w:t>
      </w:r>
    </w:p>
    <w:p>
      <w:pPr>
        <w:tabs>
          <w:tab w:val="left" w:pos="0"/>
        </w:tabs>
        <w:spacing w:beforeLines="50" w:afterLines="50"/>
        <w:jc w:val="center"/>
        <w:rPr>
          <w:rFonts w:ascii="宋体" w:hAnsi="宋体"/>
          <w:b/>
          <w:color w:val="auto"/>
          <w:szCs w:val="21"/>
        </w:rPr>
      </w:pPr>
      <w:r>
        <w:rPr>
          <w:rFonts w:hint="eastAsia" w:ascii="宋体" w:hAnsi="宋体"/>
          <w:b/>
          <w:color w:val="auto"/>
          <w:szCs w:val="21"/>
        </w:rPr>
        <w:t>（本提示内容非招标文件的组成部分，仅为善意提醒。如有不一致的地方，以招标文件为准）</w:t>
      </w:r>
    </w:p>
    <w:p>
      <w:pPr>
        <w:numPr>
          <w:ilvl w:val="0"/>
          <w:numId w:val="1"/>
        </w:numPr>
        <w:tabs>
          <w:tab w:val="left" w:pos="709"/>
        </w:tabs>
        <w:spacing w:line="360" w:lineRule="auto"/>
        <w:ind w:left="700" w:hanging="700"/>
        <w:rPr>
          <w:rFonts w:asciiTheme="majorEastAsia" w:hAnsiTheme="majorEastAsia" w:eastAsiaTheme="majorEastAsia"/>
          <w:color w:val="auto"/>
          <w:szCs w:val="21"/>
        </w:rPr>
      </w:pPr>
      <w:r>
        <w:rPr>
          <w:rFonts w:hint="eastAsia" w:asciiTheme="majorEastAsia" w:hAnsiTheme="majorEastAsia" w:eastAsiaTheme="majorEastAsia"/>
          <w:color w:val="auto"/>
          <w:szCs w:val="21"/>
        </w:rPr>
        <w:t>如无另行说明，投标文件递交时间为投标截止时间</w:t>
      </w:r>
      <w:r>
        <w:rPr>
          <w:rFonts w:hint="eastAsia" w:asciiTheme="majorEastAsia" w:hAnsiTheme="majorEastAsia" w:eastAsiaTheme="majorEastAsia"/>
          <w:b/>
          <w:color w:val="auto"/>
          <w:szCs w:val="21"/>
          <w:u w:val="single"/>
        </w:rPr>
        <w:t>前30分钟</w:t>
      </w:r>
      <w:r>
        <w:rPr>
          <w:rFonts w:hint="eastAsia" w:asciiTheme="majorEastAsia" w:hAnsiTheme="majorEastAsia" w:eastAsiaTheme="majorEastAsia"/>
          <w:color w:val="auto"/>
          <w:szCs w:val="21"/>
        </w:rPr>
        <w:t>内。</w:t>
      </w:r>
    </w:p>
    <w:p>
      <w:pPr>
        <w:numPr>
          <w:ilvl w:val="0"/>
          <w:numId w:val="1"/>
        </w:numPr>
        <w:tabs>
          <w:tab w:val="left" w:pos="709"/>
        </w:tabs>
        <w:spacing w:line="360" w:lineRule="auto"/>
        <w:ind w:left="700" w:hanging="700"/>
        <w:rPr>
          <w:rFonts w:asciiTheme="majorEastAsia" w:hAnsiTheme="majorEastAsia" w:eastAsiaTheme="majorEastAsia"/>
          <w:color w:val="auto"/>
          <w:szCs w:val="21"/>
        </w:rPr>
      </w:pPr>
      <w:r>
        <w:rPr>
          <w:rFonts w:hint="eastAsia" w:asciiTheme="majorEastAsia" w:hAnsiTheme="majorEastAsia" w:eastAsiaTheme="majorEastAsia"/>
          <w:color w:val="auto"/>
          <w:szCs w:val="21"/>
        </w:rPr>
        <w:t>本项目邀请投标人参加开标会议，请</w:t>
      </w:r>
      <w:r>
        <w:rPr>
          <w:rFonts w:hint="eastAsia" w:asciiTheme="majorEastAsia" w:hAnsiTheme="majorEastAsia" w:eastAsiaTheme="majorEastAsia"/>
          <w:b/>
          <w:color w:val="auto"/>
          <w:szCs w:val="21"/>
          <w:u w:val="single"/>
        </w:rPr>
        <w:t>适当提前到达</w:t>
      </w:r>
      <w:r>
        <w:rPr>
          <w:rFonts w:hint="eastAsia" w:asciiTheme="majorEastAsia" w:hAnsiTheme="majorEastAsia" w:eastAsiaTheme="majorEastAsia"/>
          <w:color w:val="auto"/>
          <w:szCs w:val="21"/>
        </w:rPr>
        <w:t>。</w:t>
      </w:r>
    </w:p>
    <w:p>
      <w:pPr>
        <w:numPr>
          <w:ilvl w:val="0"/>
          <w:numId w:val="1"/>
        </w:numPr>
        <w:tabs>
          <w:tab w:val="left" w:pos="709"/>
        </w:tabs>
        <w:spacing w:line="360" w:lineRule="auto"/>
        <w:ind w:left="700" w:hanging="700"/>
        <w:rPr>
          <w:rFonts w:asciiTheme="majorEastAsia" w:hAnsiTheme="majorEastAsia" w:eastAsiaTheme="majorEastAsia"/>
          <w:color w:val="auto"/>
          <w:szCs w:val="21"/>
        </w:rPr>
      </w:pPr>
      <w:r>
        <w:rPr>
          <w:rFonts w:hint="eastAsia" w:asciiTheme="majorEastAsia" w:hAnsiTheme="majorEastAsia" w:eastAsiaTheme="majorEastAsia"/>
          <w:color w:val="auto"/>
          <w:szCs w:val="21"/>
        </w:rPr>
        <w:t>投标文件应按顺序</w:t>
      </w:r>
      <w:r>
        <w:rPr>
          <w:rFonts w:hint="eastAsia" w:asciiTheme="majorEastAsia" w:hAnsiTheme="majorEastAsia" w:eastAsiaTheme="majorEastAsia"/>
          <w:b/>
          <w:color w:val="auto"/>
          <w:szCs w:val="21"/>
          <w:u w:val="single"/>
        </w:rPr>
        <w:t>编制页码</w:t>
      </w:r>
      <w:r>
        <w:rPr>
          <w:rFonts w:hint="eastAsia" w:asciiTheme="majorEastAsia" w:hAnsiTheme="majorEastAsia" w:eastAsiaTheme="majorEastAsia"/>
          <w:color w:val="auto"/>
          <w:szCs w:val="21"/>
        </w:rPr>
        <w:t>。</w:t>
      </w:r>
    </w:p>
    <w:p>
      <w:pPr>
        <w:numPr>
          <w:ilvl w:val="0"/>
          <w:numId w:val="1"/>
        </w:numPr>
        <w:tabs>
          <w:tab w:val="left" w:pos="709"/>
        </w:tabs>
        <w:spacing w:line="360" w:lineRule="auto"/>
        <w:ind w:left="700" w:hanging="700"/>
        <w:rPr>
          <w:rFonts w:asciiTheme="majorEastAsia" w:hAnsiTheme="majorEastAsia" w:eastAsiaTheme="majorEastAsia"/>
          <w:color w:val="auto"/>
          <w:szCs w:val="21"/>
        </w:rPr>
      </w:pPr>
      <w:r>
        <w:rPr>
          <w:rFonts w:hint="eastAsia" w:asciiTheme="majorEastAsia" w:hAnsiTheme="majorEastAsia" w:eastAsiaTheme="majorEastAsia"/>
          <w:color w:val="auto"/>
          <w:szCs w:val="21"/>
        </w:rPr>
        <w:t>请仔细检查投标文件是否已按招标文件要求</w:t>
      </w:r>
      <w:r>
        <w:rPr>
          <w:rFonts w:hint="eastAsia" w:asciiTheme="majorEastAsia" w:hAnsiTheme="majorEastAsia" w:eastAsiaTheme="majorEastAsia"/>
          <w:b/>
          <w:color w:val="auto"/>
          <w:szCs w:val="21"/>
          <w:u w:val="single"/>
        </w:rPr>
        <w:t>盖章、签名、签署日期</w:t>
      </w:r>
      <w:r>
        <w:rPr>
          <w:rFonts w:hint="eastAsia" w:asciiTheme="majorEastAsia" w:hAnsiTheme="majorEastAsia" w:eastAsiaTheme="majorEastAsia"/>
          <w:color w:val="auto"/>
          <w:szCs w:val="21"/>
        </w:rPr>
        <w:t>。</w:t>
      </w:r>
    </w:p>
    <w:p>
      <w:pPr>
        <w:numPr>
          <w:ilvl w:val="0"/>
          <w:numId w:val="1"/>
        </w:numPr>
        <w:tabs>
          <w:tab w:val="left" w:pos="709"/>
        </w:tabs>
        <w:spacing w:line="360" w:lineRule="auto"/>
        <w:ind w:left="700" w:hanging="700"/>
        <w:rPr>
          <w:rFonts w:asciiTheme="majorEastAsia" w:hAnsiTheme="majorEastAsia" w:eastAsiaTheme="majorEastAsia"/>
          <w:color w:val="auto"/>
          <w:szCs w:val="21"/>
        </w:rPr>
      </w:pPr>
      <w:r>
        <w:rPr>
          <w:rFonts w:hint="eastAsia" w:asciiTheme="majorEastAsia" w:hAnsiTheme="majorEastAsia" w:eastAsiaTheme="majorEastAsia"/>
          <w:color w:val="auto"/>
          <w:szCs w:val="21"/>
        </w:rPr>
        <w:t>请正确填写《开标一览表（报价表）》、《投标分项报价表》</w:t>
      </w:r>
      <w:r>
        <w:rPr>
          <w:rFonts w:hint="eastAsia" w:ascii="宋体" w:hAnsi="宋体"/>
          <w:color w:val="auto"/>
          <w:szCs w:val="21"/>
        </w:rPr>
        <w:t>(如有)</w:t>
      </w:r>
      <w:r>
        <w:rPr>
          <w:rFonts w:hint="eastAsia" w:asciiTheme="majorEastAsia" w:hAnsiTheme="majorEastAsia" w:eastAsiaTheme="majorEastAsia"/>
          <w:color w:val="auto"/>
          <w:szCs w:val="21"/>
        </w:rPr>
        <w:t>。</w:t>
      </w:r>
    </w:p>
    <w:p>
      <w:pPr>
        <w:numPr>
          <w:ilvl w:val="0"/>
          <w:numId w:val="1"/>
        </w:numPr>
        <w:tabs>
          <w:tab w:val="left" w:pos="709"/>
        </w:tabs>
        <w:spacing w:line="360" w:lineRule="auto"/>
        <w:ind w:left="700" w:hanging="700"/>
        <w:rPr>
          <w:rFonts w:asciiTheme="majorEastAsia" w:hAnsiTheme="majorEastAsia" w:eastAsiaTheme="majorEastAsia"/>
          <w:color w:val="auto"/>
          <w:szCs w:val="21"/>
        </w:rPr>
      </w:pPr>
      <w:r>
        <w:rPr>
          <w:rFonts w:hint="eastAsia" w:asciiTheme="majorEastAsia" w:hAnsiTheme="majorEastAsia" w:eastAsiaTheme="majorEastAsia"/>
          <w:color w:val="auto"/>
          <w:szCs w:val="21"/>
        </w:rPr>
        <w:t>如投标产品属于许可证管理范围内的，须提交相应的许可证复印件。</w:t>
      </w:r>
    </w:p>
    <w:p>
      <w:pPr>
        <w:numPr>
          <w:ilvl w:val="0"/>
          <w:numId w:val="1"/>
        </w:numPr>
        <w:tabs>
          <w:tab w:val="left" w:pos="709"/>
        </w:tabs>
        <w:spacing w:line="360" w:lineRule="auto"/>
        <w:ind w:left="700" w:hanging="700"/>
        <w:rPr>
          <w:rFonts w:asciiTheme="majorEastAsia" w:hAnsiTheme="majorEastAsia" w:eastAsiaTheme="majorEastAsia"/>
          <w:color w:val="auto"/>
          <w:szCs w:val="21"/>
        </w:rPr>
      </w:pPr>
      <w:r>
        <w:rPr>
          <w:rFonts w:hint="eastAsia" w:asciiTheme="minorEastAsia" w:hAnsiTheme="minorEastAsia" w:eastAsiaTheme="minorEastAsia"/>
          <w:color w:val="auto"/>
          <w:szCs w:val="21"/>
        </w:rPr>
        <w:t>投标人如需对项目提出询问或质疑，应按招标文件</w:t>
      </w:r>
      <w:r>
        <w:rPr>
          <w:rFonts w:hint="eastAsia" w:asciiTheme="majorEastAsia" w:hAnsiTheme="majorEastAsia" w:eastAsiaTheme="majorEastAsia"/>
          <w:color w:val="auto"/>
          <w:szCs w:val="21"/>
        </w:rPr>
        <w:t>附件中的询问函和质疑函的格式提交。</w:t>
      </w:r>
      <w:bookmarkStart w:id="0" w:name="_Toc292267790"/>
      <w:bookmarkStart w:id="1" w:name="_Toc435115363"/>
      <w:bookmarkStart w:id="2" w:name="_Toc435114676"/>
      <w:bookmarkStart w:id="3" w:name="_Toc435115051"/>
    </w:p>
    <w:p>
      <w:pPr>
        <w:spacing w:line="360" w:lineRule="auto"/>
        <w:jc w:val="center"/>
        <w:rPr>
          <w:rFonts w:ascii="宋体" w:hAnsi="宋体"/>
          <w:b/>
          <w:color w:val="auto"/>
          <w:sz w:val="44"/>
          <w:szCs w:val="44"/>
        </w:rPr>
        <w:sectPr>
          <w:footerReference r:id="rId11" w:type="first"/>
          <w:headerReference r:id="rId9" w:type="default"/>
          <w:footerReference r:id="rId10" w:type="default"/>
          <w:pgSz w:w="11906" w:h="16838"/>
          <w:pgMar w:top="1440" w:right="1286" w:bottom="1440" w:left="1440" w:header="851" w:footer="992" w:gutter="0"/>
          <w:cols w:space="720" w:num="1"/>
          <w:docGrid w:type="lines" w:linePitch="312" w:charSpace="0"/>
        </w:sectPr>
      </w:pPr>
    </w:p>
    <w:p>
      <w:pPr>
        <w:spacing w:line="360" w:lineRule="auto"/>
        <w:jc w:val="center"/>
        <w:rPr>
          <w:rFonts w:ascii="宋体" w:hAnsi="宋体"/>
          <w:b/>
          <w:color w:val="auto"/>
          <w:sz w:val="44"/>
          <w:szCs w:val="44"/>
        </w:rPr>
      </w:pPr>
      <w:r>
        <w:rPr>
          <w:rFonts w:hint="eastAsia" w:ascii="宋体" w:hAnsi="宋体"/>
          <w:b/>
          <w:color w:val="auto"/>
          <w:sz w:val="44"/>
          <w:szCs w:val="44"/>
        </w:rPr>
        <w:t>目   录</w:t>
      </w:r>
    </w:p>
    <w:p>
      <w:pPr>
        <w:pStyle w:val="28"/>
        <w:tabs>
          <w:tab w:val="right" w:leader="dot" w:pos="9180"/>
        </w:tabs>
        <w:rPr>
          <w:color w:val="auto"/>
        </w:rPr>
      </w:pPr>
      <w:r>
        <w:rPr>
          <w:rFonts w:ascii="宋体" w:hAnsi="宋体"/>
          <w:b w:val="0"/>
          <w:color w:val="auto"/>
          <w:sz w:val="32"/>
          <w:szCs w:val="32"/>
        </w:rPr>
        <w:fldChar w:fldCharType="begin"/>
      </w:r>
      <w:r>
        <w:rPr>
          <w:rStyle w:val="42"/>
          <w:rFonts w:ascii="宋体" w:hAnsi="宋体"/>
          <w:b w:val="0"/>
          <w:color w:val="auto"/>
        </w:rPr>
        <w:instrText xml:space="preserve"> TOC \o "1-1" \h \z \u </w:instrText>
      </w:r>
      <w:r>
        <w:rPr>
          <w:rFonts w:ascii="宋体" w:hAnsi="宋体"/>
          <w:b w:val="0"/>
          <w:color w:val="auto"/>
          <w:sz w:val="32"/>
          <w:szCs w:val="32"/>
        </w:rPr>
        <w:fldChar w:fldCharType="separate"/>
      </w:r>
      <w:r>
        <w:rPr>
          <w:color w:val="auto"/>
        </w:rPr>
        <w:fldChar w:fldCharType="begin"/>
      </w:r>
      <w:r>
        <w:rPr>
          <w:color w:val="auto"/>
        </w:rPr>
        <w:instrText xml:space="preserve"> HYPERLINK \l "_Toc18477" </w:instrText>
      </w:r>
      <w:r>
        <w:rPr>
          <w:color w:val="auto"/>
        </w:rPr>
        <w:fldChar w:fldCharType="separate"/>
      </w:r>
      <w:r>
        <w:rPr>
          <w:rFonts w:hint="eastAsia"/>
          <w:color w:val="auto"/>
          <w:szCs w:val="28"/>
        </w:rPr>
        <w:t>第一</w:t>
      </w:r>
      <w:r>
        <w:rPr>
          <w:color w:val="auto"/>
          <w:szCs w:val="28"/>
        </w:rPr>
        <w:t>章投标邀请</w:t>
      </w:r>
      <w:r>
        <w:rPr>
          <w:color w:val="auto"/>
        </w:rPr>
        <w:tab/>
      </w:r>
      <w:r>
        <w:rPr>
          <w:color w:val="auto"/>
        </w:rPr>
        <w:fldChar w:fldCharType="end"/>
      </w:r>
    </w:p>
    <w:p>
      <w:pPr>
        <w:pStyle w:val="28"/>
        <w:tabs>
          <w:tab w:val="right" w:leader="dot" w:pos="9180"/>
        </w:tabs>
        <w:rPr>
          <w:color w:val="auto"/>
        </w:rPr>
      </w:pPr>
      <w:r>
        <w:rPr>
          <w:color w:val="auto"/>
        </w:rPr>
        <w:fldChar w:fldCharType="begin"/>
      </w:r>
      <w:r>
        <w:rPr>
          <w:color w:val="auto"/>
        </w:rPr>
        <w:instrText xml:space="preserve"> HYPERLINK \l "_Toc10454" </w:instrText>
      </w:r>
      <w:r>
        <w:rPr>
          <w:color w:val="auto"/>
        </w:rPr>
        <w:fldChar w:fldCharType="separate"/>
      </w:r>
      <w:r>
        <w:rPr>
          <w:color w:val="auto"/>
          <w:szCs w:val="28"/>
        </w:rPr>
        <w:t>第</w:t>
      </w:r>
      <w:r>
        <w:rPr>
          <w:rFonts w:hint="eastAsia"/>
          <w:color w:val="auto"/>
          <w:szCs w:val="28"/>
        </w:rPr>
        <w:t>二</w:t>
      </w:r>
      <w:r>
        <w:rPr>
          <w:color w:val="auto"/>
          <w:szCs w:val="28"/>
        </w:rPr>
        <w:t>章投标资料表</w:t>
      </w:r>
      <w:r>
        <w:rPr>
          <w:color w:val="auto"/>
        </w:rPr>
        <w:tab/>
      </w:r>
      <w:r>
        <w:rPr>
          <w:color w:val="auto"/>
        </w:rPr>
        <w:fldChar w:fldCharType="end"/>
      </w:r>
    </w:p>
    <w:p>
      <w:pPr>
        <w:pStyle w:val="28"/>
        <w:tabs>
          <w:tab w:val="right" w:leader="dot" w:pos="9180"/>
        </w:tabs>
        <w:rPr>
          <w:color w:val="auto"/>
        </w:rPr>
      </w:pPr>
      <w:r>
        <w:rPr>
          <w:color w:val="auto"/>
        </w:rPr>
        <w:fldChar w:fldCharType="begin"/>
      </w:r>
      <w:r>
        <w:rPr>
          <w:color w:val="auto"/>
        </w:rPr>
        <w:instrText xml:space="preserve"> HYPERLINK \l "_Toc6156" </w:instrText>
      </w:r>
      <w:r>
        <w:rPr>
          <w:color w:val="auto"/>
        </w:rPr>
        <w:fldChar w:fldCharType="separate"/>
      </w:r>
      <w:r>
        <w:rPr>
          <w:rFonts w:hint="eastAsia"/>
          <w:color w:val="auto"/>
          <w:szCs w:val="28"/>
        </w:rPr>
        <w:t>第三章 开标、评标、定标</w:t>
      </w:r>
      <w:r>
        <w:rPr>
          <w:color w:val="auto"/>
        </w:rPr>
        <w:tab/>
      </w:r>
      <w:r>
        <w:rPr>
          <w:color w:val="auto"/>
        </w:rPr>
        <w:fldChar w:fldCharType="end"/>
      </w:r>
    </w:p>
    <w:p>
      <w:pPr>
        <w:pStyle w:val="28"/>
        <w:tabs>
          <w:tab w:val="right" w:leader="dot" w:pos="9180"/>
        </w:tabs>
        <w:rPr>
          <w:color w:val="auto"/>
        </w:rPr>
      </w:pPr>
      <w:r>
        <w:rPr>
          <w:color w:val="auto"/>
        </w:rPr>
        <w:fldChar w:fldCharType="begin"/>
      </w:r>
      <w:r>
        <w:rPr>
          <w:color w:val="auto"/>
        </w:rPr>
        <w:instrText xml:space="preserve"> HYPERLINK \l "_Toc8844" </w:instrText>
      </w:r>
      <w:r>
        <w:rPr>
          <w:color w:val="auto"/>
        </w:rPr>
        <w:fldChar w:fldCharType="separate"/>
      </w:r>
      <w:r>
        <w:rPr>
          <w:rFonts w:hint="eastAsia"/>
          <w:color w:val="auto"/>
          <w:szCs w:val="28"/>
        </w:rPr>
        <w:t>第四章 用户需求书</w:t>
      </w:r>
      <w:r>
        <w:rPr>
          <w:color w:val="auto"/>
        </w:rPr>
        <w:tab/>
      </w:r>
      <w:r>
        <w:rPr>
          <w:color w:val="auto"/>
        </w:rPr>
        <w:fldChar w:fldCharType="end"/>
      </w:r>
    </w:p>
    <w:p>
      <w:pPr>
        <w:pStyle w:val="28"/>
        <w:tabs>
          <w:tab w:val="right" w:leader="dot" w:pos="9180"/>
        </w:tabs>
        <w:rPr>
          <w:color w:val="auto"/>
        </w:rPr>
      </w:pPr>
      <w:r>
        <w:rPr>
          <w:color w:val="auto"/>
        </w:rPr>
        <w:fldChar w:fldCharType="begin"/>
      </w:r>
      <w:r>
        <w:rPr>
          <w:color w:val="auto"/>
        </w:rPr>
        <w:instrText xml:space="preserve"> HYPERLINK \l "_Toc6037" </w:instrText>
      </w:r>
      <w:r>
        <w:rPr>
          <w:color w:val="auto"/>
        </w:rPr>
        <w:fldChar w:fldCharType="separate"/>
      </w:r>
      <w:r>
        <w:rPr>
          <w:rFonts w:hint="eastAsia"/>
          <w:color w:val="auto"/>
          <w:szCs w:val="28"/>
        </w:rPr>
        <w:t>第六章 投标文件格式</w:t>
      </w:r>
      <w:r>
        <w:rPr>
          <w:color w:val="auto"/>
        </w:rPr>
        <w:tab/>
      </w:r>
      <w:r>
        <w:rPr>
          <w:color w:val="auto"/>
        </w:rPr>
        <w:fldChar w:fldCharType="end"/>
      </w:r>
    </w:p>
    <w:p>
      <w:pPr>
        <w:pStyle w:val="28"/>
        <w:tabs>
          <w:tab w:val="right" w:leader="dot" w:pos="9180"/>
        </w:tabs>
        <w:rPr>
          <w:color w:val="auto"/>
        </w:rPr>
      </w:pPr>
      <w:r>
        <w:rPr>
          <w:color w:val="auto"/>
        </w:rPr>
        <w:fldChar w:fldCharType="begin"/>
      </w:r>
      <w:r>
        <w:rPr>
          <w:color w:val="auto"/>
        </w:rPr>
        <w:instrText xml:space="preserve"> HYPERLINK \l "_Toc25614" </w:instrText>
      </w:r>
      <w:r>
        <w:rPr>
          <w:color w:val="auto"/>
        </w:rPr>
        <w:fldChar w:fldCharType="separate"/>
      </w:r>
      <w:r>
        <w:rPr>
          <w:rFonts w:hint="eastAsia"/>
          <w:color w:val="auto"/>
          <w:szCs w:val="28"/>
        </w:rPr>
        <w:t>第七章 投标人须知</w:t>
      </w:r>
      <w:r>
        <w:rPr>
          <w:color w:val="auto"/>
        </w:rPr>
        <w:tab/>
      </w:r>
      <w:r>
        <w:rPr>
          <w:color w:val="auto"/>
        </w:rPr>
        <w:fldChar w:fldCharType="end"/>
      </w:r>
    </w:p>
    <w:p>
      <w:pPr>
        <w:pStyle w:val="28"/>
        <w:tabs>
          <w:tab w:val="right" w:leader="dot" w:pos="9170"/>
        </w:tabs>
        <w:rPr>
          <w:b w:val="0"/>
          <w:bCs w:val="0"/>
          <w:color w:val="auto"/>
          <w:sz w:val="28"/>
          <w:szCs w:val="28"/>
        </w:rPr>
      </w:pPr>
      <w:r>
        <w:rPr>
          <w:rFonts w:ascii="宋体" w:hAnsi="宋体"/>
          <w:color w:val="auto"/>
          <w:szCs w:val="32"/>
        </w:rPr>
        <w:fldChar w:fldCharType="end"/>
      </w:r>
      <w:bookmarkEnd w:id="0"/>
      <w:bookmarkEnd w:id="1"/>
      <w:bookmarkEnd w:id="2"/>
      <w:bookmarkStart w:id="4" w:name="_Toc435514842"/>
    </w:p>
    <w:p>
      <w:pPr>
        <w:spacing w:beforeLines="50" w:afterLines="50" w:line="360" w:lineRule="auto"/>
        <w:jc w:val="center"/>
        <w:outlineLvl w:val="0"/>
        <w:rPr>
          <w:b/>
          <w:bCs/>
          <w:color w:val="auto"/>
          <w:sz w:val="28"/>
          <w:szCs w:val="28"/>
        </w:rPr>
        <w:sectPr>
          <w:pgSz w:w="11906" w:h="16838"/>
          <w:pgMar w:top="1440" w:right="1286" w:bottom="1440" w:left="1440" w:header="851" w:footer="992" w:gutter="0"/>
          <w:cols w:space="720" w:num="1"/>
          <w:docGrid w:type="lines" w:linePitch="312" w:charSpace="0"/>
        </w:sectPr>
      </w:pPr>
      <w:bookmarkStart w:id="5" w:name="_Toc498961239"/>
    </w:p>
    <w:p>
      <w:pPr>
        <w:spacing w:beforeLines="50" w:afterLines="50" w:line="360" w:lineRule="auto"/>
        <w:jc w:val="center"/>
        <w:outlineLvl w:val="0"/>
        <w:rPr>
          <w:b/>
          <w:bCs/>
          <w:color w:val="auto"/>
          <w:sz w:val="30"/>
          <w:szCs w:val="30"/>
        </w:rPr>
      </w:pPr>
      <w:bookmarkStart w:id="6" w:name="_Toc18477"/>
      <w:r>
        <w:rPr>
          <w:rFonts w:hint="eastAsia"/>
          <w:b/>
          <w:bCs/>
          <w:color w:val="auto"/>
          <w:sz w:val="28"/>
          <w:szCs w:val="28"/>
        </w:rPr>
        <w:t>第一</w:t>
      </w:r>
      <w:r>
        <w:rPr>
          <w:b/>
          <w:bCs/>
          <w:color w:val="auto"/>
          <w:sz w:val="28"/>
          <w:szCs w:val="28"/>
        </w:rPr>
        <w:t>章投标邀请</w:t>
      </w:r>
      <w:bookmarkEnd w:id="5"/>
      <w:bookmarkEnd w:id="6"/>
    </w:p>
    <w:p>
      <w:pPr>
        <w:adjustRightInd w:val="0"/>
        <w:snapToGrid w:val="0"/>
        <w:spacing w:line="360" w:lineRule="auto"/>
        <w:ind w:firstLine="420" w:firstLineChars="200"/>
        <w:rPr>
          <w:rFonts w:ascii="宋体" w:hAnsi="宋体" w:cs="宋体"/>
          <w:bCs/>
          <w:color w:val="auto"/>
          <w:szCs w:val="20"/>
        </w:rPr>
      </w:pPr>
      <w:r>
        <w:rPr>
          <w:rFonts w:hint="eastAsia" w:ascii="宋体"/>
          <w:bCs/>
          <w:color w:val="auto"/>
          <w:szCs w:val="20"/>
        </w:rPr>
        <w:t>广东公信招标有限公司受</w:t>
      </w:r>
      <w:r>
        <w:rPr>
          <w:rFonts w:hint="eastAsia" w:ascii="宋体" w:hAnsi="宋体"/>
          <w:color w:val="auto"/>
          <w:szCs w:val="21"/>
        </w:rPr>
        <w:t>广州市南沙区人民政府珠江街道办事处</w:t>
      </w:r>
      <w:r>
        <w:rPr>
          <w:rFonts w:hint="eastAsia" w:ascii="宋体"/>
          <w:bCs/>
          <w:color w:val="auto"/>
          <w:szCs w:val="20"/>
        </w:rPr>
        <w:t>的</w:t>
      </w:r>
      <w:r>
        <w:rPr>
          <w:rFonts w:hint="eastAsia" w:ascii="宋体"/>
          <w:bCs/>
          <w:color w:val="auto"/>
          <w:szCs w:val="21"/>
        </w:rPr>
        <w:t>委托，</w:t>
      </w:r>
      <w:r>
        <w:rPr>
          <w:rFonts w:hint="eastAsia" w:ascii="宋体" w:hAnsi="宋体"/>
          <w:bCs/>
          <w:color w:val="auto"/>
          <w:szCs w:val="21"/>
        </w:rPr>
        <w:t>对</w:t>
      </w:r>
      <w:r>
        <w:rPr>
          <w:rFonts w:hint="eastAsia" w:ascii="宋体" w:hAnsi="宋体"/>
          <w:color w:val="auto"/>
          <w:szCs w:val="21"/>
        </w:rPr>
        <w:t>珠江街2021年粤港深度合作区（启动区）临时排水设施日常运行管养项目</w:t>
      </w:r>
      <w:r>
        <w:rPr>
          <w:rFonts w:hint="eastAsia" w:ascii="宋体" w:hAnsi="宋体"/>
          <w:bCs/>
          <w:color w:val="auto"/>
          <w:szCs w:val="21"/>
        </w:rPr>
        <w:t>进行公开招</w:t>
      </w:r>
      <w:r>
        <w:rPr>
          <w:rFonts w:hint="eastAsia" w:ascii="宋体"/>
          <w:bCs/>
          <w:color w:val="auto"/>
          <w:szCs w:val="21"/>
        </w:rPr>
        <w:t>标采购，</w:t>
      </w:r>
      <w:r>
        <w:rPr>
          <w:rFonts w:hint="eastAsia" w:ascii="宋体" w:hAnsi="宋体"/>
          <w:color w:val="auto"/>
          <w:szCs w:val="21"/>
        </w:rPr>
        <w:t>欢迎</w:t>
      </w:r>
      <w:r>
        <w:rPr>
          <w:rFonts w:hint="eastAsia" w:ascii="宋体" w:hAnsi="宋体"/>
          <w:color w:val="auto"/>
        </w:rPr>
        <w:t>符合</w:t>
      </w:r>
      <w:r>
        <w:rPr>
          <w:rFonts w:hint="eastAsia" w:ascii="宋体" w:hAnsi="宋体"/>
          <w:color w:val="auto"/>
          <w:szCs w:val="21"/>
        </w:rPr>
        <w:t>资格</w:t>
      </w:r>
      <w:r>
        <w:rPr>
          <w:rFonts w:hint="eastAsia" w:ascii="宋体" w:hAnsi="宋体"/>
          <w:color w:val="auto"/>
        </w:rPr>
        <w:t>条件的</w:t>
      </w:r>
      <w:r>
        <w:rPr>
          <w:rFonts w:hint="eastAsia" w:ascii="宋体" w:hAnsi="宋体"/>
          <w:bCs/>
          <w:color w:val="auto"/>
          <w:szCs w:val="21"/>
        </w:rPr>
        <w:t>供应商</w:t>
      </w:r>
      <w:r>
        <w:rPr>
          <w:rFonts w:hint="eastAsia" w:ascii="宋体" w:hAnsi="宋体"/>
          <w:bCs/>
          <w:color w:val="auto"/>
        </w:rPr>
        <w:t>投标。</w:t>
      </w:r>
    </w:p>
    <w:p>
      <w:pPr>
        <w:numPr>
          <w:ilvl w:val="0"/>
          <w:numId w:val="2"/>
        </w:numPr>
        <w:tabs>
          <w:tab w:val="left" w:pos="142"/>
          <w:tab w:val="left" w:pos="426"/>
        </w:tabs>
        <w:adjustRightInd w:val="0"/>
        <w:snapToGrid w:val="0"/>
        <w:spacing w:line="360" w:lineRule="auto"/>
        <w:ind w:firstLine="0"/>
        <w:rPr>
          <w:rFonts w:ascii="宋体"/>
          <w:bCs/>
          <w:color w:val="auto"/>
          <w:szCs w:val="20"/>
        </w:rPr>
      </w:pPr>
      <w:r>
        <w:rPr>
          <w:rFonts w:hint="eastAsia" w:ascii="宋体"/>
          <w:bCs/>
          <w:color w:val="auto"/>
          <w:szCs w:val="20"/>
        </w:rPr>
        <w:t>采购项目编号：</w:t>
      </w:r>
      <w:r>
        <w:rPr>
          <w:rFonts w:hint="eastAsia" w:ascii="宋体" w:hAnsi="宋体"/>
          <w:bCs/>
          <w:color w:val="auto"/>
        </w:rPr>
        <w:t>GZGX21GZ00QY-45</w:t>
      </w:r>
    </w:p>
    <w:p>
      <w:pPr>
        <w:numPr>
          <w:ilvl w:val="0"/>
          <w:numId w:val="2"/>
        </w:numPr>
        <w:tabs>
          <w:tab w:val="left" w:pos="142"/>
          <w:tab w:val="left" w:pos="426"/>
        </w:tabs>
        <w:adjustRightInd w:val="0"/>
        <w:snapToGrid w:val="0"/>
        <w:spacing w:line="360" w:lineRule="auto"/>
        <w:ind w:firstLine="0"/>
        <w:rPr>
          <w:rFonts w:ascii="宋体" w:hAnsi="宋体"/>
          <w:bCs/>
          <w:color w:val="auto"/>
        </w:rPr>
      </w:pPr>
      <w:r>
        <w:rPr>
          <w:rFonts w:hint="eastAsia" w:ascii="宋体"/>
          <w:bCs/>
          <w:color w:val="auto"/>
          <w:szCs w:val="20"/>
        </w:rPr>
        <w:t>采购项目名称：</w:t>
      </w:r>
      <w:r>
        <w:rPr>
          <w:rFonts w:hint="eastAsia" w:ascii="宋体" w:hAnsi="宋体"/>
          <w:bCs/>
          <w:color w:val="auto"/>
        </w:rPr>
        <w:t>珠江街2021年粤港深度合作区（启动区）临时排水设施日常运行管养项目</w:t>
      </w:r>
    </w:p>
    <w:p>
      <w:pPr>
        <w:numPr>
          <w:ilvl w:val="0"/>
          <w:numId w:val="2"/>
        </w:numPr>
        <w:tabs>
          <w:tab w:val="left" w:pos="142"/>
          <w:tab w:val="left" w:pos="426"/>
        </w:tabs>
        <w:adjustRightInd w:val="0"/>
        <w:snapToGrid w:val="0"/>
        <w:spacing w:line="360" w:lineRule="auto"/>
        <w:ind w:firstLine="0"/>
        <w:rPr>
          <w:rFonts w:ascii="宋体"/>
          <w:bCs/>
          <w:color w:val="auto"/>
          <w:szCs w:val="20"/>
        </w:rPr>
      </w:pPr>
      <w:r>
        <w:rPr>
          <w:rFonts w:hint="eastAsia" w:ascii="宋体"/>
          <w:bCs/>
          <w:color w:val="auto"/>
          <w:szCs w:val="20"/>
        </w:rPr>
        <w:t>采购项目预算金额及期限：747,036.55元，服务期限一年，具体以实际签订合同日期为准。</w:t>
      </w:r>
    </w:p>
    <w:p>
      <w:pPr>
        <w:numPr>
          <w:ilvl w:val="0"/>
          <w:numId w:val="2"/>
        </w:numPr>
        <w:tabs>
          <w:tab w:val="left" w:pos="142"/>
          <w:tab w:val="left" w:pos="426"/>
        </w:tabs>
        <w:adjustRightInd w:val="0"/>
        <w:snapToGrid w:val="0"/>
        <w:spacing w:line="360" w:lineRule="auto"/>
        <w:ind w:firstLine="0"/>
        <w:rPr>
          <w:rFonts w:ascii="宋体"/>
          <w:bCs/>
          <w:color w:val="auto"/>
          <w:szCs w:val="20"/>
        </w:rPr>
      </w:pPr>
      <w:r>
        <w:rPr>
          <w:rFonts w:hint="eastAsia" w:ascii="宋体"/>
          <w:bCs/>
          <w:color w:val="auto"/>
          <w:szCs w:val="20"/>
        </w:rPr>
        <w:t>采购项目内容及需求(技术规格、参数及要求，需要落实的采购政策)：详</w:t>
      </w:r>
      <w:r>
        <w:rPr>
          <w:rFonts w:ascii="宋体"/>
          <w:bCs/>
          <w:color w:val="auto"/>
          <w:szCs w:val="20"/>
        </w:rPr>
        <w:t>见</w:t>
      </w:r>
      <w:r>
        <w:rPr>
          <w:rFonts w:hint="eastAsia" w:ascii="宋体"/>
          <w:bCs/>
          <w:color w:val="auto"/>
          <w:szCs w:val="20"/>
          <w:lang w:eastAsia="zh-CN"/>
        </w:rPr>
        <w:t>招标文件</w:t>
      </w:r>
      <w:r>
        <w:rPr>
          <w:rFonts w:hint="eastAsia" w:ascii="宋体"/>
          <w:bCs/>
          <w:color w:val="auto"/>
          <w:szCs w:val="20"/>
        </w:rPr>
        <w:t>。</w:t>
      </w:r>
    </w:p>
    <w:p>
      <w:pPr>
        <w:numPr>
          <w:ilvl w:val="0"/>
          <w:numId w:val="2"/>
        </w:numPr>
        <w:tabs>
          <w:tab w:val="left" w:pos="142"/>
          <w:tab w:val="left" w:pos="426"/>
        </w:tabs>
        <w:adjustRightInd w:val="0"/>
        <w:snapToGrid w:val="0"/>
        <w:spacing w:line="360" w:lineRule="auto"/>
        <w:ind w:firstLine="0"/>
        <w:rPr>
          <w:rFonts w:ascii="宋体"/>
          <w:b/>
          <w:color w:val="auto"/>
          <w:szCs w:val="20"/>
        </w:rPr>
      </w:pPr>
      <w:r>
        <w:rPr>
          <w:rFonts w:hint="eastAsia" w:ascii="宋体"/>
          <w:b/>
          <w:color w:val="auto"/>
          <w:szCs w:val="20"/>
        </w:rPr>
        <w:t>供应商的资格：</w:t>
      </w:r>
    </w:p>
    <w:p>
      <w:pPr>
        <w:pStyle w:val="90"/>
        <w:numPr>
          <w:ilvl w:val="0"/>
          <w:numId w:val="3"/>
        </w:numPr>
        <w:adjustRightInd w:val="0"/>
        <w:snapToGrid w:val="0"/>
        <w:spacing w:line="360" w:lineRule="auto"/>
        <w:ind w:left="284" w:hanging="284" w:firstLineChars="0"/>
        <w:rPr>
          <w:rFonts w:ascii="宋体" w:hAnsi="宋体"/>
          <w:bCs/>
          <w:color w:val="auto"/>
          <w:szCs w:val="20"/>
        </w:rPr>
      </w:pPr>
      <w:r>
        <w:rPr>
          <w:rFonts w:hint="eastAsia" w:ascii="宋体" w:hAnsi="宋体"/>
          <w:bCs/>
          <w:color w:val="auto"/>
          <w:szCs w:val="20"/>
        </w:rPr>
        <w:t>具备《中华人民共和国政府采购法》第二十二条规定的条件</w:t>
      </w:r>
      <w:r>
        <w:rPr>
          <w:rFonts w:hint="eastAsia" w:ascii="宋体" w:hAnsi="宋体"/>
          <w:bCs/>
          <w:color w:val="auto"/>
          <w:szCs w:val="21"/>
        </w:rPr>
        <w:t>：</w:t>
      </w:r>
    </w:p>
    <w:p>
      <w:pPr>
        <w:pStyle w:val="90"/>
        <w:numPr>
          <w:ilvl w:val="1"/>
          <w:numId w:val="3"/>
        </w:numPr>
        <w:adjustRightInd w:val="0"/>
        <w:snapToGrid w:val="0"/>
        <w:spacing w:line="360" w:lineRule="auto"/>
        <w:ind w:left="426" w:hanging="426" w:firstLineChars="0"/>
        <w:rPr>
          <w:rFonts w:ascii="宋体" w:hAnsi="宋体" w:cs="宋体"/>
          <w:bCs/>
          <w:color w:val="auto"/>
          <w:kern w:val="0"/>
          <w:szCs w:val="21"/>
        </w:rPr>
      </w:pPr>
      <w:r>
        <w:rPr>
          <w:rFonts w:hint="eastAsia" w:ascii="宋体" w:hAnsi="宋体" w:cs="宋体"/>
          <w:bCs/>
          <w:color w:val="auto"/>
          <w:kern w:val="0"/>
          <w:szCs w:val="21"/>
        </w:rPr>
        <w:t>提供</w:t>
      </w:r>
      <w:r>
        <w:rPr>
          <w:rFonts w:hint="eastAsia" w:ascii="宋体" w:hAnsi="宋体"/>
          <w:bCs/>
          <w:color w:val="auto"/>
          <w:szCs w:val="21"/>
        </w:rPr>
        <w:t>在中华人民共和国境内注册的</w:t>
      </w:r>
      <w:r>
        <w:rPr>
          <w:rFonts w:hint="eastAsia" w:ascii="宋体" w:hAnsi="宋体" w:cs="宋体"/>
          <w:bCs/>
          <w:color w:val="auto"/>
          <w:kern w:val="0"/>
          <w:szCs w:val="21"/>
        </w:rPr>
        <w:t>营业执照</w:t>
      </w:r>
      <w:r>
        <w:rPr>
          <w:rFonts w:hint="eastAsia" w:ascii="宋体" w:hAnsi="宋体"/>
          <w:bCs/>
          <w:color w:val="auto"/>
          <w:szCs w:val="21"/>
        </w:rPr>
        <w:t>（或事业单位法人证书，或社会团体法人</w:t>
      </w:r>
      <w:r>
        <w:rPr>
          <w:rFonts w:hint="eastAsia" w:ascii="宋体" w:hAnsi="宋体" w:cs="宋体"/>
          <w:bCs/>
          <w:color w:val="auto"/>
          <w:kern w:val="0"/>
          <w:szCs w:val="21"/>
        </w:rPr>
        <w:t>登记</w:t>
      </w:r>
      <w:r>
        <w:rPr>
          <w:rFonts w:hint="eastAsia" w:ascii="宋体" w:hAnsi="宋体"/>
          <w:bCs/>
          <w:color w:val="auto"/>
          <w:szCs w:val="21"/>
        </w:rPr>
        <w:t>证书，或执业许可证）、组织机构</w:t>
      </w:r>
      <w:r>
        <w:rPr>
          <w:rFonts w:hint="eastAsia" w:ascii="宋体" w:hAnsi="宋体" w:cs="宋体"/>
          <w:bCs/>
          <w:color w:val="auto"/>
          <w:kern w:val="0"/>
          <w:szCs w:val="21"/>
        </w:rPr>
        <w:t>代码证和税务登记证复印件；</w:t>
      </w:r>
      <w:r>
        <w:rPr>
          <w:rFonts w:hint="eastAsia" w:ascii="宋体" w:hAnsi="宋体"/>
          <w:bCs/>
          <w:color w:val="auto"/>
          <w:szCs w:val="21"/>
        </w:rPr>
        <w:t>如投标人为自然人的需提供自然人身份证明；</w:t>
      </w:r>
    </w:p>
    <w:p>
      <w:pPr>
        <w:pStyle w:val="90"/>
        <w:numPr>
          <w:ilvl w:val="1"/>
          <w:numId w:val="3"/>
        </w:numPr>
        <w:adjustRightInd w:val="0"/>
        <w:snapToGrid w:val="0"/>
        <w:spacing w:line="360" w:lineRule="auto"/>
        <w:ind w:left="426" w:hanging="426" w:firstLineChars="0"/>
        <w:rPr>
          <w:rFonts w:ascii="宋体" w:hAnsi="宋体" w:cs="宋体"/>
          <w:bCs/>
          <w:color w:val="auto"/>
          <w:kern w:val="0"/>
          <w:szCs w:val="21"/>
        </w:rPr>
      </w:pPr>
      <w:r>
        <w:rPr>
          <w:rFonts w:hint="eastAsia"/>
          <w:bCs/>
          <w:color w:val="auto"/>
        </w:rPr>
        <w:t>提供</w:t>
      </w:r>
      <w:r>
        <w:rPr>
          <w:rFonts w:hint="eastAsia" w:ascii="宋体" w:hAnsi="宋体"/>
          <w:bCs/>
          <w:color w:val="auto"/>
          <w:szCs w:val="21"/>
        </w:rPr>
        <w:t>20</w:t>
      </w:r>
      <w:r>
        <w:rPr>
          <w:rFonts w:ascii="宋体" w:hAnsi="宋体"/>
          <w:bCs/>
          <w:color w:val="auto"/>
          <w:szCs w:val="21"/>
        </w:rPr>
        <w:t>19</w:t>
      </w:r>
      <w:r>
        <w:rPr>
          <w:rFonts w:hint="eastAsia" w:ascii="宋体" w:hAnsi="宋体"/>
          <w:bCs/>
          <w:color w:val="auto"/>
          <w:szCs w:val="21"/>
        </w:rPr>
        <w:t>年或2020年的年度</w:t>
      </w:r>
      <w:r>
        <w:rPr>
          <w:rFonts w:hint="eastAsia"/>
          <w:bCs/>
          <w:color w:val="auto"/>
        </w:rPr>
        <w:t>财务状况报告复印件，或</w:t>
      </w:r>
      <w:r>
        <w:rPr>
          <w:rFonts w:hint="eastAsia" w:ascii="宋体" w:hAnsi="宋体"/>
          <w:bCs/>
          <w:color w:val="auto"/>
          <w:szCs w:val="21"/>
        </w:rPr>
        <w:t>2021年任意1个月</w:t>
      </w:r>
      <w:r>
        <w:rPr>
          <w:rFonts w:hint="eastAsia"/>
          <w:bCs/>
          <w:color w:val="auto"/>
        </w:rPr>
        <w:t>的财务状况报告复印件；或银行出具的资信证明材料复印件；若已对接“粤省事”“粤商通”“粤信签”等系统的，可提供书面承诺声明函（格式自拟）；</w:t>
      </w:r>
    </w:p>
    <w:p>
      <w:pPr>
        <w:pStyle w:val="90"/>
        <w:numPr>
          <w:ilvl w:val="1"/>
          <w:numId w:val="3"/>
        </w:numPr>
        <w:adjustRightInd w:val="0"/>
        <w:snapToGrid w:val="0"/>
        <w:spacing w:line="360" w:lineRule="auto"/>
        <w:ind w:left="426" w:hanging="426" w:firstLineChars="0"/>
        <w:rPr>
          <w:rFonts w:ascii="宋体" w:hAnsi="宋体" w:cs="宋体"/>
          <w:color w:val="auto"/>
          <w:kern w:val="0"/>
          <w:szCs w:val="21"/>
        </w:rPr>
      </w:pPr>
      <w:r>
        <w:rPr>
          <w:rFonts w:hint="eastAsia" w:ascii="宋体" w:hAnsi="宋体" w:cs="宋体"/>
          <w:bCs/>
          <w:color w:val="auto"/>
          <w:kern w:val="0"/>
          <w:szCs w:val="21"/>
        </w:rPr>
        <w:t>提供2020年或2021年任意1个</w:t>
      </w:r>
      <w:r>
        <w:rPr>
          <w:rFonts w:hint="eastAsia" w:ascii="宋体" w:hAnsi="宋体" w:cs="宋体"/>
          <w:color w:val="auto"/>
          <w:kern w:val="0"/>
          <w:szCs w:val="21"/>
        </w:rPr>
        <w:t>月的依法缴纳税收的证明（纳税凭证）复印件，如依法免税的，应提供相应文件证明其依法免税；</w:t>
      </w:r>
      <w:r>
        <w:rPr>
          <w:rFonts w:hint="eastAsia"/>
          <w:color w:val="auto"/>
        </w:rPr>
        <w:t>若已对接“粤省事”“粤商通”“粤信签”等系统的，可提供书面承诺声明函（格式自拟）；</w:t>
      </w:r>
    </w:p>
    <w:p>
      <w:pPr>
        <w:pStyle w:val="90"/>
        <w:numPr>
          <w:ilvl w:val="1"/>
          <w:numId w:val="3"/>
        </w:numPr>
        <w:adjustRightInd w:val="0"/>
        <w:snapToGrid w:val="0"/>
        <w:spacing w:line="360" w:lineRule="auto"/>
        <w:ind w:left="426" w:hanging="426" w:firstLineChars="0"/>
        <w:rPr>
          <w:rFonts w:ascii="宋体" w:hAnsi="宋体" w:cs="宋体"/>
          <w:color w:val="auto"/>
          <w:kern w:val="0"/>
          <w:szCs w:val="21"/>
        </w:rPr>
      </w:pPr>
      <w:r>
        <w:rPr>
          <w:rFonts w:hint="eastAsia" w:ascii="宋体" w:hAnsi="宋体" w:cs="宋体"/>
          <w:color w:val="auto"/>
          <w:kern w:val="0"/>
          <w:szCs w:val="21"/>
        </w:rPr>
        <w:t>提供</w:t>
      </w:r>
      <w:r>
        <w:rPr>
          <w:rFonts w:hint="eastAsia" w:ascii="宋体" w:hAnsi="宋体" w:cs="宋体"/>
          <w:bCs/>
          <w:color w:val="auto"/>
          <w:kern w:val="0"/>
          <w:szCs w:val="21"/>
        </w:rPr>
        <w:t>2020年或2021年</w:t>
      </w:r>
      <w:r>
        <w:rPr>
          <w:rFonts w:hint="eastAsia" w:ascii="宋体" w:hAnsi="宋体" w:cs="宋体"/>
          <w:color w:val="auto"/>
          <w:kern w:val="0"/>
          <w:szCs w:val="21"/>
        </w:rPr>
        <w:t>任意1个月的依法缴纳社会保险的证明（缴费凭证）复印件，如依法不需要缴纳社会保障资金的，应提供相应文件证明其依法不需要缴纳社会保障资金；</w:t>
      </w:r>
      <w:r>
        <w:rPr>
          <w:rFonts w:hint="eastAsia"/>
          <w:color w:val="auto"/>
        </w:rPr>
        <w:t>若已对接“粤省事”“粤商通”“粤信签”等系统的，可提供书面承诺声明函（格式自拟）；</w:t>
      </w:r>
    </w:p>
    <w:p>
      <w:pPr>
        <w:pStyle w:val="90"/>
        <w:numPr>
          <w:ilvl w:val="1"/>
          <w:numId w:val="3"/>
        </w:numPr>
        <w:adjustRightInd w:val="0"/>
        <w:snapToGrid w:val="0"/>
        <w:spacing w:line="360" w:lineRule="auto"/>
        <w:ind w:left="426" w:hanging="426" w:firstLineChars="0"/>
        <w:rPr>
          <w:rFonts w:ascii="宋体" w:hAnsi="宋体" w:cs="宋体"/>
          <w:color w:val="auto"/>
          <w:kern w:val="0"/>
          <w:szCs w:val="21"/>
        </w:rPr>
      </w:pPr>
      <w:r>
        <w:rPr>
          <w:rFonts w:hint="eastAsia" w:ascii="宋体" w:hAnsi="宋体" w:cs="宋体"/>
          <w:color w:val="auto"/>
          <w:kern w:val="0"/>
          <w:szCs w:val="21"/>
        </w:rPr>
        <w:t>提供履行合同所必需的设备和专业技术能力的书面声明</w:t>
      </w:r>
      <w:r>
        <w:rPr>
          <w:rFonts w:hint="eastAsia" w:ascii="宋体" w:hAnsi="宋体" w:cs="宋体"/>
          <w:bCs/>
          <w:color w:val="auto"/>
          <w:kern w:val="0"/>
          <w:szCs w:val="21"/>
        </w:rPr>
        <w:t>（详见《</w:t>
      </w:r>
      <w:r>
        <w:rPr>
          <w:rFonts w:hint="eastAsia" w:ascii="宋体" w:hAnsi="宋体"/>
          <w:bCs/>
          <w:color w:val="auto"/>
          <w:szCs w:val="21"/>
        </w:rPr>
        <w:t>投标人资格声明函》</w:t>
      </w:r>
      <w:r>
        <w:rPr>
          <w:rFonts w:hint="eastAsia" w:ascii="宋体" w:hAnsi="宋体" w:cs="宋体"/>
          <w:bCs/>
          <w:color w:val="auto"/>
          <w:kern w:val="0"/>
          <w:szCs w:val="21"/>
        </w:rPr>
        <w:t>）</w:t>
      </w:r>
      <w:r>
        <w:rPr>
          <w:rFonts w:hint="eastAsia" w:ascii="宋体" w:hAnsi="宋体" w:cs="宋体"/>
          <w:color w:val="auto"/>
          <w:kern w:val="0"/>
          <w:szCs w:val="21"/>
        </w:rPr>
        <w:t>；</w:t>
      </w:r>
    </w:p>
    <w:p>
      <w:pPr>
        <w:pStyle w:val="90"/>
        <w:numPr>
          <w:ilvl w:val="1"/>
          <w:numId w:val="3"/>
        </w:numPr>
        <w:adjustRightInd w:val="0"/>
        <w:snapToGrid w:val="0"/>
        <w:spacing w:line="360" w:lineRule="auto"/>
        <w:ind w:left="426" w:hanging="426" w:firstLineChars="0"/>
        <w:rPr>
          <w:rFonts w:ascii="宋体" w:hAnsi="宋体" w:cs="宋体"/>
          <w:color w:val="auto"/>
          <w:kern w:val="0"/>
          <w:szCs w:val="21"/>
        </w:rPr>
      </w:pPr>
      <w:r>
        <w:rPr>
          <w:rFonts w:hint="eastAsia" w:ascii="宋体" w:hAnsi="宋体" w:cs="宋体"/>
          <w:color w:val="auto"/>
          <w:kern w:val="0"/>
          <w:szCs w:val="21"/>
        </w:rPr>
        <w:t>提供参加采购活动前3年内在经营活动中没有重大违法记录的书面声明</w:t>
      </w:r>
      <w:r>
        <w:rPr>
          <w:rFonts w:hint="eastAsia" w:ascii="宋体" w:hAnsi="宋体" w:cs="宋体"/>
          <w:bCs/>
          <w:color w:val="auto"/>
          <w:kern w:val="0"/>
          <w:szCs w:val="21"/>
        </w:rPr>
        <w:t>（详见《</w:t>
      </w:r>
      <w:r>
        <w:rPr>
          <w:rFonts w:hint="eastAsia" w:ascii="宋体" w:hAnsi="宋体"/>
          <w:bCs/>
          <w:color w:val="auto"/>
          <w:szCs w:val="21"/>
        </w:rPr>
        <w:t>投标人资格声明函》</w:t>
      </w:r>
      <w:r>
        <w:rPr>
          <w:rFonts w:hint="eastAsia" w:ascii="宋体" w:hAnsi="宋体" w:cs="宋体"/>
          <w:bCs/>
          <w:color w:val="auto"/>
          <w:kern w:val="0"/>
          <w:szCs w:val="21"/>
        </w:rPr>
        <w:t>）</w:t>
      </w:r>
      <w:r>
        <w:rPr>
          <w:rFonts w:hint="eastAsia" w:ascii="宋体" w:hAnsi="宋体" w:cs="宋体"/>
          <w:color w:val="auto"/>
          <w:kern w:val="0"/>
          <w:szCs w:val="21"/>
        </w:rPr>
        <w:t>。</w:t>
      </w:r>
    </w:p>
    <w:p>
      <w:pPr>
        <w:pStyle w:val="90"/>
        <w:numPr>
          <w:ilvl w:val="0"/>
          <w:numId w:val="3"/>
        </w:numPr>
        <w:adjustRightInd w:val="0"/>
        <w:snapToGrid w:val="0"/>
        <w:spacing w:line="360" w:lineRule="auto"/>
        <w:ind w:left="227" w:hanging="227" w:firstLineChars="0"/>
        <w:rPr>
          <w:rFonts w:ascii="宋体" w:hAnsi="宋体" w:cs="宋体"/>
          <w:color w:val="auto"/>
          <w:kern w:val="0"/>
          <w:szCs w:val="21"/>
        </w:rPr>
      </w:pPr>
      <w:r>
        <w:rPr>
          <w:rFonts w:ascii="宋体" w:hAnsi="宋体" w:cs="宋体"/>
          <w:color w:val="auto"/>
          <w:kern w:val="0"/>
          <w:szCs w:val="21"/>
        </w:rPr>
        <w:t>投标人必须具备有效的</w:t>
      </w:r>
      <w:r>
        <w:rPr>
          <w:rFonts w:hint="eastAsia" w:ascii="宋体" w:hAnsi="宋体" w:cs="宋体"/>
          <w:color w:val="auto"/>
          <w:kern w:val="0"/>
          <w:szCs w:val="21"/>
        </w:rPr>
        <w:t>水利水电工程施工总承包三级或以上资质</w:t>
      </w:r>
      <w:r>
        <w:rPr>
          <w:rFonts w:ascii="宋体" w:hAnsi="宋体" w:cs="宋体"/>
          <w:color w:val="auto"/>
          <w:kern w:val="0"/>
          <w:szCs w:val="21"/>
        </w:rPr>
        <w:t>及安全生产许可证</w:t>
      </w:r>
      <w:r>
        <w:rPr>
          <w:rFonts w:hint="eastAsia" w:ascii="宋体" w:hAnsi="宋体" w:cs="宋体"/>
          <w:color w:val="auto"/>
          <w:kern w:val="0"/>
          <w:szCs w:val="21"/>
        </w:rPr>
        <w:t>，</w:t>
      </w:r>
      <w:r>
        <w:rPr>
          <w:rFonts w:ascii="宋体" w:hAnsi="宋体" w:cs="宋体"/>
          <w:color w:val="auto"/>
          <w:kern w:val="0"/>
          <w:szCs w:val="21"/>
        </w:rPr>
        <w:t>提供复印件</w:t>
      </w:r>
      <w:r>
        <w:rPr>
          <w:rFonts w:hint="eastAsia" w:ascii="宋体" w:hAnsi="宋体" w:cs="宋体"/>
          <w:color w:val="auto"/>
          <w:kern w:val="0"/>
          <w:szCs w:val="21"/>
        </w:rPr>
        <w:t>。</w:t>
      </w:r>
    </w:p>
    <w:p>
      <w:pPr>
        <w:pStyle w:val="90"/>
        <w:numPr>
          <w:ilvl w:val="0"/>
          <w:numId w:val="3"/>
        </w:numPr>
        <w:adjustRightInd w:val="0"/>
        <w:snapToGrid w:val="0"/>
        <w:spacing w:line="360" w:lineRule="auto"/>
        <w:ind w:left="227" w:hanging="227" w:firstLineChars="0"/>
        <w:rPr>
          <w:rFonts w:hAnsi="宋体" w:cs="宋体"/>
          <w:bCs/>
          <w:color w:val="auto"/>
          <w:kern w:val="0"/>
          <w:szCs w:val="21"/>
        </w:rPr>
      </w:pPr>
      <w:r>
        <w:rPr>
          <w:rFonts w:hint="eastAsia" w:hAnsi="宋体" w:cs="宋体"/>
          <w:bCs/>
          <w:color w:val="auto"/>
          <w:kern w:val="0"/>
          <w:szCs w:val="21"/>
        </w:rPr>
        <w:t>不同投标人之间有下列情形之一，不接受作为参加同一采购项目竞争的投标人：</w:t>
      </w:r>
      <w:r>
        <w:rPr>
          <w:rFonts w:hint="eastAsia" w:asciiTheme="majorEastAsia" w:hAnsiTheme="majorEastAsia" w:eastAsiaTheme="majorEastAsia"/>
          <w:color w:val="auto"/>
          <w:szCs w:val="21"/>
        </w:rPr>
        <w:t>①</w:t>
      </w:r>
      <w:r>
        <w:rPr>
          <w:rFonts w:hint="eastAsia" w:hAnsi="宋体" w:cs="宋体"/>
          <w:bCs/>
          <w:color w:val="auto"/>
          <w:kern w:val="0"/>
          <w:szCs w:val="21"/>
        </w:rPr>
        <w:t>为采购项目提供整体设计、规范编制或者项目管理、监理、检测等服务的供应商；</w:t>
      </w:r>
      <w:r>
        <w:rPr>
          <w:rFonts w:hint="eastAsia" w:asciiTheme="majorEastAsia" w:hAnsiTheme="majorEastAsia" w:eastAsiaTheme="majorEastAsia"/>
          <w:color w:val="auto"/>
          <w:szCs w:val="21"/>
        </w:rPr>
        <w:t>②</w:t>
      </w:r>
      <w:r>
        <w:rPr>
          <w:rFonts w:hint="eastAsia" w:hAnsi="宋体" w:cs="宋体"/>
          <w:bCs/>
          <w:color w:val="auto"/>
          <w:kern w:val="0"/>
          <w:szCs w:val="21"/>
        </w:rPr>
        <w:t>单位负责人为同一人或者存在直接控股、管理关系的不同供应商。</w:t>
      </w:r>
    </w:p>
    <w:p>
      <w:pPr>
        <w:pStyle w:val="90"/>
        <w:numPr>
          <w:ilvl w:val="0"/>
          <w:numId w:val="3"/>
        </w:numPr>
        <w:adjustRightInd w:val="0"/>
        <w:snapToGrid w:val="0"/>
        <w:spacing w:line="360" w:lineRule="auto"/>
        <w:ind w:left="284" w:hanging="284" w:firstLineChars="0"/>
        <w:rPr>
          <w:rFonts w:hAnsi="宋体" w:cs="宋体"/>
          <w:bCs/>
          <w:color w:val="auto"/>
          <w:kern w:val="0"/>
          <w:szCs w:val="21"/>
        </w:rPr>
      </w:pPr>
      <w:r>
        <w:rPr>
          <w:rFonts w:hint="eastAsia" w:hAnsi="宋体" w:cs="宋体"/>
          <w:bCs/>
          <w:color w:val="auto"/>
          <w:kern w:val="0"/>
          <w:szCs w:val="21"/>
        </w:rPr>
        <w:t>本采购项目不接受联合体投标。</w:t>
      </w:r>
    </w:p>
    <w:p>
      <w:pPr>
        <w:pStyle w:val="90"/>
        <w:numPr>
          <w:ilvl w:val="0"/>
          <w:numId w:val="3"/>
        </w:numPr>
        <w:adjustRightInd w:val="0"/>
        <w:snapToGrid w:val="0"/>
        <w:spacing w:line="360" w:lineRule="auto"/>
        <w:ind w:left="227" w:hanging="227" w:firstLineChars="0"/>
        <w:rPr>
          <w:bCs/>
          <w:color w:val="auto"/>
          <w:szCs w:val="21"/>
        </w:rPr>
      </w:pPr>
      <w:r>
        <w:rPr>
          <w:rFonts w:hint="eastAsia" w:asciiTheme="majorEastAsia" w:hAnsiTheme="majorEastAsia" w:eastAsiaTheme="majorEastAsia"/>
          <w:color w:val="auto"/>
          <w:szCs w:val="21"/>
        </w:rPr>
        <w:t>本项目</w:t>
      </w:r>
      <w:r>
        <w:rPr>
          <w:rFonts w:asciiTheme="majorEastAsia" w:hAnsiTheme="majorEastAsia" w:eastAsiaTheme="majorEastAsia"/>
          <w:color w:val="auto"/>
          <w:szCs w:val="21"/>
        </w:rPr>
        <w:t>投标人未被列入“信用中国”网站(</w:t>
      </w:r>
      <w:r>
        <w:rPr>
          <w:color w:val="auto"/>
        </w:rPr>
        <w:fldChar w:fldCharType="begin"/>
      </w:r>
      <w:r>
        <w:rPr>
          <w:color w:val="auto"/>
        </w:rPr>
        <w:instrText xml:space="preserve"> HYPERLINK "http://www.creditchina.gov.cn" </w:instrText>
      </w:r>
      <w:r>
        <w:rPr>
          <w:color w:val="auto"/>
        </w:rPr>
        <w:fldChar w:fldCharType="separate"/>
      </w:r>
      <w:r>
        <w:rPr>
          <w:rFonts w:asciiTheme="majorEastAsia" w:hAnsiTheme="majorEastAsia" w:eastAsiaTheme="majorEastAsia"/>
          <w:color w:val="auto"/>
        </w:rPr>
        <w:t>www.creditchina.gov.cn</w:t>
      </w:r>
      <w:r>
        <w:rPr>
          <w:rFonts w:asciiTheme="majorEastAsia" w:hAnsiTheme="majorEastAsia" w:eastAsiaTheme="majorEastAsia"/>
          <w:color w:val="auto"/>
        </w:rPr>
        <w:fldChar w:fldCharType="end"/>
      </w:r>
      <w:r>
        <w:rPr>
          <w:rFonts w:asciiTheme="majorEastAsia" w:hAnsiTheme="majorEastAsia" w:eastAsiaTheme="majorEastAsia"/>
          <w:color w:val="auto"/>
          <w:szCs w:val="21"/>
        </w:rPr>
        <w:t>)</w:t>
      </w:r>
      <w:r>
        <w:rPr>
          <w:rFonts w:hint="eastAsia" w:asciiTheme="majorEastAsia" w:hAnsiTheme="majorEastAsia" w:eastAsiaTheme="majorEastAsia"/>
          <w:color w:val="auto"/>
          <w:szCs w:val="21"/>
        </w:rPr>
        <w:t>以下情形之一：①</w:t>
      </w:r>
      <w:r>
        <w:rPr>
          <w:rFonts w:asciiTheme="majorEastAsia" w:hAnsiTheme="majorEastAsia" w:eastAsiaTheme="majorEastAsia"/>
          <w:color w:val="auto"/>
          <w:szCs w:val="21"/>
        </w:rPr>
        <w:t>记录失信被执行人</w:t>
      </w:r>
      <w:r>
        <w:rPr>
          <w:rFonts w:hint="eastAsia" w:asciiTheme="majorEastAsia" w:hAnsiTheme="majorEastAsia" w:eastAsiaTheme="majorEastAsia"/>
          <w:color w:val="auto"/>
          <w:szCs w:val="21"/>
        </w:rPr>
        <w:t>；②</w:t>
      </w:r>
      <w:r>
        <w:rPr>
          <w:rFonts w:asciiTheme="majorEastAsia" w:hAnsiTheme="majorEastAsia" w:eastAsiaTheme="majorEastAsia"/>
          <w:color w:val="auto"/>
          <w:szCs w:val="21"/>
        </w:rPr>
        <w:t>重大税收违法案件当事人名单</w:t>
      </w:r>
      <w:r>
        <w:rPr>
          <w:rFonts w:hint="eastAsia" w:asciiTheme="majorEastAsia" w:hAnsiTheme="majorEastAsia" w:eastAsiaTheme="majorEastAsia"/>
          <w:color w:val="auto"/>
          <w:szCs w:val="21"/>
        </w:rPr>
        <w:t>；③</w:t>
      </w:r>
      <w:r>
        <w:rPr>
          <w:rFonts w:asciiTheme="majorEastAsia" w:hAnsiTheme="majorEastAsia" w:eastAsiaTheme="majorEastAsia"/>
          <w:color w:val="auto"/>
          <w:szCs w:val="21"/>
        </w:rPr>
        <w:t>政府采购严重违法失信行为</w:t>
      </w:r>
      <w:r>
        <w:rPr>
          <w:rFonts w:hint="eastAsia" w:asciiTheme="majorEastAsia" w:hAnsiTheme="majorEastAsia" w:eastAsiaTheme="majorEastAsia"/>
          <w:color w:val="auto"/>
          <w:szCs w:val="21"/>
        </w:rPr>
        <w:t>。同时，在</w:t>
      </w:r>
      <w:r>
        <w:rPr>
          <w:rFonts w:asciiTheme="majorEastAsia" w:hAnsiTheme="majorEastAsia" w:eastAsiaTheme="majorEastAsia"/>
          <w:color w:val="auto"/>
          <w:szCs w:val="21"/>
        </w:rPr>
        <w:t>中国政府采购网(</w:t>
      </w:r>
      <w:r>
        <w:rPr>
          <w:color w:val="auto"/>
        </w:rPr>
        <w:fldChar w:fldCharType="begin"/>
      </w:r>
      <w:r>
        <w:rPr>
          <w:color w:val="auto"/>
        </w:rPr>
        <w:instrText xml:space="preserve"> HYPERLINK "http://www.ccgp.gov.cn" </w:instrText>
      </w:r>
      <w:r>
        <w:rPr>
          <w:color w:val="auto"/>
        </w:rPr>
        <w:fldChar w:fldCharType="separate"/>
      </w:r>
      <w:r>
        <w:rPr>
          <w:rFonts w:asciiTheme="majorEastAsia" w:hAnsiTheme="majorEastAsia" w:eastAsiaTheme="majorEastAsia"/>
          <w:color w:val="auto"/>
        </w:rPr>
        <w:t>www.ccgp.gov.cn</w:t>
      </w:r>
      <w:r>
        <w:rPr>
          <w:rFonts w:asciiTheme="majorEastAsia" w:hAnsiTheme="majorEastAsia" w:eastAsiaTheme="majorEastAsia"/>
          <w:color w:val="auto"/>
        </w:rPr>
        <w:fldChar w:fldCharType="end"/>
      </w:r>
      <w:r>
        <w:rPr>
          <w:rFonts w:asciiTheme="majorEastAsia" w:hAnsiTheme="majorEastAsia" w:eastAsiaTheme="majorEastAsia"/>
          <w:color w:val="auto"/>
          <w:szCs w:val="21"/>
        </w:rPr>
        <w:t>)“政府采购严重违法失信行为信息记录”中</w:t>
      </w:r>
      <w:r>
        <w:rPr>
          <w:rFonts w:hint="eastAsia" w:asciiTheme="majorEastAsia" w:hAnsiTheme="majorEastAsia" w:eastAsiaTheme="majorEastAsia"/>
          <w:color w:val="auto"/>
          <w:szCs w:val="21"/>
        </w:rPr>
        <w:t>查询没有处于</w:t>
      </w:r>
      <w:r>
        <w:rPr>
          <w:rFonts w:asciiTheme="majorEastAsia" w:hAnsiTheme="majorEastAsia" w:eastAsiaTheme="majorEastAsia"/>
          <w:color w:val="auto"/>
          <w:szCs w:val="21"/>
        </w:rPr>
        <w:t>禁止参加政府采购活动</w:t>
      </w:r>
      <w:r>
        <w:rPr>
          <w:rFonts w:hint="eastAsia" w:asciiTheme="majorEastAsia" w:hAnsiTheme="majorEastAsia" w:eastAsiaTheme="majorEastAsia"/>
          <w:color w:val="auto"/>
          <w:szCs w:val="21"/>
        </w:rPr>
        <w:t>的记录名单</w:t>
      </w:r>
      <w:r>
        <w:rPr>
          <w:rFonts w:asciiTheme="majorEastAsia" w:hAnsiTheme="majorEastAsia" w:eastAsiaTheme="majorEastAsia"/>
          <w:color w:val="auto"/>
          <w:szCs w:val="21"/>
        </w:rPr>
        <w:t>。</w:t>
      </w:r>
      <w:r>
        <w:rPr>
          <w:rFonts w:hint="eastAsia" w:ascii="宋体" w:hAnsi="宋体"/>
          <w:bCs/>
          <w:color w:val="auto"/>
          <w:szCs w:val="20"/>
        </w:rPr>
        <w:t>（1、由采购代理机构</w:t>
      </w:r>
      <w:r>
        <w:rPr>
          <w:rFonts w:ascii="宋体" w:hAnsi="宋体"/>
          <w:bCs/>
          <w:color w:val="auto"/>
          <w:szCs w:val="20"/>
        </w:rPr>
        <w:t>于</w:t>
      </w:r>
      <w:r>
        <w:rPr>
          <w:rFonts w:hint="eastAsia" w:ascii="宋体" w:hAnsi="宋体"/>
          <w:bCs/>
          <w:color w:val="auto"/>
          <w:szCs w:val="20"/>
        </w:rPr>
        <w:t>投标截止日在上述网站进行</w:t>
      </w:r>
      <w:r>
        <w:rPr>
          <w:rFonts w:ascii="宋体" w:hAnsi="宋体"/>
          <w:bCs/>
          <w:color w:val="auto"/>
          <w:szCs w:val="20"/>
        </w:rPr>
        <w:t>查询</w:t>
      </w:r>
      <w:r>
        <w:rPr>
          <w:rFonts w:hint="eastAsia" w:ascii="宋体" w:hAnsi="宋体"/>
          <w:bCs/>
          <w:color w:val="auto"/>
          <w:szCs w:val="20"/>
        </w:rPr>
        <w:t>，同时对信息查询记录和证据截图或下载存档；2、若分公司投标：供应商为非独立法人（即由合法法人依法建立的分公司），除了对供应商进行信息查询外，同时对总公司的信息查询记录和证据截图或下载存档。）</w:t>
      </w:r>
    </w:p>
    <w:p>
      <w:pPr>
        <w:pStyle w:val="90"/>
        <w:numPr>
          <w:ilvl w:val="0"/>
          <w:numId w:val="3"/>
        </w:numPr>
        <w:adjustRightInd w:val="0"/>
        <w:snapToGrid w:val="0"/>
        <w:spacing w:line="360" w:lineRule="auto"/>
        <w:ind w:left="284" w:hanging="284" w:firstLineChars="0"/>
        <w:rPr>
          <w:bCs/>
          <w:color w:val="auto"/>
          <w:szCs w:val="21"/>
        </w:rPr>
      </w:pPr>
      <w:r>
        <w:rPr>
          <w:rFonts w:hint="eastAsia"/>
          <w:bCs/>
          <w:color w:val="auto"/>
          <w:szCs w:val="21"/>
        </w:rPr>
        <w:t>已办理报名并成功购买本招标文件的供应商。</w:t>
      </w:r>
    </w:p>
    <w:p>
      <w:pPr>
        <w:numPr>
          <w:ilvl w:val="0"/>
          <w:numId w:val="2"/>
        </w:numPr>
        <w:tabs>
          <w:tab w:val="left" w:pos="142"/>
          <w:tab w:val="left" w:pos="426"/>
        </w:tabs>
        <w:adjustRightInd w:val="0"/>
        <w:snapToGrid w:val="0"/>
        <w:spacing w:line="360" w:lineRule="auto"/>
        <w:ind w:firstLine="0"/>
        <w:rPr>
          <w:rFonts w:ascii="宋体" w:hAnsi="宋体"/>
          <w:b/>
          <w:color w:val="auto"/>
          <w:szCs w:val="20"/>
        </w:rPr>
      </w:pPr>
      <w:r>
        <w:rPr>
          <w:rFonts w:hint="eastAsia" w:ascii="宋体" w:hAnsi="宋体"/>
          <w:b/>
          <w:color w:val="auto"/>
          <w:szCs w:val="21"/>
        </w:rPr>
        <w:t>获取招标文件</w:t>
      </w:r>
    </w:p>
    <w:p>
      <w:pPr>
        <w:tabs>
          <w:tab w:val="left" w:pos="709"/>
        </w:tabs>
        <w:adjustRightInd w:val="0"/>
        <w:snapToGrid w:val="0"/>
        <w:spacing w:line="360" w:lineRule="auto"/>
        <w:ind w:firstLine="420" w:firstLineChars="20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时间：</w:t>
      </w:r>
      <w:r>
        <w:rPr>
          <w:rFonts w:cs="宋体" w:asciiTheme="minorEastAsia" w:hAnsiTheme="minorEastAsia" w:eastAsiaTheme="minorEastAsia"/>
          <w:color w:val="auto"/>
          <w:szCs w:val="21"/>
        </w:rPr>
        <w:t>202</w:t>
      </w:r>
      <w:r>
        <w:rPr>
          <w:rFonts w:hint="eastAsia" w:cs="宋体" w:asciiTheme="minorEastAsia" w:hAnsiTheme="minorEastAsia" w:eastAsiaTheme="minorEastAsia"/>
          <w:color w:val="auto"/>
          <w:szCs w:val="21"/>
        </w:rPr>
        <w:t>1年</w:t>
      </w:r>
      <w:r>
        <w:rPr>
          <w:rFonts w:hint="eastAsia" w:cs="宋体" w:asciiTheme="minorEastAsia" w:hAnsiTheme="minorEastAsia" w:eastAsiaTheme="minorEastAsia"/>
          <w:color w:val="auto"/>
          <w:szCs w:val="21"/>
          <w:lang w:val="en-US" w:eastAsia="zh-CN"/>
        </w:rPr>
        <w:t>4</w:t>
      </w:r>
      <w:r>
        <w:rPr>
          <w:rFonts w:hint="eastAsia" w:cs="宋体" w:asciiTheme="minorEastAsia" w:hAnsiTheme="minorEastAsia" w:eastAsiaTheme="minorEastAsia"/>
          <w:color w:val="auto"/>
          <w:szCs w:val="21"/>
        </w:rPr>
        <w:t>月</w:t>
      </w:r>
      <w:r>
        <w:rPr>
          <w:rFonts w:hint="eastAsia" w:cs="宋体" w:asciiTheme="minorEastAsia" w:hAnsiTheme="minorEastAsia" w:eastAsiaTheme="minorEastAsia"/>
          <w:color w:val="auto"/>
          <w:szCs w:val="21"/>
          <w:lang w:val="en-US" w:eastAsia="zh-CN"/>
        </w:rPr>
        <w:t>9</w:t>
      </w:r>
      <w:r>
        <w:rPr>
          <w:rFonts w:hint="eastAsia" w:cs="宋体" w:asciiTheme="minorEastAsia" w:hAnsiTheme="minorEastAsia" w:eastAsiaTheme="minorEastAsia"/>
          <w:color w:val="auto"/>
          <w:szCs w:val="21"/>
        </w:rPr>
        <w:t>日至</w:t>
      </w:r>
      <w:r>
        <w:rPr>
          <w:rFonts w:cs="宋体" w:asciiTheme="minorEastAsia" w:hAnsiTheme="minorEastAsia" w:eastAsiaTheme="minorEastAsia"/>
          <w:color w:val="auto"/>
          <w:szCs w:val="21"/>
        </w:rPr>
        <w:t>202</w:t>
      </w:r>
      <w:r>
        <w:rPr>
          <w:rFonts w:hint="eastAsia" w:cs="宋体" w:asciiTheme="minorEastAsia" w:hAnsiTheme="minorEastAsia" w:eastAsiaTheme="minorEastAsia"/>
          <w:color w:val="auto"/>
          <w:szCs w:val="21"/>
        </w:rPr>
        <w:t>1年</w:t>
      </w:r>
      <w:r>
        <w:rPr>
          <w:rFonts w:hint="eastAsia" w:ascii="宋体" w:hAnsi="宋体" w:eastAsiaTheme="minorEastAsia"/>
          <w:color w:val="auto"/>
          <w:szCs w:val="21"/>
          <w:lang w:val="en-US" w:eastAsia="zh-CN"/>
        </w:rPr>
        <w:t>4</w:t>
      </w:r>
      <w:r>
        <w:rPr>
          <w:rFonts w:hint="eastAsia" w:cs="宋体" w:asciiTheme="minorEastAsia" w:hAnsiTheme="minorEastAsia" w:eastAsiaTheme="minorEastAsia"/>
          <w:color w:val="auto"/>
          <w:szCs w:val="21"/>
        </w:rPr>
        <w:t>月</w:t>
      </w:r>
      <w:r>
        <w:rPr>
          <w:rFonts w:hint="eastAsia" w:cs="宋体" w:asciiTheme="minorEastAsia" w:hAnsiTheme="minorEastAsia" w:eastAsiaTheme="minorEastAsia"/>
          <w:color w:val="auto"/>
          <w:szCs w:val="21"/>
          <w:lang w:val="en-US" w:eastAsia="zh-CN"/>
        </w:rPr>
        <w:t>16</w:t>
      </w:r>
      <w:r>
        <w:rPr>
          <w:rFonts w:hint="eastAsia" w:cs="宋体" w:asciiTheme="minorEastAsia" w:hAnsiTheme="minorEastAsia" w:eastAsiaTheme="minorEastAsia"/>
          <w:color w:val="auto"/>
          <w:szCs w:val="21"/>
        </w:rPr>
        <w:t>日</w:t>
      </w:r>
      <w:r>
        <w:rPr>
          <w:rFonts w:hint="eastAsia" w:cs="宋体" w:asciiTheme="minorEastAsia" w:hAnsiTheme="minorEastAsia" w:eastAsiaTheme="minorEastAsia"/>
          <w:color w:val="auto"/>
          <w:szCs w:val="21"/>
        </w:rPr>
        <w:t>，每天上午0</w:t>
      </w:r>
      <w:r>
        <w:rPr>
          <w:rFonts w:cs="宋体" w:asciiTheme="minorEastAsia" w:hAnsiTheme="minorEastAsia" w:eastAsiaTheme="minorEastAsia"/>
          <w:color w:val="auto"/>
          <w:szCs w:val="21"/>
        </w:rPr>
        <w:t>9</w:t>
      </w:r>
      <w:r>
        <w:rPr>
          <w:rFonts w:hint="eastAsia" w:cs="宋体" w:asciiTheme="minorEastAsia" w:hAnsiTheme="minorEastAsia" w:eastAsiaTheme="minorEastAsia"/>
          <w:color w:val="auto"/>
          <w:szCs w:val="21"/>
        </w:rPr>
        <w:t>:00至1</w:t>
      </w:r>
      <w:r>
        <w:rPr>
          <w:rFonts w:cs="宋体" w:asciiTheme="minorEastAsia" w:hAnsiTheme="minorEastAsia" w:eastAsiaTheme="minorEastAsia"/>
          <w:color w:val="auto"/>
          <w:szCs w:val="21"/>
        </w:rPr>
        <w:t>2:00</w:t>
      </w:r>
      <w:r>
        <w:rPr>
          <w:rFonts w:hint="eastAsia" w:cs="宋体" w:asciiTheme="minorEastAsia" w:hAnsiTheme="minorEastAsia" w:eastAsiaTheme="minorEastAsia"/>
          <w:color w:val="auto"/>
          <w:szCs w:val="21"/>
        </w:rPr>
        <w:t>，下午1</w:t>
      </w:r>
      <w:r>
        <w:rPr>
          <w:rFonts w:cs="宋体" w:asciiTheme="minorEastAsia" w:hAnsiTheme="minorEastAsia" w:eastAsiaTheme="minorEastAsia"/>
          <w:color w:val="auto"/>
          <w:szCs w:val="21"/>
        </w:rPr>
        <w:t>4:30</w:t>
      </w:r>
      <w:r>
        <w:rPr>
          <w:rFonts w:hint="eastAsia" w:cs="宋体" w:asciiTheme="minorEastAsia" w:hAnsiTheme="minorEastAsia" w:eastAsiaTheme="minorEastAsia"/>
          <w:color w:val="auto"/>
          <w:szCs w:val="21"/>
        </w:rPr>
        <w:t>至1</w:t>
      </w:r>
      <w:r>
        <w:rPr>
          <w:rFonts w:cs="宋体" w:asciiTheme="minorEastAsia" w:hAnsiTheme="minorEastAsia" w:eastAsiaTheme="minorEastAsia"/>
          <w:color w:val="auto"/>
          <w:szCs w:val="21"/>
        </w:rPr>
        <w:t>7:30</w:t>
      </w:r>
      <w:r>
        <w:rPr>
          <w:rFonts w:hint="eastAsia" w:cs="宋体" w:asciiTheme="minorEastAsia" w:hAnsiTheme="minorEastAsia" w:eastAsiaTheme="minorEastAsia"/>
          <w:color w:val="auto"/>
          <w:szCs w:val="21"/>
        </w:rPr>
        <w:t>（北京时间，</w:t>
      </w:r>
      <w:r>
        <w:rPr>
          <w:rFonts w:cs="宋体" w:asciiTheme="minorEastAsia" w:hAnsiTheme="minorEastAsia" w:eastAsiaTheme="minorEastAsia"/>
          <w:color w:val="auto"/>
          <w:szCs w:val="21"/>
        </w:rPr>
        <w:t>法定节假日</w:t>
      </w:r>
      <w:r>
        <w:rPr>
          <w:rFonts w:hint="eastAsia" w:cs="宋体" w:asciiTheme="minorEastAsia" w:hAnsiTheme="minorEastAsia" w:eastAsiaTheme="minorEastAsia"/>
          <w:color w:val="auto"/>
          <w:szCs w:val="21"/>
        </w:rPr>
        <w:t>除外）</w:t>
      </w:r>
    </w:p>
    <w:p>
      <w:pPr>
        <w:pStyle w:val="90"/>
        <w:tabs>
          <w:tab w:val="left" w:pos="709"/>
        </w:tabs>
        <w:adjustRightInd w:val="0"/>
        <w:snapToGrid w:val="0"/>
        <w:spacing w:line="360" w:lineRule="auto"/>
        <w:ind w:left="425" w:firstLine="0" w:firstLineChars="0"/>
        <w:rPr>
          <w:rFonts w:ascii="宋体" w:hAnsi="宋体" w:eastAsiaTheme="minorEastAsia"/>
          <w:bCs/>
          <w:color w:val="auto"/>
          <w:szCs w:val="20"/>
        </w:rPr>
      </w:pPr>
      <w:r>
        <w:rPr>
          <w:rFonts w:hint="eastAsia" w:cs="宋体" w:asciiTheme="minorEastAsia" w:hAnsiTheme="minorEastAsia" w:eastAsiaTheme="minorEastAsia"/>
          <w:color w:val="auto"/>
          <w:szCs w:val="21"/>
        </w:rPr>
        <w:t>地点：</w:t>
      </w:r>
      <w:r>
        <w:rPr>
          <w:rFonts w:hint="eastAsia" w:asciiTheme="minorEastAsia" w:hAnsiTheme="minorEastAsia" w:eastAsiaTheme="minorEastAsia"/>
          <w:color w:val="auto"/>
          <w:szCs w:val="21"/>
        </w:rPr>
        <w:t>广州市天河区天寿路31号江河大厦20楼广东公信招标有限公司</w:t>
      </w:r>
    </w:p>
    <w:p>
      <w:pPr>
        <w:tabs>
          <w:tab w:val="left" w:pos="709"/>
        </w:tabs>
        <w:adjustRightInd w:val="0"/>
        <w:snapToGrid w:val="0"/>
        <w:spacing w:line="360" w:lineRule="auto"/>
        <w:ind w:firstLine="420" w:firstLineChars="200"/>
        <w:rPr>
          <w:rFonts w:ascii="宋体" w:hAnsi="宋体"/>
          <w:b/>
          <w:color w:val="auto"/>
          <w:szCs w:val="21"/>
        </w:rPr>
      </w:pPr>
      <w:r>
        <w:rPr>
          <w:rFonts w:hint="eastAsia" w:cs="宋体" w:asciiTheme="minorEastAsia" w:hAnsiTheme="minorEastAsia" w:eastAsiaTheme="minorEastAsia"/>
          <w:color w:val="auto"/>
          <w:szCs w:val="21"/>
        </w:rPr>
        <w:t>方式：（1）线下获取</w:t>
      </w:r>
      <w:r>
        <w:rPr>
          <w:rFonts w:cs="宋体" w:asciiTheme="minorEastAsia" w:hAnsiTheme="minorEastAsia" w:eastAsiaTheme="minorEastAsia"/>
          <w:color w:val="auto"/>
          <w:szCs w:val="21"/>
        </w:rPr>
        <w:t>方式</w:t>
      </w:r>
      <w:r>
        <w:rPr>
          <w:rFonts w:hint="eastAsia" w:cs="宋体" w:asciiTheme="minorEastAsia" w:hAnsiTheme="minorEastAsia" w:eastAsiaTheme="minorEastAsia"/>
          <w:color w:val="auto"/>
          <w:szCs w:val="21"/>
        </w:rPr>
        <w:t>：供应商携带报名资料至广州市天河区天寿路31号江河大厦20楼进行购买，缴纳标书款后，即可成功获取纸质招标文件及电子招标文件。（2）线上获取方式：供应商将报名资料扫描发送至gzgx83064349@163.com，缴纳标书款后，即可成功获取电子招标文件。如需纸质招标文件，供应商可至广州市天河区天寿路31号江河大厦20楼领取或可采用邮寄（到付）的方式，广东公信招标有限公司对邮寄过程中的遗失概不负责。（3）报名</w:t>
      </w:r>
      <w:r>
        <w:rPr>
          <w:rFonts w:cs="宋体" w:asciiTheme="minorEastAsia" w:hAnsiTheme="minorEastAsia" w:eastAsiaTheme="minorEastAsia"/>
          <w:color w:val="auto"/>
          <w:szCs w:val="21"/>
        </w:rPr>
        <w:t>资料</w:t>
      </w:r>
      <w:r>
        <w:rPr>
          <w:rFonts w:hint="eastAsia" w:cs="宋体" w:asciiTheme="minorEastAsia" w:hAnsiTheme="minorEastAsia" w:eastAsiaTheme="minorEastAsia"/>
          <w:color w:val="auto"/>
          <w:szCs w:val="21"/>
        </w:rPr>
        <w:t>及</w:t>
      </w:r>
      <w:r>
        <w:rPr>
          <w:rFonts w:cs="宋体" w:asciiTheme="minorEastAsia" w:hAnsiTheme="minorEastAsia" w:eastAsiaTheme="minorEastAsia"/>
          <w:color w:val="auto"/>
          <w:szCs w:val="21"/>
        </w:rPr>
        <w:t>标书款缴纳账号详见</w:t>
      </w:r>
      <w:r>
        <w:rPr>
          <w:rFonts w:hint="eastAsia" w:cs="宋体" w:asciiTheme="minorEastAsia" w:hAnsiTheme="minorEastAsia" w:eastAsiaTheme="minorEastAsia"/>
          <w:color w:val="auto"/>
          <w:szCs w:val="21"/>
        </w:rPr>
        <w:t>下述“（一）其他</w:t>
      </w:r>
      <w:r>
        <w:rPr>
          <w:rFonts w:cs="宋体" w:asciiTheme="minorEastAsia" w:hAnsiTheme="minorEastAsia" w:eastAsiaTheme="minorEastAsia"/>
          <w:color w:val="auto"/>
          <w:szCs w:val="21"/>
        </w:rPr>
        <w:t>补充事宜</w:t>
      </w:r>
      <w:r>
        <w:rPr>
          <w:rFonts w:hint="eastAsia" w:cs="宋体" w:asciiTheme="minorEastAsia" w:hAnsiTheme="minorEastAsia" w:eastAsiaTheme="minorEastAsia"/>
          <w:color w:val="auto"/>
          <w:szCs w:val="21"/>
        </w:rPr>
        <w:t>”</w:t>
      </w:r>
      <w:r>
        <w:rPr>
          <w:rFonts w:cs="宋体" w:asciiTheme="minorEastAsia" w:hAnsiTheme="minorEastAsia" w:eastAsiaTheme="minorEastAsia"/>
          <w:color w:val="auto"/>
          <w:szCs w:val="21"/>
        </w:rPr>
        <w:t>。</w:t>
      </w:r>
    </w:p>
    <w:p>
      <w:pPr>
        <w:pStyle w:val="90"/>
        <w:tabs>
          <w:tab w:val="left" w:pos="709"/>
        </w:tabs>
        <w:adjustRightInd w:val="0"/>
        <w:snapToGrid w:val="0"/>
        <w:spacing w:line="360" w:lineRule="auto"/>
        <w:ind w:left="425"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售价（</w:t>
      </w:r>
      <w:r>
        <w:rPr>
          <w:rFonts w:cs="宋体" w:asciiTheme="minorEastAsia" w:hAnsiTheme="minorEastAsia" w:eastAsiaTheme="minorEastAsia"/>
          <w:color w:val="auto"/>
          <w:szCs w:val="21"/>
        </w:rPr>
        <w:t>元）</w:t>
      </w:r>
      <w:r>
        <w:rPr>
          <w:rFonts w:hint="eastAsia" w:cs="宋体" w:asciiTheme="minorEastAsia" w:hAnsiTheme="minorEastAsia" w:eastAsiaTheme="minorEastAsia"/>
          <w:color w:val="auto"/>
          <w:szCs w:val="21"/>
        </w:rPr>
        <w:t>：300</w:t>
      </w:r>
      <w:r>
        <w:rPr>
          <w:rFonts w:hint="eastAsia" w:ascii="宋体" w:hAnsi="宋体"/>
          <w:color w:val="auto"/>
          <w:szCs w:val="21"/>
        </w:rPr>
        <w:t>，售后不退</w:t>
      </w:r>
      <w:r>
        <w:rPr>
          <w:rFonts w:hint="eastAsia" w:cs="宋体" w:asciiTheme="minorEastAsia" w:hAnsiTheme="minorEastAsia" w:eastAsiaTheme="minorEastAsia"/>
          <w:color w:val="auto"/>
          <w:szCs w:val="21"/>
        </w:rPr>
        <w:t>。</w:t>
      </w:r>
    </w:p>
    <w:p>
      <w:pPr>
        <w:pStyle w:val="90"/>
        <w:tabs>
          <w:tab w:val="left" w:pos="709"/>
        </w:tabs>
        <w:adjustRightInd w:val="0"/>
        <w:snapToGrid w:val="0"/>
        <w:spacing w:line="360" w:lineRule="auto"/>
        <w:ind w:left="425" w:firstLine="0" w:firstLineChars="0"/>
        <w:rPr>
          <w:rFonts w:cs="宋体" w:asciiTheme="minorEastAsia" w:hAnsiTheme="minorEastAsia" w:eastAsiaTheme="minorEastAsia"/>
          <w:b/>
          <w:color w:val="auto"/>
          <w:szCs w:val="21"/>
        </w:rPr>
      </w:pPr>
      <w:bookmarkStart w:id="7" w:name="_Toc35393795"/>
      <w:bookmarkStart w:id="8" w:name="_Toc35393626"/>
      <w:r>
        <w:rPr>
          <w:rFonts w:hint="eastAsia" w:cs="宋体" w:asciiTheme="minorEastAsia" w:hAnsiTheme="minorEastAsia" w:eastAsiaTheme="minorEastAsia"/>
          <w:b/>
          <w:color w:val="auto"/>
          <w:szCs w:val="21"/>
        </w:rPr>
        <w:t>（一）其他补充事宜</w:t>
      </w:r>
      <w:bookmarkEnd w:id="7"/>
      <w:bookmarkEnd w:id="8"/>
      <w:r>
        <w:rPr>
          <w:rFonts w:hint="eastAsia" w:cs="宋体" w:asciiTheme="minorEastAsia" w:hAnsiTheme="minorEastAsia" w:eastAsiaTheme="minorEastAsia"/>
          <w:b/>
          <w:color w:val="auto"/>
          <w:szCs w:val="21"/>
        </w:rPr>
        <w:t>：</w:t>
      </w:r>
    </w:p>
    <w:p>
      <w:pPr>
        <w:pStyle w:val="90"/>
        <w:numPr>
          <w:ilvl w:val="0"/>
          <w:numId w:val="4"/>
        </w:numPr>
        <w:adjustRightInd w:val="0"/>
        <w:snapToGrid w:val="0"/>
        <w:spacing w:line="360" w:lineRule="auto"/>
        <w:ind w:firstLineChars="0"/>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获取招标文件时，供应商代表须提供以下资料（加盖供应商单位公章）：</w:t>
      </w:r>
    </w:p>
    <w:p>
      <w:pPr>
        <w:pStyle w:val="90"/>
        <w:numPr>
          <w:ilvl w:val="0"/>
          <w:numId w:val="5"/>
        </w:numPr>
        <w:adjustRightInd w:val="0"/>
        <w:snapToGrid w:val="0"/>
        <w:spacing w:line="360" w:lineRule="auto"/>
        <w:ind w:left="306" w:hanging="306" w:firstLineChars="0"/>
        <w:rPr>
          <w:rFonts w:ascii="宋体" w:hAnsi="宋体"/>
          <w:bCs/>
          <w:color w:val="auto"/>
          <w:szCs w:val="21"/>
        </w:rPr>
      </w:pPr>
      <w:r>
        <w:rPr>
          <w:rFonts w:hint="eastAsia" w:ascii="宋体" w:hAnsi="宋体"/>
          <w:bCs/>
          <w:color w:val="auto"/>
          <w:szCs w:val="21"/>
        </w:rPr>
        <w:t>提供在中华人民共和国境内注册的营业执照（或事业单位法人证书，或社会团体法人登记证书，或执业许可证）复印件（1、如非“多证合一”证照，同时提供组织机构代码证复印件和税务登记证复印件；若分公司投标：供应商为非独立法人（即由合法法人依法建立的分公司），须同时提供具有法人资格的总公司的营业执照复印件及总公司对分公司出具的有效授权书原件。已由总公司授权的，总公司取得的相关资质证书对分公司有效。法律法规或者行业另有规定的除外）；</w:t>
      </w:r>
      <w:r>
        <w:rPr>
          <w:rFonts w:hint="eastAsia" w:ascii="宋体" w:hAnsi="宋体"/>
          <w:color w:val="auto"/>
          <w:szCs w:val="21"/>
        </w:rPr>
        <w:t>如投标人为自然人的需提供自然人身份证明。</w:t>
      </w:r>
    </w:p>
    <w:p>
      <w:pPr>
        <w:pStyle w:val="90"/>
        <w:numPr>
          <w:ilvl w:val="0"/>
          <w:numId w:val="5"/>
        </w:numPr>
        <w:adjustRightInd w:val="0"/>
        <w:snapToGrid w:val="0"/>
        <w:spacing w:line="360" w:lineRule="auto"/>
        <w:ind w:left="306" w:hanging="306" w:firstLineChars="0"/>
        <w:rPr>
          <w:rFonts w:ascii="宋体" w:hAnsi="宋体"/>
          <w:bCs/>
          <w:color w:val="auto"/>
          <w:szCs w:val="21"/>
        </w:rPr>
      </w:pPr>
      <w:r>
        <w:rPr>
          <w:rFonts w:hint="eastAsia" w:ascii="宋体" w:hAnsi="宋体"/>
          <w:bCs/>
          <w:color w:val="auto"/>
          <w:szCs w:val="21"/>
        </w:rPr>
        <w:t>法定代表人证明书及法定代表人身份证复印件和法定代表人授权委托书及授权代表身份证复印件；（如法定代表人亲自办理获取招标文件事宜的，无需提交法定代表人授权委托书及授权代表身份证复印件）。</w:t>
      </w:r>
    </w:p>
    <w:p>
      <w:pPr>
        <w:pStyle w:val="90"/>
        <w:numPr>
          <w:ilvl w:val="0"/>
          <w:numId w:val="5"/>
        </w:numPr>
        <w:tabs>
          <w:tab w:val="left" w:pos="426"/>
        </w:tabs>
        <w:adjustRightInd w:val="0"/>
        <w:snapToGrid w:val="0"/>
        <w:spacing w:line="360" w:lineRule="auto"/>
        <w:ind w:left="306" w:hanging="306" w:firstLineChars="0"/>
        <w:rPr>
          <w:rFonts w:ascii="宋体" w:hAnsi="宋体"/>
          <w:bCs/>
          <w:color w:val="auto"/>
          <w:szCs w:val="21"/>
        </w:rPr>
      </w:pPr>
      <w:r>
        <w:rPr>
          <w:rFonts w:hint="eastAsia" w:ascii="宋体" w:hAnsi="宋体"/>
          <w:bCs/>
          <w:color w:val="auto"/>
          <w:szCs w:val="21"/>
        </w:rPr>
        <w:t>《采购文件获取登记表》（可现场填写或在</w:t>
      </w:r>
      <w:r>
        <w:rPr>
          <w:rFonts w:hint="eastAsia" w:ascii="宋体" w:hAnsi="宋体"/>
          <w:color w:val="auto"/>
          <w:szCs w:val="21"/>
        </w:rPr>
        <w:t>广东公信招标有限公司</w:t>
      </w:r>
      <w:r>
        <w:rPr>
          <w:rFonts w:hint="eastAsia" w:ascii="宋体" w:hAnsi="宋体"/>
          <w:bCs/>
          <w:color w:val="auto"/>
          <w:szCs w:val="21"/>
        </w:rPr>
        <w:t>网站（</w:t>
      </w:r>
      <w:r>
        <w:rPr>
          <w:rFonts w:ascii="宋体" w:hAnsi="宋体"/>
          <w:bCs/>
          <w:color w:val="auto"/>
          <w:szCs w:val="21"/>
        </w:rPr>
        <w:t>http://www.gzgxzb.com/</w:t>
      </w:r>
      <w:r>
        <w:rPr>
          <w:rFonts w:hint="eastAsia" w:ascii="宋体" w:hAnsi="宋体"/>
          <w:bCs/>
          <w:color w:val="auto"/>
          <w:szCs w:val="21"/>
        </w:rPr>
        <w:t>）“下载中心”下载）。</w:t>
      </w:r>
    </w:p>
    <w:p>
      <w:pPr>
        <w:pStyle w:val="90"/>
        <w:numPr>
          <w:ilvl w:val="0"/>
          <w:numId w:val="4"/>
        </w:numPr>
        <w:adjustRightInd w:val="0"/>
        <w:snapToGrid w:val="0"/>
        <w:spacing w:line="360" w:lineRule="auto"/>
        <w:ind w:firstLineChars="0"/>
        <w:rPr>
          <w:bCs/>
          <w:color w:val="auto"/>
          <w:szCs w:val="21"/>
        </w:rPr>
      </w:pPr>
      <w:r>
        <w:rPr>
          <w:rFonts w:hint="eastAsia" w:ascii="宋体" w:hAnsi="宋体"/>
          <w:b/>
          <w:bCs/>
          <w:color w:val="auto"/>
          <w:szCs w:val="21"/>
        </w:rPr>
        <w:t>接受标书款项的对公账号</w:t>
      </w:r>
      <w:r>
        <w:rPr>
          <w:rFonts w:hint="eastAsia"/>
          <w:bCs/>
          <w:color w:val="auto"/>
          <w:szCs w:val="21"/>
        </w:rPr>
        <w:t>（请注明项目编号</w:t>
      </w:r>
      <w:r>
        <w:rPr>
          <w:rFonts w:hint="eastAsia" w:ascii="宋体" w:hAnsi="宋体"/>
          <w:bCs/>
          <w:color w:val="auto"/>
        </w:rPr>
        <w:t>GZGX21GZ00QY-45</w:t>
      </w:r>
      <w:r>
        <w:rPr>
          <w:rFonts w:hint="eastAsia"/>
          <w:bCs/>
          <w:color w:val="auto"/>
          <w:szCs w:val="21"/>
        </w:rPr>
        <w:t>标书费）：</w:t>
      </w:r>
    </w:p>
    <w:p>
      <w:pPr>
        <w:pStyle w:val="35"/>
        <w:adjustRightInd w:val="0"/>
        <w:snapToGrid w:val="0"/>
        <w:spacing w:before="0" w:beforeAutospacing="0" w:after="0" w:afterAutospacing="0" w:line="360" w:lineRule="auto"/>
        <w:ind w:firstLine="424" w:firstLineChars="202"/>
        <w:rPr>
          <w:bCs/>
          <w:color w:val="auto"/>
          <w:kern w:val="2"/>
          <w:sz w:val="21"/>
          <w:szCs w:val="21"/>
        </w:rPr>
      </w:pPr>
      <w:r>
        <w:rPr>
          <w:rFonts w:hint="eastAsia"/>
          <w:bCs/>
          <w:color w:val="auto"/>
          <w:kern w:val="2"/>
          <w:sz w:val="21"/>
          <w:szCs w:val="21"/>
        </w:rPr>
        <w:t>户名：广东公信招标有限公司</w:t>
      </w:r>
    </w:p>
    <w:p>
      <w:pPr>
        <w:pStyle w:val="35"/>
        <w:adjustRightInd w:val="0"/>
        <w:snapToGrid w:val="0"/>
        <w:spacing w:before="0" w:beforeAutospacing="0" w:after="0" w:afterAutospacing="0" w:line="360" w:lineRule="auto"/>
        <w:ind w:firstLine="424" w:firstLineChars="202"/>
        <w:rPr>
          <w:bCs/>
          <w:color w:val="auto"/>
          <w:kern w:val="2"/>
          <w:sz w:val="21"/>
          <w:szCs w:val="21"/>
        </w:rPr>
      </w:pPr>
      <w:r>
        <w:rPr>
          <w:rFonts w:hint="eastAsia"/>
          <w:bCs/>
          <w:color w:val="auto"/>
          <w:kern w:val="2"/>
          <w:sz w:val="21"/>
          <w:szCs w:val="21"/>
        </w:rPr>
        <w:t>账号：120913829410909</w:t>
      </w:r>
    </w:p>
    <w:p>
      <w:pPr>
        <w:pStyle w:val="35"/>
        <w:widowControl w:val="0"/>
        <w:adjustRightInd w:val="0"/>
        <w:snapToGrid w:val="0"/>
        <w:spacing w:before="0" w:beforeAutospacing="0" w:after="0" w:afterAutospacing="0" w:line="360" w:lineRule="auto"/>
        <w:ind w:firstLine="424" w:firstLineChars="202"/>
        <w:jc w:val="both"/>
        <w:rPr>
          <w:bCs/>
          <w:color w:val="auto"/>
          <w:kern w:val="2"/>
          <w:sz w:val="21"/>
          <w:szCs w:val="21"/>
        </w:rPr>
      </w:pPr>
      <w:r>
        <w:rPr>
          <w:rFonts w:hint="eastAsia"/>
          <w:bCs/>
          <w:color w:val="auto"/>
          <w:kern w:val="2"/>
          <w:sz w:val="21"/>
          <w:szCs w:val="21"/>
        </w:rPr>
        <w:t>开户行：招商银行广州分行体育东路支行</w:t>
      </w:r>
    </w:p>
    <w:p>
      <w:pPr>
        <w:pStyle w:val="90"/>
        <w:numPr>
          <w:ilvl w:val="0"/>
          <w:numId w:val="4"/>
        </w:numPr>
        <w:adjustRightInd w:val="0"/>
        <w:snapToGrid w:val="0"/>
        <w:spacing w:line="360" w:lineRule="auto"/>
        <w:ind w:firstLineChars="0"/>
        <w:rPr>
          <w:rFonts w:cs="宋体" w:asciiTheme="minorEastAsia" w:hAnsiTheme="minorEastAsia" w:eastAsiaTheme="minorEastAsia"/>
          <w:color w:val="auto"/>
          <w:szCs w:val="21"/>
        </w:rPr>
      </w:pPr>
      <w:r>
        <w:rPr>
          <w:rFonts w:hint="eastAsia"/>
          <w:b/>
          <w:bCs/>
          <w:color w:val="auto"/>
          <w:szCs w:val="21"/>
        </w:rPr>
        <w:t>已成功办理招标文件获取</w:t>
      </w:r>
      <w:r>
        <w:rPr>
          <w:b/>
          <w:bCs/>
          <w:color w:val="auto"/>
          <w:szCs w:val="21"/>
        </w:rPr>
        <w:t>登记</w:t>
      </w:r>
      <w:r>
        <w:rPr>
          <w:rFonts w:hint="eastAsia"/>
          <w:b/>
          <w:color w:val="auto"/>
          <w:szCs w:val="21"/>
        </w:rPr>
        <w:t>的供应商参加投标的，不代表通过资格性、符合性审查。</w:t>
      </w:r>
    </w:p>
    <w:p>
      <w:pPr>
        <w:numPr>
          <w:ilvl w:val="0"/>
          <w:numId w:val="2"/>
        </w:numPr>
        <w:tabs>
          <w:tab w:val="left" w:pos="142"/>
          <w:tab w:val="left" w:pos="426"/>
        </w:tabs>
        <w:adjustRightInd w:val="0"/>
        <w:snapToGrid w:val="0"/>
        <w:spacing w:line="360" w:lineRule="auto"/>
        <w:ind w:firstLine="0"/>
        <w:rPr>
          <w:rFonts w:ascii="宋体" w:hAnsi="宋体"/>
          <w:bCs/>
          <w:color w:val="auto"/>
          <w:szCs w:val="20"/>
        </w:rPr>
      </w:pPr>
      <w:r>
        <w:rPr>
          <w:rFonts w:hint="eastAsia" w:ascii="宋体"/>
          <w:bCs/>
          <w:color w:val="auto"/>
          <w:szCs w:val="20"/>
        </w:rPr>
        <w:t>投标截止</w:t>
      </w:r>
      <w:r>
        <w:rPr>
          <w:rFonts w:hint="eastAsia" w:ascii="宋体" w:hAnsi="宋体"/>
          <w:bCs/>
          <w:color w:val="auto"/>
          <w:szCs w:val="20"/>
        </w:rPr>
        <w:t>时间：</w:t>
      </w:r>
      <w:r>
        <w:rPr>
          <w:rFonts w:hint="eastAsia" w:ascii="宋体" w:hAnsi="宋体"/>
          <w:bCs/>
          <w:color w:val="auto"/>
          <w:szCs w:val="20"/>
        </w:rPr>
        <w:t>2021年</w:t>
      </w:r>
      <w:r>
        <w:rPr>
          <w:rFonts w:hint="eastAsia" w:ascii="宋体" w:hAnsi="宋体"/>
          <w:bCs/>
          <w:color w:val="auto"/>
          <w:szCs w:val="20"/>
          <w:lang w:val="en-US" w:eastAsia="zh-CN"/>
        </w:rPr>
        <w:t>4</w:t>
      </w:r>
      <w:r>
        <w:rPr>
          <w:rFonts w:hint="eastAsia" w:ascii="宋体" w:hAnsi="宋体"/>
          <w:bCs/>
          <w:color w:val="auto"/>
          <w:szCs w:val="20"/>
        </w:rPr>
        <w:t>月</w:t>
      </w:r>
      <w:r>
        <w:rPr>
          <w:rFonts w:hint="eastAsia" w:ascii="宋体" w:hAnsi="宋体"/>
          <w:bCs/>
          <w:color w:val="auto"/>
          <w:szCs w:val="20"/>
          <w:lang w:val="en-US" w:eastAsia="zh-CN"/>
        </w:rPr>
        <w:t>30</w:t>
      </w:r>
      <w:r>
        <w:rPr>
          <w:rFonts w:hint="eastAsia" w:ascii="宋体" w:hAnsi="宋体"/>
          <w:bCs/>
          <w:color w:val="auto"/>
          <w:szCs w:val="20"/>
        </w:rPr>
        <w:t>日</w:t>
      </w:r>
      <w:r>
        <w:rPr>
          <w:rFonts w:hint="eastAsia" w:ascii="宋体" w:hAnsi="宋体"/>
          <w:bCs/>
          <w:color w:val="auto"/>
          <w:szCs w:val="20"/>
          <w:lang w:val="en-US" w:eastAsia="zh-CN"/>
        </w:rPr>
        <w:t>10</w:t>
      </w:r>
      <w:r>
        <w:rPr>
          <w:rFonts w:hint="eastAsia" w:ascii="宋体" w:hAnsi="宋体"/>
          <w:color w:val="auto"/>
          <w:szCs w:val="21"/>
        </w:rPr>
        <w:t>:</w:t>
      </w:r>
      <w:r>
        <w:rPr>
          <w:rFonts w:hint="eastAsia" w:ascii="宋体" w:hAnsi="宋体"/>
          <w:color w:val="auto"/>
          <w:szCs w:val="21"/>
          <w:lang w:val="en-US" w:eastAsia="zh-CN"/>
        </w:rPr>
        <w:t>00</w:t>
      </w:r>
      <w:r>
        <w:rPr>
          <w:rFonts w:hint="eastAsia" w:ascii="宋体" w:hAnsi="宋体"/>
          <w:bCs/>
          <w:color w:val="auto"/>
          <w:szCs w:val="20"/>
        </w:rPr>
        <w:t>。</w:t>
      </w:r>
    </w:p>
    <w:p>
      <w:pPr>
        <w:numPr>
          <w:ilvl w:val="0"/>
          <w:numId w:val="2"/>
        </w:numPr>
        <w:tabs>
          <w:tab w:val="left" w:pos="142"/>
          <w:tab w:val="left" w:pos="426"/>
        </w:tabs>
        <w:adjustRightInd w:val="0"/>
        <w:snapToGrid w:val="0"/>
        <w:spacing w:line="360" w:lineRule="auto"/>
        <w:ind w:firstLine="0"/>
        <w:rPr>
          <w:rFonts w:ascii="宋体" w:hAnsi="宋体" w:cs="宋体"/>
          <w:bCs/>
          <w:color w:val="auto"/>
          <w:kern w:val="0"/>
          <w:szCs w:val="21"/>
        </w:rPr>
      </w:pPr>
      <w:r>
        <w:rPr>
          <w:rFonts w:hint="eastAsia" w:ascii="宋体" w:hAnsi="宋体"/>
          <w:bCs/>
          <w:color w:val="auto"/>
          <w:szCs w:val="20"/>
        </w:rPr>
        <w:t>提交投标文件地点：</w:t>
      </w:r>
      <w:r>
        <w:rPr>
          <w:rFonts w:ascii="宋体" w:hAnsi="宋体" w:cs="宋体"/>
          <w:bCs/>
          <w:color w:val="auto"/>
          <w:kern w:val="0"/>
          <w:szCs w:val="21"/>
        </w:rPr>
        <w:t>广州市天河区天寿路31号江河大厦20楼</w:t>
      </w:r>
      <w:r>
        <w:rPr>
          <w:rFonts w:hint="eastAsia" w:ascii="宋体" w:hAnsi="宋体"/>
          <w:color w:val="auto"/>
          <w:szCs w:val="21"/>
        </w:rPr>
        <w:t>广东公信招标有限公司</w:t>
      </w:r>
      <w:r>
        <w:rPr>
          <w:rFonts w:hint="eastAsia" w:ascii="宋体" w:hAnsi="宋体" w:cs="宋体"/>
          <w:bCs/>
          <w:color w:val="auto"/>
          <w:kern w:val="0"/>
          <w:szCs w:val="21"/>
        </w:rPr>
        <w:t>会议室。</w:t>
      </w:r>
    </w:p>
    <w:p>
      <w:pPr>
        <w:numPr>
          <w:ilvl w:val="0"/>
          <w:numId w:val="2"/>
        </w:numPr>
        <w:tabs>
          <w:tab w:val="left" w:pos="142"/>
          <w:tab w:val="left" w:pos="426"/>
        </w:tabs>
        <w:adjustRightInd w:val="0"/>
        <w:snapToGrid w:val="0"/>
        <w:spacing w:line="360" w:lineRule="auto"/>
        <w:ind w:firstLine="0"/>
        <w:rPr>
          <w:rFonts w:ascii="宋体" w:hAnsi="宋体"/>
          <w:bCs/>
          <w:color w:val="auto"/>
          <w:szCs w:val="20"/>
        </w:rPr>
      </w:pPr>
      <w:r>
        <w:rPr>
          <w:rFonts w:hint="eastAsia" w:ascii="宋体" w:hAnsi="宋体"/>
          <w:bCs/>
          <w:color w:val="auto"/>
          <w:szCs w:val="20"/>
        </w:rPr>
        <w:t>开标时间：</w:t>
      </w:r>
      <w:r>
        <w:rPr>
          <w:rFonts w:hint="eastAsia" w:ascii="宋体" w:hAnsi="宋体"/>
          <w:bCs/>
          <w:color w:val="auto"/>
          <w:szCs w:val="20"/>
        </w:rPr>
        <w:t>2021年</w:t>
      </w:r>
      <w:r>
        <w:rPr>
          <w:rFonts w:hint="eastAsia" w:ascii="宋体" w:hAnsi="宋体"/>
          <w:bCs/>
          <w:color w:val="auto"/>
          <w:szCs w:val="20"/>
          <w:lang w:val="en-US" w:eastAsia="zh-CN"/>
        </w:rPr>
        <w:t>4</w:t>
      </w:r>
      <w:r>
        <w:rPr>
          <w:rFonts w:hint="eastAsia" w:ascii="宋体" w:hAnsi="宋体"/>
          <w:bCs/>
          <w:color w:val="auto"/>
          <w:szCs w:val="20"/>
        </w:rPr>
        <w:t>月</w:t>
      </w:r>
      <w:r>
        <w:rPr>
          <w:rFonts w:hint="eastAsia" w:ascii="宋体" w:hAnsi="宋体"/>
          <w:bCs/>
          <w:color w:val="auto"/>
          <w:szCs w:val="20"/>
          <w:lang w:val="en-US" w:eastAsia="zh-CN"/>
        </w:rPr>
        <w:t>30</w:t>
      </w:r>
      <w:r>
        <w:rPr>
          <w:rFonts w:hint="eastAsia" w:ascii="宋体" w:hAnsi="宋体"/>
          <w:bCs/>
          <w:color w:val="auto"/>
          <w:szCs w:val="20"/>
        </w:rPr>
        <w:t>日</w:t>
      </w:r>
      <w:r>
        <w:rPr>
          <w:rFonts w:hint="eastAsia" w:ascii="宋体" w:hAnsi="宋体"/>
          <w:bCs/>
          <w:color w:val="auto"/>
          <w:szCs w:val="20"/>
          <w:lang w:val="en-US" w:eastAsia="zh-CN"/>
        </w:rPr>
        <w:t>10</w:t>
      </w:r>
      <w:r>
        <w:rPr>
          <w:rFonts w:hint="eastAsia" w:ascii="宋体" w:hAnsi="宋体"/>
          <w:color w:val="auto"/>
          <w:szCs w:val="21"/>
        </w:rPr>
        <w:t>:</w:t>
      </w:r>
      <w:r>
        <w:rPr>
          <w:rFonts w:hint="eastAsia" w:ascii="宋体" w:hAnsi="宋体"/>
          <w:color w:val="auto"/>
          <w:szCs w:val="21"/>
          <w:lang w:val="en-US" w:eastAsia="zh-CN"/>
        </w:rPr>
        <w:t>00</w:t>
      </w:r>
      <w:r>
        <w:rPr>
          <w:rFonts w:hint="eastAsia" w:ascii="宋体" w:hAnsi="宋体"/>
          <w:bCs/>
          <w:color w:val="auto"/>
          <w:szCs w:val="20"/>
        </w:rPr>
        <w:t>。</w:t>
      </w:r>
    </w:p>
    <w:p>
      <w:pPr>
        <w:numPr>
          <w:ilvl w:val="0"/>
          <w:numId w:val="2"/>
        </w:numPr>
        <w:tabs>
          <w:tab w:val="left" w:pos="142"/>
          <w:tab w:val="left" w:pos="426"/>
        </w:tabs>
        <w:adjustRightInd w:val="0"/>
        <w:snapToGrid w:val="0"/>
        <w:spacing w:line="360" w:lineRule="auto"/>
        <w:ind w:firstLine="0"/>
        <w:rPr>
          <w:rFonts w:ascii="宋体" w:hAnsi="宋体"/>
          <w:bCs/>
          <w:color w:val="auto"/>
          <w:szCs w:val="20"/>
        </w:rPr>
      </w:pPr>
      <w:r>
        <w:rPr>
          <w:rFonts w:hint="eastAsia" w:ascii="宋体" w:hAnsi="宋体"/>
          <w:bCs/>
          <w:color w:val="auto"/>
          <w:szCs w:val="20"/>
        </w:rPr>
        <w:t>开标地点：</w:t>
      </w:r>
      <w:r>
        <w:rPr>
          <w:rFonts w:ascii="宋体" w:hAnsi="宋体"/>
          <w:color w:val="auto"/>
          <w:szCs w:val="21"/>
        </w:rPr>
        <w:t>广州市天河区天寿路31号江河大厦20楼</w:t>
      </w:r>
      <w:r>
        <w:rPr>
          <w:rFonts w:hint="eastAsia" w:ascii="宋体" w:hAnsi="宋体"/>
          <w:color w:val="auto"/>
          <w:szCs w:val="21"/>
        </w:rPr>
        <w:t>广东公信招标有限公司</w:t>
      </w:r>
      <w:r>
        <w:rPr>
          <w:rFonts w:hint="eastAsia" w:ascii="宋体" w:hAnsi="宋体" w:cs="宋体"/>
          <w:bCs/>
          <w:color w:val="auto"/>
          <w:kern w:val="0"/>
          <w:szCs w:val="21"/>
        </w:rPr>
        <w:t>会议室。</w:t>
      </w:r>
    </w:p>
    <w:p>
      <w:pPr>
        <w:numPr>
          <w:ilvl w:val="0"/>
          <w:numId w:val="2"/>
        </w:numPr>
        <w:tabs>
          <w:tab w:val="left" w:pos="142"/>
          <w:tab w:val="left" w:pos="426"/>
        </w:tabs>
        <w:adjustRightInd w:val="0"/>
        <w:snapToGrid w:val="0"/>
        <w:spacing w:line="360" w:lineRule="auto"/>
        <w:ind w:firstLine="0"/>
        <w:rPr>
          <w:rFonts w:ascii="宋体" w:hAnsi="宋体"/>
          <w:bCs/>
          <w:color w:val="auto"/>
          <w:szCs w:val="20"/>
        </w:rPr>
      </w:pPr>
      <w:r>
        <w:rPr>
          <w:rFonts w:hint="eastAsia" w:ascii="宋体" w:hAnsi="宋体"/>
          <w:bCs/>
          <w:color w:val="auto"/>
          <w:szCs w:val="20"/>
        </w:rPr>
        <w:t>本公告期限（5个工作日）自</w:t>
      </w:r>
      <w:r>
        <w:rPr>
          <w:rFonts w:hint="eastAsia" w:ascii="宋体" w:hAnsi="宋体"/>
          <w:color w:val="auto"/>
          <w:szCs w:val="21"/>
        </w:rPr>
        <w:t>2021</w:t>
      </w:r>
      <w:r>
        <w:rPr>
          <w:rFonts w:hint="eastAsia" w:ascii="宋体" w:hAnsi="宋体"/>
          <w:bCs/>
          <w:color w:val="auto"/>
          <w:szCs w:val="20"/>
        </w:rPr>
        <w:t>年</w:t>
      </w:r>
      <w:r>
        <w:rPr>
          <w:rFonts w:hint="eastAsia" w:ascii="宋体" w:hAnsi="宋体"/>
          <w:color w:val="auto"/>
          <w:szCs w:val="21"/>
          <w:lang w:val="en-US" w:eastAsia="zh-CN"/>
        </w:rPr>
        <w:t>4</w:t>
      </w:r>
      <w:r>
        <w:rPr>
          <w:rFonts w:hint="eastAsia" w:ascii="宋体" w:hAnsi="宋体"/>
          <w:bCs/>
          <w:color w:val="auto"/>
          <w:szCs w:val="20"/>
        </w:rPr>
        <w:t>月</w:t>
      </w:r>
      <w:r>
        <w:rPr>
          <w:rFonts w:hint="eastAsia" w:ascii="宋体" w:hAnsi="宋体"/>
          <w:bCs/>
          <w:color w:val="auto"/>
          <w:szCs w:val="20"/>
          <w:lang w:val="en-US" w:eastAsia="zh-CN"/>
        </w:rPr>
        <w:t>10</w:t>
      </w:r>
      <w:r>
        <w:rPr>
          <w:rFonts w:hint="eastAsia" w:ascii="宋体" w:hAnsi="宋体"/>
          <w:bCs/>
          <w:color w:val="auto"/>
          <w:szCs w:val="20"/>
        </w:rPr>
        <w:t>日至</w:t>
      </w:r>
      <w:r>
        <w:rPr>
          <w:rFonts w:hint="eastAsia" w:ascii="宋体" w:hAnsi="宋体"/>
          <w:color w:val="auto"/>
          <w:szCs w:val="21"/>
        </w:rPr>
        <w:t>2021</w:t>
      </w:r>
      <w:r>
        <w:rPr>
          <w:rFonts w:hint="eastAsia" w:ascii="宋体" w:hAnsi="宋体"/>
          <w:bCs/>
          <w:color w:val="auto"/>
          <w:szCs w:val="20"/>
        </w:rPr>
        <w:t>年</w:t>
      </w:r>
      <w:r>
        <w:rPr>
          <w:rFonts w:hint="eastAsia" w:ascii="宋体" w:hAnsi="宋体"/>
          <w:bCs/>
          <w:color w:val="auto"/>
          <w:szCs w:val="20"/>
          <w:lang w:val="en-US" w:eastAsia="zh-CN"/>
        </w:rPr>
        <w:t>4</w:t>
      </w:r>
      <w:r>
        <w:rPr>
          <w:rFonts w:hint="eastAsia" w:ascii="宋体" w:hAnsi="宋体"/>
          <w:bCs/>
          <w:color w:val="auto"/>
          <w:szCs w:val="20"/>
        </w:rPr>
        <w:t>月</w:t>
      </w:r>
      <w:r>
        <w:rPr>
          <w:rFonts w:hint="eastAsia" w:ascii="宋体" w:hAnsi="宋体"/>
          <w:bCs/>
          <w:color w:val="auto"/>
          <w:szCs w:val="20"/>
          <w:lang w:val="en-US" w:eastAsia="zh-CN"/>
        </w:rPr>
        <w:t>16</w:t>
      </w:r>
      <w:r>
        <w:rPr>
          <w:rFonts w:hint="eastAsia" w:ascii="宋体" w:hAnsi="宋体"/>
          <w:bCs/>
          <w:color w:val="auto"/>
          <w:szCs w:val="20"/>
        </w:rPr>
        <w:t>日止</w:t>
      </w:r>
      <w:r>
        <w:rPr>
          <w:rFonts w:hint="eastAsia" w:ascii="宋体"/>
          <w:bCs/>
          <w:color w:val="auto"/>
          <w:szCs w:val="20"/>
        </w:rPr>
        <w:t>。</w:t>
      </w:r>
    </w:p>
    <w:p>
      <w:pPr>
        <w:numPr>
          <w:ilvl w:val="0"/>
          <w:numId w:val="2"/>
        </w:numPr>
        <w:tabs>
          <w:tab w:val="left" w:pos="142"/>
          <w:tab w:val="left" w:pos="426"/>
        </w:tabs>
        <w:adjustRightInd w:val="0"/>
        <w:snapToGrid w:val="0"/>
        <w:spacing w:line="360" w:lineRule="auto"/>
        <w:ind w:firstLine="0"/>
        <w:rPr>
          <w:rFonts w:ascii="宋体" w:hAnsi="宋体" w:cs="宋体"/>
          <w:bCs/>
          <w:color w:val="auto"/>
          <w:szCs w:val="21"/>
        </w:rPr>
      </w:pPr>
      <w:r>
        <w:rPr>
          <w:rFonts w:ascii="宋体" w:hAnsi="宋体"/>
          <w:bCs/>
          <w:color w:val="auto"/>
          <w:szCs w:val="21"/>
        </w:rPr>
        <w:t>联系</w:t>
      </w:r>
      <w:r>
        <w:rPr>
          <w:rFonts w:hint="eastAsia" w:ascii="宋体" w:hAnsi="宋体"/>
          <w:bCs/>
          <w:color w:val="auto"/>
          <w:szCs w:val="21"/>
        </w:rPr>
        <w:t>事项：</w:t>
      </w:r>
    </w:p>
    <w:tbl>
      <w:tblPr>
        <w:tblStyle w:val="44"/>
        <w:tblW w:w="9270" w:type="dxa"/>
        <w:tblCellSpacing w:w="15" w:type="dxa"/>
        <w:tblInd w:w="0" w:type="dxa"/>
        <w:shd w:val="clear" w:color="auto" w:fill="F8FCFF"/>
        <w:tblLayout w:type="fixed"/>
        <w:tblCellMar>
          <w:top w:w="15" w:type="dxa"/>
          <w:left w:w="15" w:type="dxa"/>
          <w:bottom w:w="15" w:type="dxa"/>
          <w:right w:w="15" w:type="dxa"/>
        </w:tblCellMar>
      </w:tblPr>
      <w:tblGrid>
        <w:gridCol w:w="5097"/>
        <w:gridCol w:w="4173"/>
      </w:tblGrid>
      <w:tr>
        <w:tblPrEx>
          <w:shd w:val="clear" w:color="auto" w:fill="F8FCFF"/>
          <w:tblLayout w:type="fixed"/>
          <w:tblCellMar>
            <w:top w:w="15" w:type="dxa"/>
            <w:left w:w="15" w:type="dxa"/>
            <w:bottom w:w="15" w:type="dxa"/>
            <w:right w:w="15" w:type="dxa"/>
          </w:tblCellMar>
        </w:tblPrEx>
        <w:trPr>
          <w:trHeight w:val="545" w:hRule="atLeast"/>
          <w:tblCellSpacing w:w="15" w:type="dxa"/>
        </w:trPr>
        <w:tc>
          <w:tcPr>
            <w:tcW w:w="5052" w:type="dxa"/>
            <w:shd w:val="clear" w:color="auto" w:fill="F8FCFF"/>
            <w:vAlign w:val="center"/>
          </w:tcPr>
          <w:p>
            <w:pPr>
              <w:pStyle w:val="78"/>
              <w:adjustRightInd w:val="0"/>
              <w:snapToGrid w:val="0"/>
              <w:ind w:left="514" w:right="111" w:rightChars="53" w:hanging="514" w:hangingChars="245"/>
              <w:rPr>
                <w:rFonts w:ascii="宋体" w:hAnsi="宋体"/>
                <w:color w:val="auto"/>
                <w:szCs w:val="21"/>
              </w:rPr>
            </w:pPr>
            <w:r>
              <w:rPr>
                <w:rFonts w:hint="eastAsia" w:ascii="宋体" w:hAnsi="宋体"/>
                <w:color w:val="auto"/>
                <w:szCs w:val="21"/>
              </w:rPr>
              <w:t xml:space="preserve">(一)采购人：广州市南沙区人民政府珠江街道办事处 </w:t>
            </w:r>
          </w:p>
        </w:tc>
        <w:tc>
          <w:tcPr>
            <w:tcW w:w="4128" w:type="dxa"/>
            <w:shd w:val="clear" w:color="auto" w:fill="F8FCFF"/>
            <w:vAlign w:val="center"/>
          </w:tcPr>
          <w:p>
            <w:pPr>
              <w:pStyle w:val="78"/>
              <w:tabs>
                <w:tab w:val="left" w:pos="851"/>
              </w:tabs>
              <w:adjustRightInd w:val="0"/>
              <w:snapToGrid w:val="0"/>
              <w:ind w:left="0" w:firstLine="0"/>
              <w:rPr>
                <w:rFonts w:ascii="宋体" w:hAnsi="宋体"/>
                <w:color w:val="auto"/>
                <w:szCs w:val="21"/>
              </w:rPr>
            </w:pPr>
            <w:r>
              <w:rPr>
                <w:rFonts w:hint="eastAsia" w:ascii="宋体" w:hAnsi="宋体"/>
                <w:color w:val="auto"/>
                <w:szCs w:val="21"/>
              </w:rPr>
              <w:t>地址：广州市南沙区珠江中路68号</w:t>
            </w:r>
          </w:p>
        </w:tc>
      </w:tr>
      <w:tr>
        <w:tblPrEx>
          <w:tblLayout w:type="fixed"/>
          <w:tblCellMar>
            <w:top w:w="15" w:type="dxa"/>
            <w:left w:w="15" w:type="dxa"/>
            <w:bottom w:w="15" w:type="dxa"/>
            <w:right w:w="15" w:type="dxa"/>
          </w:tblCellMar>
        </w:tblPrEx>
        <w:trPr>
          <w:trHeight w:val="545" w:hRule="atLeast"/>
          <w:tblCellSpacing w:w="15" w:type="dxa"/>
        </w:trPr>
        <w:tc>
          <w:tcPr>
            <w:tcW w:w="5052" w:type="dxa"/>
            <w:shd w:val="clear" w:color="auto" w:fill="F8FCFF"/>
            <w:vAlign w:val="center"/>
          </w:tcPr>
          <w:p>
            <w:pPr>
              <w:pStyle w:val="78"/>
              <w:tabs>
                <w:tab w:val="left" w:pos="851"/>
              </w:tabs>
              <w:adjustRightInd w:val="0"/>
              <w:snapToGrid w:val="0"/>
              <w:ind w:left="0" w:firstLine="420" w:firstLineChars="200"/>
              <w:rPr>
                <w:rFonts w:ascii="宋体" w:hAnsi="宋体"/>
                <w:color w:val="auto"/>
                <w:szCs w:val="21"/>
              </w:rPr>
            </w:pPr>
            <w:r>
              <w:rPr>
                <w:rFonts w:hint="eastAsia" w:ascii="宋体" w:hAnsi="宋体"/>
                <w:color w:val="auto"/>
                <w:szCs w:val="21"/>
              </w:rPr>
              <w:t>联系人：陈小姐</w:t>
            </w:r>
          </w:p>
        </w:tc>
        <w:tc>
          <w:tcPr>
            <w:tcW w:w="4128" w:type="dxa"/>
            <w:shd w:val="clear" w:color="auto" w:fill="F8FCFF"/>
            <w:vAlign w:val="center"/>
          </w:tcPr>
          <w:p>
            <w:pPr>
              <w:pStyle w:val="78"/>
              <w:tabs>
                <w:tab w:val="left" w:pos="851"/>
              </w:tabs>
              <w:adjustRightInd w:val="0"/>
              <w:snapToGrid w:val="0"/>
              <w:ind w:left="0" w:firstLine="0"/>
              <w:rPr>
                <w:rFonts w:ascii="宋体" w:hAnsi="宋体"/>
                <w:color w:val="auto"/>
                <w:szCs w:val="21"/>
              </w:rPr>
            </w:pPr>
            <w:r>
              <w:rPr>
                <w:rFonts w:hint="eastAsia" w:ascii="宋体" w:hAnsi="宋体"/>
                <w:color w:val="auto"/>
                <w:szCs w:val="21"/>
              </w:rPr>
              <w:t>联系电话：</w:t>
            </w:r>
            <w:r>
              <w:rPr>
                <w:rFonts w:hint="eastAsia"/>
                <w:color w:val="auto"/>
              </w:rPr>
              <w:t>84943475</w:t>
            </w:r>
          </w:p>
        </w:tc>
      </w:tr>
      <w:tr>
        <w:tblPrEx>
          <w:tblLayout w:type="fixed"/>
          <w:tblCellMar>
            <w:top w:w="15" w:type="dxa"/>
            <w:left w:w="15" w:type="dxa"/>
            <w:bottom w:w="15" w:type="dxa"/>
            <w:right w:w="15" w:type="dxa"/>
          </w:tblCellMar>
        </w:tblPrEx>
        <w:trPr>
          <w:trHeight w:val="545" w:hRule="atLeast"/>
          <w:tblCellSpacing w:w="15" w:type="dxa"/>
        </w:trPr>
        <w:tc>
          <w:tcPr>
            <w:tcW w:w="5052" w:type="dxa"/>
            <w:shd w:val="clear" w:color="auto" w:fill="F8FCFF"/>
            <w:vAlign w:val="center"/>
          </w:tcPr>
          <w:p>
            <w:pPr>
              <w:pStyle w:val="78"/>
              <w:adjustRightInd w:val="0"/>
              <w:snapToGrid w:val="0"/>
              <w:ind w:left="514" w:right="111" w:rightChars="53" w:hanging="514" w:hangingChars="245"/>
              <w:rPr>
                <w:rFonts w:ascii="宋体" w:hAnsi="宋体"/>
                <w:color w:val="auto"/>
                <w:szCs w:val="21"/>
              </w:rPr>
            </w:pPr>
            <w:r>
              <w:rPr>
                <w:rFonts w:hint="eastAsia" w:ascii="宋体" w:hAnsi="宋体"/>
                <w:color w:val="auto"/>
                <w:szCs w:val="21"/>
              </w:rPr>
              <w:t>(二)采购代理机构：广东公信招标有限公司</w:t>
            </w:r>
          </w:p>
        </w:tc>
        <w:tc>
          <w:tcPr>
            <w:tcW w:w="4128" w:type="dxa"/>
            <w:shd w:val="clear" w:color="auto" w:fill="F8FCFF"/>
            <w:vAlign w:val="center"/>
          </w:tcPr>
          <w:p>
            <w:pPr>
              <w:pStyle w:val="78"/>
              <w:tabs>
                <w:tab w:val="left" w:pos="851"/>
              </w:tabs>
              <w:adjustRightInd w:val="0"/>
              <w:snapToGrid w:val="0"/>
              <w:ind w:left="0" w:firstLine="0"/>
              <w:rPr>
                <w:rFonts w:ascii="宋体" w:hAnsi="宋体"/>
                <w:color w:val="auto"/>
                <w:szCs w:val="21"/>
              </w:rPr>
            </w:pPr>
            <w:r>
              <w:rPr>
                <w:rFonts w:hint="eastAsia" w:ascii="宋体" w:hAnsi="宋体"/>
                <w:color w:val="auto"/>
                <w:szCs w:val="21"/>
              </w:rPr>
              <w:t>地址：</w:t>
            </w:r>
            <w:r>
              <w:rPr>
                <w:rFonts w:ascii="宋体" w:hAnsi="宋体"/>
                <w:color w:val="auto"/>
                <w:szCs w:val="21"/>
              </w:rPr>
              <w:t>广州市天河区天寿路31号江河大厦20楼</w:t>
            </w:r>
          </w:p>
        </w:tc>
      </w:tr>
      <w:tr>
        <w:tblPrEx>
          <w:tblLayout w:type="fixed"/>
          <w:tblCellMar>
            <w:top w:w="15" w:type="dxa"/>
            <w:left w:w="15" w:type="dxa"/>
            <w:bottom w:w="15" w:type="dxa"/>
            <w:right w:w="15" w:type="dxa"/>
          </w:tblCellMar>
        </w:tblPrEx>
        <w:trPr>
          <w:trHeight w:val="545" w:hRule="atLeast"/>
          <w:tblCellSpacing w:w="15" w:type="dxa"/>
        </w:trPr>
        <w:tc>
          <w:tcPr>
            <w:tcW w:w="5052" w:type="dxa"/>
            <w:shd w:val="clear" w:color="auto" w:fill="F8FCFF"/>
            <w:vAlign w:val="center"/>
          </w:tcPr>
          <w:p>
            <w:pPr>
              <w:pStyle w:val="78"/>
              <w:tabs>
                <w:tab w:val="left" w:pos="851"/>
              </w:tabs>
              <w:adjustRightInd w:val="0"/>
              <w:snapToGrid w:val="0"/>
              <w:ind w:left="0" w:firstLine="420" w:firstLineChars="200"/>
              <w:rPr>
                <w:rFonts w:ascii="宋体" w:hAnsi="宋体"/>
                <w:color w:val="auto"/>
                <w:szCs w:val="21"/>
              </w:rPr>
            </w:pPr>
            <w:r>
              <w:rPr>
                <w:rFonts w:hint="eastAsia" w:ascii="宋体" w:hAnsi="宋体"/>
                <w:color w:val="auto"/>
                <w:szCs w:val="21"/>
              </w:rPr>
              <w:t>联系人：张小姐</w:t>
            </w:r>
          </w:p>
        </w:tc>
        <w:tc>
          <w:tcPr>
            <w:tcW w:w="4128" w:type="dxa"/>
            <w:shd w:val="clear" w:color="auto" w:fill="F8FCFF"/>
            <w:vAlign w:val="center"/>
          </w:tcPr>
          <w:p>
            <w:pPr>
              <w:pStyle w:val="78"/>
              <w:tabs>
                <w:tab w:val="left" w:pos="851"/>
              </w:tabs>
              <w:adjustRightInd w:val="0"/>
              <w:snapToGrid w:val="0"/>
              <w:ind w:left="0" w:firstLine="0"/>
              <w:rPr>
                <w:rFonts w:ascii="宋体" w:hAnsi="宋体"/>
                <w:color w:val="auto"/>
                <w:szCs w:val="21"/>
              </w:rPr>
            </w:pPr>
            <w:r>
              <w:rPr>
                <w:rFonts w:hint="eastAsia" w:ascii="宋体" w:hAnsi="宋体"/>
                <w:color w:val="auto"/>
                <w:szCs w:val="21"/>
              </w:rPr>
              <w:t>联系电话：020-83064172</w:t>
            </w:r>
            <w:r>
              <w:rPr>
                <w:rFonts w:ascii="宋体" w:hAnsi="宋体"/>
                <w:color w:val="auto"/>
                <w:szCs w:val="21"/>
              </w:rPr>
              <w:t>-800</w:t>
            </w:r>
            <w:r>
              <w:rPr>
                <w:rFonts w:hint="eastAsia" w:ascii="宋体" w:hAnsi="宋体"/>
                <w:color w:val="auto"/>
                <w:szCs w:val="21"/>
              </w:rPr>
              <w:t>5</w:t>
            </w:r>
          </w:p>
        </w:tc>
      </w:tr>
      <w:tr>
        <w:tblPrEx>
          <w:tblLayout w:type="fixed"/>
          <w:tblCellMar>
            <w:top w:w="15" w:type="dxa"/>
            <w:left w:w="15" w:type="dxa"/>
            <w:bottom w:w="15" w:type="dxa"/>
            <w:right w:w="15" w:type="dxa"/>
          </w:tblCellMar>
        </w:tblPrEx>
        <w:trPr>
          <w:trHeight w:val="545" w:hRule="atLeast"/>
          <w:tblCellSpacing w:w="15" w:type="dxa"/>
        </w:trPr>
        <w:tc>
          <w:tcPr>
            <w:tcW w:w="5052" w:type="dxa"/>
            <w:shd w:val="clear" w:color="auto" w:fill="F8FCFF"/>
            <w:vAlign w:val="center"/>
          </w:tcPr>
          <w:p>
            <w:pPr>
              <w:pStyle w:val="78"/>
              <w:tabs>
                <w:tab w:val="left" w:pos="851"/>
              </w:tabs>
              <w:adjustRightInd w:val="0"/>
              <w:snapToGrid w:val="0"/>
              <w:ind w:left="0" w:firstLine="420" w:firstLineChars="200"/>
              <w:rPr>
                <w:rFonts w:ascii="宋体" w:hAnsi="宋体"/>
                <w:color w:val="auto"/>
                <w:szCs w:val="21"/>
              </w:rPr>
            </w:pPr>
            <w:r>
              <w:rPr>
                <w:rFonts w:hint="eastAsia" w:ascii="宋体" w:hAnsi="宋体"/>
                <w:color w:val="auto"/>
                <w:szCs w:val="21"/>
              </w:rPr>
              <w:t>传真：020-83064349</w:t>
            </w:r>
          </w:p>
        </w:tc>
        <w:tc>
          <w:tcPr>
            <w:tcW w:w="4128" w:type="dxa"/>
            <w:shd w:val="clear" w:color="auto" w:fill="F8FCFF"/>
            <w:vAlign w:val="center"/>
          </w:tcPr>
          <w:p>
            <w:pPr>
              <w:pStyle w:val="78"/>
              <w:tabs>
                <w:tab w:val="left" w:pos="851"/>
              </w:tabs>
              <w:adjustRightInd w:val="0"/>
              <w:snapToGrid w:val="0"/>
              <w:ind w:left="0" w:firstLine="0"/>
              <w:rPr>
                <w:rFonts w:ascii="宋体" w:hAnsi="宋体"/>
                <w:color w:val="auto"/>
                <w:szCs w:val="21"/>
              </w:rPr>
            </w:pPr>
            <w:r>
              <w:rPr>
                <w:rFonts w:hint="eastAsia" w:ascii="宋体" w:hAnsi="宋体"/>
                <w:color w:val="auto"/>
                <w:szCs w:val="21"/>
              </w:rPr>
              <w:t>邮编：</w:t>
            </w:r>
            <w:r>
              <w:rPr>
                <w:rFonts w:ascii="宋体" w:hAnsi="宋体"/>
                <w:color w:val="auto"/>
                <w:szCs w:val="21"/>
              </w:rPr>
              <w:t>510610</w:t>
            </w:r>
          </w:p>
        </w:tc>
      </w:tr>
      <w:tr>
        <w:tblPrEx>
          <w:tblLayout w:type="fixed"/>
          <w:tblCellMar>
            <w:top w:w="15" w:type="dxa"/>
            <w:left w:w="15" w:type="dxa"/>
            <w:bottom w:w="15" w:type="dxa"/>
            <w:right w:w="15" w:type="dxa"/>
          </w:tblCellMar>
        </w:tblPrEx>
        <w:trPr>
          <w:trHeight w:val="545" w:hRule="atLeast"/>
          <w:tblCellSpacing w:w="15" w:type="dxa"/>
        </w:trPr>
        <w:tc>
          <w:tcPr>
            <w:tcW w:w="5052" w:type="dxa"/>
            <w:shd w:val="clear" w:color="auto" w:fill="F8FCFF"/>
            <w:vAlign w:val="center"/>
          </w:tcPr>
          <w:p>
            <w:pPr>
              <w:pStyle w:val="78"/>
              <w:tabs>
                <w:tab w:val="left" w:pos="851"/>
              </w:tabs>
              <w:adjustRightInd w:val="0"/>
              <w:snapToGrid w:val="0"/>
              <w:ind w:left="0" w:firstLine="0"/>
              <w:rPr>
                <w:rFonts w:ascii="宋体" w:hAnsi="宋体"/>
                <w:color w:val="auto"/>
                <w:szCs w:val="21"/>
              </w:rPr>
            </w:pPr>
            <w:r>
              <w:rPr>
                <w:rFonts w:hint="eastAsia" w:ascii="宋体" w:hAnsi="宋体"/>
                <w:color w:val="auto"/>
                <w:szCs w:val="21"/>
              </w:rPr>
              <w:t>(三)采购项目联系人：张小姐</w:t>
            </w:r>
          </w:p>
        </w:tc>
        <w:tc>
          <w:tcPr>
            <w:tcW w:w="4128" w:type="dxa"/>
            <w:shd w:val="clear" w:color="auto" w:fill="F8FCFF"/>
            <w:vAlign w:val="center"/>
          </w:tcPr>
          <w:p>
            <w:pPr>
              <w:pStyle w:val="78"/>
              <w:tabs>
                <w:tab w:val="left" w:pos="851"/>
              </w:tabs>
              <w:adjustRightInd w:val="0"/>
              <w:snapToGrid w:val="0"/>
              <w:ind w:left="0" w:firstLine="0"/>
              <w:rPr>
                <w:rFonts w:ascii="宋体" w:hAnsi="宋体"/>
                <w:color w:val="auto"/>
                <w:szCs w:val="21"/>
              </w:rPr>
            </w:pPr>
            <w:r>
              <w:rPr>
                <w:rFonts w:hint="eastAsia" w:ascii="宋体" w:hAnsi="宋体"/>
                <w:color w:val="auto"/>
                <w:szCs w:val="21"/>
              </w:rPr>
              <w:t>联系电话：020-83064172</w:t>
            </w:r>
          </w:p>
        </w:tc>
      </w:tr>
    </w:tbl>
    <w:p>
      <w:pPr>
        <w:tabs>
          <w:tab w:val="right" w:pos="9180"/>
        </w:tabs>
        <w:adjustRightInd w:val="0"/>
        <w:snapToGrid w:val="0"/>
        <w:spacing w:line="360" w:lineRule="auto"/>
        <w:ind w:firstLine="435"/>
        <w:jc w:val="right"/>
        <w:rPr>
          <w:b/>
          <w:color w:val="auto"/>
          <w:szCs w:val="21"/>
        </w:rPr>
      </w:pPr>
    </w:p>
    <w:p>
      <w:pPr>
        <w:tabs>
          <w:tab w:val="right" w:pos="9180"/>
        </w:tabs>
        <w:adjustRightInd w:val="0"/>
        <w:snapToGrid w:val="0"/>
        <w:spacing w:line="360" w:lineRule="auto"/>
        <w:ind w:firstLine="435"/>
        <w:jc w:val="right"/>
        <w:rPr>
          <w:b/>
          <w:color w:val="auto"/>
          <w:szCs w:val="21"/>
        </w:rPr>
      </w:pPr>
    </w:p>
    <w:p>
      <w:pPr>
        <w:tabs>
          <w:tab w:val="right" w:pos="9180"/>
        </w:tabs>
        <w:adjustRightInd w:val="0"/>
        <w:snapToGrid w:val="0"/>
        <w:spacing w:line="360" w:lineRule="auto"/>
        <w:ind w:firstLine="435"/>
        <w:jc w:val="right"/>
        <w:rPr>
          <w:b/>
          <w:color w:val="auto"/>
          <w:szCs w:val="21"/>
        </w:rPr>
      </w:pPr>
      <w:r>
        <w:rPr>
          <w:b/>
          <w:color w:val="auto"/>
          <w:szCs w:val="21"/>
        </w:rPr>
        <w:tab/>
      </w:r>
      <w:r>
        <w:rPr>
          <w:rFonts w:hint="eastAsia"/>
          <w:b/>
          <w:color w:val="auto"/>
          <w:szCs w:val="21"/>
        </w:rPr>
        <w:t>发布人：广东公信招标有限公司</w:t>
      </w:r>
    </w:p>
    <w:p>
      <w:pPr>
        <w:wordWrap w:val="0"/>
        <w:adjustRightInd w:val="0"/>
        <w:snapToGrid w:val="0"/>
        <w:spacing w:line="360" w:lineRule="auto"/>
        <w:ind w:firstLine="435"/>
        <w:jc w:val="right"/>
        <w:rPr>
          <w:rFonts w:ascii="宋体" w:hAnsi="宋体"/>
          <w:b/>
          <w:color w:val="auto"/>
          <w:szCs w:val="21"/>
        </w:rPr>
      </w:pPr>
      <w:r>
        <w:rPr>
          <w:rFonts w:hint="eastAsia" w:ascii="宋体" w:hAnsi="宋体"/>
          <w:b/>
          <w:color w:val="auto"/>
          <w:szCs w:val="21"/>
        </w:rPr>
        <w:t>发布日期：</w:t>
      </w:r>
      <w:r>
        <w:rPr>
          <w:rFonts w:hint="eastAsia" w:ascii="宋体" w:hAnsi="宋体"/>
          <w:b/>
          <w:color w:val="auto"/>
          <w:szCs w:val="21"/>
        </w:rPr>
        <w:t>2021年</w:t>
      </w:r>
      <w:r>
        <w:rPr>
          <w:rFonts w:hint="eastAsia" w:ascii="宋体" w:hAnsi="宋体"/>
          <w:b/>
          <w:color w:val="auto"/>
          <w:szCs w:val="21"/>
          <w:lang w:val="en-US" w:eastAsia="zh-CN"/>
        </w:rPr>
        <w:t>4</w:t>
      </w:r>
      <w:r>
        <w:rPr>
          <w:rFonts w:hint="eastAsia" w:ascii="宋体" w:hAnsi="宋体"/>
          <w:b/>
          <w:color w:val="auto"/>
          <w:szCs w:val="21"/>
        </w:rPr>
        <w:t>月</w:t>
      </w:r>
      <w:r>
        <w:rPr>
          <w:rFonts w:hint="eastAsia" w:ascii="宋体" w:hAnsi="宋体"/>
          <w:b/>
          <w:color w:val="auto"/>
          <w:szCs w:val="21"/>
          <w:lang w:val="en-US" w:eastAsia="zh-CN"/>
        </w:rPr>
        <w:t>9</w:t>
      </w:r>
      <w:bookmarkStart w:id="138" w:name="_GoBack"/>
      <w:bookmarkEnd w:id="138"/>
      <w:r>
        <w:rPr>
          <w:rFonts w:hint="eastAsia" w:ascii="宋体" w:hAnsi="宋体"/>
          <w:b/>
          <w:color w:val="auto"/>
          <w:szCs w:val="21"/>
        </w:rPr>
        <w:t>日</w:t>
      </w:r>
    </w:p>
    <w:bookmarkEnd w:id="3"/>
    <w:bookmarkEnd w:id="4"/>
    <w:p>
      <w:pPr>
        <w:spacing w:beforeLines="50" w:afterLines="50" w:line="360" w:lineRule="auto"/>
        <w:jc w:val="center"/>
        <w:outlineLvl w:val="0"/>
        <w:rPr>
          <w:b/>
          <w:bCs/>
          <w:color w:val="auto"/>
          <w:sz w:val="28"/>
          <w:szCs w:val="28"/>
        </w:rPr>
        <w:sectPr>
          <w:pgSz w:w="11906" w:h="16838"/>
          <w:pgMar w:top="1440" w:right="1416" w:bottom="1440" w:left="1418" w:header="851" w:footer="992" w:gutter="0"/>
          <w:cols w:space="720" w:num="1"/>
          <w:docGrid w:type="lines" w:linePitch="312" w:charSpace="0"/>
        </w:sectPr>
      </w:pPr>
      <w:bookmarkStart w:id="9" w:name="_Toc435115052"/>
      <w:bookmarkStart w:id="10" w:name="_Toc435514843"/>
    </w:p>
    <w:p>
      <w:pPr>
        <w:spacing w:beforeLines="50" w:afterLines="50" w:line="360" w:lineRule="auto"/>
        <w:jc w:val="center"/>
        <w:outlineLvl w:val="0"/>
        <w:rPr>
          <w:b/>
          <w:bCs/>
          <w:color w:val="auto"/>
          <w:sz w:val="28"/>
          <w:szCs w:val="28"/>
        </w:rPr>
      </w:pPr>
      <w:bookmarkStart w:id="11" w:name="_Toc10454"/>
      <w:r>
        <w:rPr>
          <w:b/>
          <w:bCs/>
          <w:color w:val="auto"/>
          <w:sz w:val="28"/>
          <w:szCs w:val="28"/>
        </w:rPr>
        <w:t>第</w:t>
      </w:r>
      <w:r>
        <w:rPr>
          <w:rFonts w:hint="eastAsia"/>
          <w:b/>
          <w:bCs/>
          <w:color w:val="auto"/>
          <w:sz w:val="28"/>
          <w:szCs w:val="28"/>
        </w:rPr>
        <w:t>二</w:t>
      </w:r>
      <w:r>
        <w:rPr>
          <w:b/>
          <w:bCs/>
          <w:color w:val="auto"/>
          <w:sz w:val="28"/>
          <w:szCs w:val="28"/>
        </w:rPr>
        <w:t>章投标资料表</w:t>
      </w:r>
      <w:bookmarkEnd w:id="9"/>
      <w:bookmarkEnd w:id="10"/>
      <w:bookmarkEnd w:id="11"/>
    </w:p>
    <w:p>
      <w:pPr>
        <w:spacing w:line="360" w:lineRule="auto"/>
        <w:ind w:right="-174" w:rightChars="-83" w:firstLine="424" w:firstLineChars="202"/>
        <w:rPr>
          <w:color w:val="auto"/>
        </w:rPr>
      </w:pPr>
      <w:r>
        <w:rPr>
          <w:rFonts w:hint="eastAsia"/>
          <w:color w:val="auto"/>
        </w:rPr>
        <w:t>说明：该资料表的条款项号是与《投标人须知》条款项号对应的条款，是对《投标人须知》补充、修改和完善，如果有矛盾的话，应以本资料表为准。</w:t>
      </w:r>
    </w:p>
    <w:tbl>
      <w:tblPr>
        <w:tblStyle w:val="44"/>
        <w:tblW w:w="93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699"/>
        <w:gridCol w:w="30"/>
        <w:gridCol w:w="30"/>
        <w:gridCol w:w="67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854" w:type="dxa"/>
            <w:vAlign w:val="center"/>
          </w:tcPr>
          <w:p>
            <w:pPr>
              <w:adjustRightInd w:val="0"/>
              <w:snapToGrid w:val="0"/>
              <w:spacing w:line="320" w:lineRule="exact"/>
              <w:jc w:val="center"/>
              <w:rPr>
                <w:rFonts w:ascii="宋体" w:hAnsi="宋体"/>
                <w:b/>
                <w:color w:val="auto"/>
                <w:szCs w:val="21"/>
              </w:rPr>
            </w:pPr>
            <w:r>
              <w:rPr>
                <w:rFonts w:ascii="宋体" w:hAnsi="宋体"/>
                <w:b/>
                <w:color w:val="auto"/>
                <w:szCs w:val="21"/>
              </w:rPr>
              <w:t>条款号</w:t>
            </w:r>
          </w:p>
        </w:tc>
        <w:tc>
          <w:tcPr>
            <w:tcW w:w="1699" w:type="dxa"/>
            <w:vAlign w:val="center"/>
          </w:tcPr>
          <w:p>
            <w:pPr>
              <w:adjustRightInd w:val="0"/>
              <w:snapToGrid w:val="0"/>
              <w:spacing w:line="320" w:lineRule="exact"/>
              <w:jc w:val="center"/>
              <w:rPr>
                <w:rFonts w:ascii="宋体" w:hAnsi="宋体"/>
                <w:b/>
                <w:color w:val="auto"/>
                <w:szCs w:val="21"/>
              </w:rPr>
            </w:pPr>
            <w:r>
              <w:rPr>
                <w:rFonts w:hint="eastAsia" w:ascii="宋体" w:hAnsi="宋体"/>
                <w:b/>
                <w:color w:val="auto"/>
                <w:szCs w:val="21"/>
              </w:rPr>
              <w:t>内容</w:t>
            </w:r>
          </w:p>
        </w:tc>
        <w:tc>
          <w:tcPr>
            <w:tcW w:w="6789" w:type="dxa"/>
            <w:gridSpan w:val="3"/>
            <w:vAlign w:val="center"/>
          </w:tcPr>
          <w:p>
            <w:pPr>
              <w:adjustRightInd w:val="0"/>
              <w:snapToGrid w:val="0"/>
              <w:spacing w:line="320" w:lineRule="exact"/>
              <w:jc w:val="center"/>
              <w:rPr>
                <w:rFonts w:ascii="宋体" w:hAnsi="宋体"/>
                <w:b/>
                <w:color w:val="auto"/>
                <w:szCs w:val="21"/>
              </w:rPr>
            </w:pPr>
            <w:r>
              <w:rPr>
                <w:rFonts w:hint="eastAsia" w:ascii="宋体" w:hAnsi="宋体"/>
                <w:b/>
                <w:color w:val="auto"/>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9342" w:type="dxa"/>
            <w:gridSpan w:val="5"/>
            <w:vAlign w:val="center"/>
          </w:tcPr>
          <w:p>
            <w:pPr>
              <w:jc w:val="center"/>
              <w:rPr>
                <w:rFonts w:ascii="宋体" w:hAnsi="宋体"/>
                <w:b/>
                <w:color w:val="auto"/>
                <w:szCs w:val="21"/>
              </w:rPr>
            </w:pPr>
            <w:r>
              <w:rPr>
                <w:rFonts w:ascii="宋体" w:hAnsi="宋体"/>
                <w:b/>
                <w:color w:val="auto"/>
                <w:szCs w:val="21"/>
              </w:rPr>
              <w:t>一、说明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854" w:type="dxa"/>
            <w:vMerge w:val="restart"/>
            <w:vAlign w:val="center"/>
          </w:tcPr>
          <w:p>
            <w:pPr>
              <w:jc w:val="center"/>
              <w:rPr>
                <w:rFonts w:ascii="宋体" w:hAnsi="宋体"/>
                <w:color w:val="auto"/>
                <w:szCs w:val="21"/>
              </w:rPr>
            </w:pPr>
            <w:r>
              <w:rPr>
                <w:rFonts w:hint="eastAsia" w:ascii="宋体" w:hAnsi="宋体"/>
                <w:color w:val="auto"/>
                <w:szCs w:val="21"/>
              </w:rPr>
              <w:t>2.2</w:t>
            </w:r>
          </w:p>
        </w:tc>
        <w:tc>
          <w:tcPr>
            <w:tcW w:w="1699" w:type="dxa"/>
            <w:vAlign w:val="center"/>
          </w:tcPr>
          <w:p>
            <w:pPr>
              <w:jc w:val="center"/>
              <w:rPr>
                <w:rFonts w:ascii="宋体" w:hAnsi="宋体" w:cs="宋体"/>
                <w:color w:val="auto"/>
                <w:szCs w:val="21"/>
              </w:rPr>
            </w:pPr>
            <w:r>
              <w:rPr>
                <w:rFonts w:ascii="宋体" w:hAnsi="宋体"/>
                <w:color w:val="auto"/>
                <w:szCs w:val="21"/>
              </w:rPr>
              <w:t>采购人名称</w:t>
            </w:r>
          </w:p>
        </w:tc>
        <w:tc>
          <w:tcPr>
            <w:tcW w:w="6789" w:type="dxa"/>
            <w:gridSpan w:val="3"/>
            <w:vAlign w:val="center"/>
          </w:tcPr>
          <w:p>
            <w:pPr>
              <w:rPr>
                <w:rFonts w:ascii="宋体" w:hAnsi="宋体" w:cs="宋体"/>
                <w:color w:val="auto"/>
                <w:szCs w:val="21"/>
              </w:rPr>
            </w:pPr>
            <w:r>
              <w:rPr>
                <w:rFonts w:hint="eastAsia" w:ascii="宋体" w:hAnsi="宋体"/>
                <w:color w:val="auto"/>
                <w:kern w:val="28"/>
                <w:szCs w:val="21"/>
              </w:rPr>
              <w:t xml:space="preserve">广州市南沙区人民政府珠江街道办事处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854" w:type="dxa"/>
            <w:vMerge w:val="continue"/>
            <w:vAlign w:val="center"/>
          </w:tcPr>
          <w:p>
            <w:pPr>
              <w:jc w:val="center"/>
              <w:rPr>
                <w:rFonts w:ascii="宋体" w:hAnsi="宋体"/>
                <w:color w:val="auto"/>
                <w:szCs w:val="21"/>
              </w:rPr>
            </w:pPr>
          </w:p>
        </w:tc>
        <w:tc>
          <w:tcPr>
            <w:tcW w:w="1699" w:type="dxa"/>
            <w:vAlign w:val="center"/>
          </w:tcPr>
          <w:p>
            <w:pPr>
              <w:jc w:val="center"/>
              <w:rPr>
                <w:rFonts w:ascii="宋体" w:hAnsi="宋体"/>
                <w:color w:val="auto"/>
                <w:szCs w:val="21"/>
              </w:rPr>
            </w:pPr>
            <w:r>
              <w:rPr>
                <w:rFonts w:hint="eastAsia" w:ascii="宋体" w:hAnsi="宋体" w:cs="宋体"/>
                <w:color w:val="auto"/>
                <w:szCs w:val="21"/>
              </w:rPr>
              <w:t>资金来源</w:t>
            </w:r>
          </w:p>
        </w:tc>
        <w:tc>
          <w:tcPr>
            <w:tcW w:w="6789" w:type="dxa"/>
            <w:gridSpan w:val="3"/>
            <w:vAlign w:val="center"/>
          </w:tcPr>
          <w:p>
            <w:pPr>
              <w:rPr>
                <w:rFonts w:ascii="宋体" w:hAnsi="宋体"/>
                <w:color w:val="auto"/>
                <w:kern w:val="28"/>
                <w:szCs w:val="21"/>
              </w:rPr>
            </w:pPr>
            <w:r>
              <w:rPr>
                <w:rFonts w:hint="eastAsia" w:ascii="宋体" w:hAnsi="宋体" w:cs="宋体"/>
                <w:color w:val="auto"/>
              </w:rPr>
              <w:t>财政性资金</w:t>
            </w:r>
            <w:r>
              <w:rPr>
                <w:rFonts w:hint="eastAsia"/>
                <w:color w:val="auto"/>
              </w:rPr>
              <w:t>（采购限额标准以下，不纳入政府采购管理范畴）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8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2.3</w:t>
            </w:r>
          </w:p>
        </w:tc>
        <w:tc>
          <w:tcPr>
            <w:tcW w:w="1699" w:type="dxa"/>
            <w:vAlign w:val="center"/>
          </w:tcPr>
          <w:p>
            <w:pPr>
              <w:adjustRightInd w:val="0"/>
              <w:snapToGrid w:val="0"/>
              <w:spacing w:line="320" w:lineRule="exact"/>
              <w:jc w:val="center"/>
              <w:rPr>
                <w:rFonts w:ascii="宋体" w:hAnsi="宋体"/>
                <w:color w:val="auto"/>
                <w:szCs w:val="21"/>
              </w:rPr>
            </w:pPr>
            <w:r>
              <w:rPr>
                <w:rFonts w:ascii="宋体" w:hAnsi="宋体"/>
                <w:color w:val="auto"/>
                <w:szCs w:val="21"/>
              </w:rPr>
              <w:t>采购代理机构</w:t>
            </w:r>
          </w:p>
        </w:tc>
        <w:tc>
          <w:tcPr>
            <w:tcW w:w="6789" w:type="dxa"/>
            <w:gridSpan w:val="3"/>
            <w:vAlign w:val="center"/>
          </w:tcPr>
          <w:p>
            <w:pPr>
              <w:adjustRightInd w:val="0"/>
              <w:snapToGrid w:val="0"/>
              <w:spacing w:line="320" w:lineRule="exact"/>
              <w:rPr>
                <w:rFonts w:ascii="宋体" w:hAnsi="宋体"/>
                <w:color w:val="auto"/>
                <w:szCs w:val="21"/>
              </w:rPr>
            </w:pPr>
            <w:r>
              <w:rPr>
                <w:rFonts w:hint="eastAsia" w:ascii="宋体" w:hAnsi="宋体"/>
                <w:color w:val="auto"/>
                <w:szCs w:val="21"/>
              </w:rPr>
              <w:t>名称：广东公信招标有限公司</w:t>
            </w:r>
          </w:p>
          <w:p>
            <w:pPr>
              <w:adjustRightInd w:val="0"/>
              <w:snapToGrid w:val="0"/>
              <w:spacing w:line="320" w:lineRule="exact"/>
              <w:rPr>
                <w:rFonts w:ascii="宋体" w:hAnsi="宋体"/>
                <w:color w:val="auto"/>
                <w:szCs w:val="21"/>
              </w:rPr>
            </w:pPr>
            <w:r>
              <w:rPr>
                <w:rFonts w:ascii="宋体" w:hAnsi="宋体"/>
                <w:color w:val="auto"/>
                <w:szCs w:val="21"/>
              </w:rPr>
              <w:t>地址：</w:t>
            </w:r>
            <w:r>
              <w:rPr>
                <w:rFonts w:hint="eastAsia" w:ascii="宋体" w:hAnsi="宋体"/>
                <w:color w:val="auto"/>
                <w:szCs w:val="21"/>
              </w:rPr>
              <w:t>广州市天河区天寿路31号江河大厦20楼</w:t>
            </w:r>
          </w:p>
          <w:p>
            <w:pPr>
              <w:adjustRightInd w:val="0"/>
              <w:snapToGrid w:val="0"/>
              <w:spacing w:line="320" w:lineRule="exact"/>
              <w:rPr>
                <w:rFonts w:ascii="宋体" w:hAnsi="宋体"/>
                <w:color w:val="auto"/>
                <w:szCs w:val="21"/>
              </w:rPr>
            </w:pPr>
            <w:r>
              <w:rPr>
                <w:rFonts w:ascii="宋体" w:hAnsi="宋体"/>
                <w:color w:val="auto"/>
                <w:szCs w:val="21"/>
              </w:rPr>
              <w:t>电话：</w:t>
            </w:r>
            <w:r>
              <w:rPr>
                <w:rFonts w:hint="eastAsia" w:ascii="宋体" w:hAnsi="宋体"/>
                <w:color w:val="auto"/>
                <w:szCs w:val="21"/>
              </w:rPr>
              <w:t>0</w:t>
            </w:r>
            <w:r>
              <w:rPr>
                <w:rFonts w:ascii="宋体" w:hAnsi="宋体"/>
                <w:color w:val="auto"/>
                <w:szCs w:val="21"/>
              </w:rPr>
              <w:t>20-</w:t>
            </w:r>
            <w:r>
              <w:rPr>
                <w:rFonts w:hint="eastAsia" w:ascii="宋体" w:hAnsi="宋体"/>
                <w:color w:val="auto"/>
                <w:szCs w:val="21"/>
              </w:rPr>
              <w:t>83064172</w:t>
            </w:r>
            <w:r>
              <w:rPr>
                <w:rFonts w:ascii="宋体" w:hAnsi="宋体"/>
                <w:color w:val="auto"/>
                <w:szCs w:val="21"/>
              </w:rPr>
              <w:t>；</w:t>
            </w:r>
          </w:p>
          <w:p>
            <w:pPr>
              <w:adjustRightInd w:val="0"/>
              <w:snapToGrid w:val="0"/>
              <w:spacing w:line="320" w:lineRule="exact"/>
              <w:rPr>
                <w:rFonts w:ascii="宋体" w:hAnsi="宋体"/>
                <w:color w:val="auto"/>
                <w:szCs w:val="21"/>
              </w:rPr>
            </w:pPr>
            <w:r>
              <w:rPr>
                <w:rFonts w:hint="eastAsia" w:ascii="宋体" w:hAnsi="宋体"/>
                <w:color w:val="auto"/>
                <w:szCs w:val="21"/>
              </w:rPr>
              <w:t>电子邮箱：</w:t>
            </w:r>
            <w:r>
              <w:rPr>
                <w:rFonts w:ascii="宋体" w:hAnsi="宋体"/>
                <w:color w:val="auto"/>
                <w:szCs w:val="21"/>
              </w:rPr>
              <w:t>gzgx83064349@163.com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jc w:val="center"/>
        </w:trPr>
        <w:tc>
          <w:tcPr>
            <w:tcW w:w="9342" w:type="dxa"/>
            <w:gridSpan w:val="5"/>
            <w:vAlign w:val="center"/>
          </w:tcPr>
          <w:p>
            <w:pPr>
              <w:jc w:val="center"/>
              <w:rPr>
                <w:rFonts w:ascii="宋体" w:hAnsi="宋体"/>
                <w:color w:val="auto"/>
                <w:szCs w:val="21"/>
              </w:rPr>
            </w:pPr>
            <w:r>
              <w:rPr>
                <w:rFonts w:hint="eastAsia" w:ascii="宋体" w:hAnsi="宋体"/>
                <w:b/>
                <w:color w:val="auto"/>
                <w:szCs w:val="21"/>
              </w:rPr>
              <w:t>二、招标文件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99" w:hRule="atLeast"/>
          <w:jc w:val="center"/>
        </w:trPr>
        <w:tc>
          <w:tcPr>
            <w:tcW w:w="8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7.1</w:t>
            </w:r>
          </w:p>
        </w:tc>
        <w:tc>
          <w:tcPr>
            <w:tcW w:w="1699"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公告媒体</w:t>
            </w:r>
          </w:p>
        </w:tc>
        <w:tc>
          <w:tcPr>
            <w:tcW w:w="6789" w:type="dxa"/>
            <w:gridSpan w:val="3"/>
            <w:vAlign w:val="center"/>
          </w:tcPr>
          <w:p>
            <w:pPr>
              <w:wordWrap w:val="0"/>
              <w:adjustRightInd w:val="0"/>
              <w:snapToGrid w:val="0"/>
              <w:spacing w:line="320" w:lineRule="exact"/>
              <w:rPr>
                <w:rFonts w:ascii="宋体" w:hAnsi="宋体"/>
                <w:color w:val="auto"/>
                <w:szCs w:val="21"/>
              </w:rPr>
            </w:pPr>
            <w:r>
              <w:rPr>
                <w:rFonts w:hint="eastAsia" w:ascii="宋体" w:hAnsi="宋体"/>
                <w:color w:val="auto"/>
                <w:szCs w:val="21"/>
              </w:rPr>
              <w:t>相关公告在</w:t>
            </w:r>
            <w:r>
              <w:rPr>
                <w:rFonts w:hint="eastAsia" w:ascii="宋体" w:hAnsi="宋体"/>
                <w:color w:val="auto"/>
                <w:szCs w:val="21"/>
              </w:rPr>
              <w:t>广州市南沙区人民政府网（</w:t>
            </w:r>
            <w:r>
              <w:rPr>
                <w:rFonts w:ascii="宋体" w:hAnsi="宋体"/>
                <w:color w:val="auto"/>
                <w:szCs w:val="21"/>
              </w:rPr>
              <w:t>http://www.gzns.gov.cn/</w:t>
            </w:r>
            <w:r>
              <w:rPr>
                <w:rFonts w:hint="eastAsia" w:ascii="宋体" w:hAnsi="宋体"/>
                <w:color w:val="auto"/>
                <w:szCs w:val="21"/>
              </w:rPr>
              <w:t>）</w:t>
            </w:r>
            <w:r>
              <w:rPr>
                <w:rFonts w:hint="eastAsia" w:ascii="宋体" w:hAnsi="宋体"/>
                <w:color w:val="auto"/>
                <w:szCs w:val="21"/>
              </w:rPr>
              <w:t>上发布。公布之日即视为有效送达，不再另行通知。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83" w:hRule="atLeast"/>
          <w:jc w:val="center"/>
        </w:trPr>
        <w:tc>
          <w:tcPr>
            <w:tcW w:w="854" w:type="dxa"/>
            <w:vAlign w:val="center"/>
          </w:tcPr>
          <w:p>
            <w:pPr>
              <w:jc w:val="center"/>
              <w:rPr>
                <w:rFonts w:ascii="宋体" w:hAnsi="宋体"/>
                <w:color w:val="auto"/>
                <w:szCs w:val="21"/>
              </w:rPr>
            </w:pPr>
            <w:r>
              <w:rPr>
                <w:rFonts w:hint="eastAsia" w:ascii="宋体" w:hAnsi="宋体"/>
                <w:color w:val="auto"/>
                <w:szCs w:val="21"/>
              </w:rPr>
              <w:t>8.1</w:t>
            </w:r>
          </w:p>
        </w:tc>
        <w:tc>
          <w:tcPr>
            <w:tcW w:w="1699" w:type="dxa"/>
            <w:vAlign w:val="center"/>
          </w:tcPr>
          <w:p>
            <w:pPr>
              <w:adjustRightInd w:val="0"/>
              <w:snapToGrid w:val="0"/>
              <w:jc w:val="center"/>
              <w:rPr>
                <w:rFonts w:ascii="宋体" w:hAnsi="宋体"/>
                <w:color w:val="auto"/>
                <w:szCs w:val="21"/>
              </w:rPr>
            </w:pPr>
            <w:r>
              <w:rPr>
                <w:rFonts w:hint="eastAsia" w:ascii="宋体" w:hAnsi="宋体"/>
                <w:color w:val="auto"/>
                <w:szCs w:val="21"/>
              </w:rPr>
              <w:t>集中答疑会或现场考察</w:t>
            </w:r>
          </w:p>
        </w:tc>
        <w:tc>
          <w:tcPr>
            <w:tcW w:w="6789" w:type="dxa"/>
            <w:gridSpan w:val="3"/>
            <w:vAlign w:val="center"/>
          </w:tcPr>
          <w:p>
            <w:pPr>
              <w:adjustRightInd w:val="0"/>
              <w:snapToGrid w:val="0"/>
              <w:jc w:val="left"/>
              <w:rPr>
                <w:rFonts w:ascii="宋体" w:hAnsi="宋体"/>
                <w:color w:val="auto"/>
                <w:szCs w:val="21"/>
              </w:rPr>
            </w:pPr>
            <w:r>
              <w:rPr>
                <w:rFonts w:hint="eastAsia" w:ascii="宋体" w:hAnsi="宋体"/>
                <w:color w:val="auto"/>
              </w:rPr>
              <w:t>不举行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jc w:val="center"/>
        </w:trPr>
        <w:tc>
          <w:tcPr>
            <w:tcW w:w="9342" w:type="dxa"/>
            <w:gridSpan w:val="5"/>
            <w:vAlign w:val="center"/>
          </w:tcPr>
          <w:p>
            <w:pPr>
              <w:jc w:val="center"/>
              <w:rPr>
                <w:rFonts w:ascii="宋体" w:hAnsi="宋体"/>
                <w:b/>
                <w:color w:val="auto"/>
                <w:szCs w:val="21"/>
              </w:rPr>
            </w:pPr>
            <w:r>
              <w:rPr>
                <w:rFonts w:ascii="宋体" w:hAnsi="宋体"/>
                <w:b/>
                <w:color w:val="auto"/>
                <w:szCs w:val="21"/>
              </w:rPr>
              <w:t>三、投标文件的编制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8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12.2</w:t>
            </w:r>
          </w:p>
        </w:tc>
        <w:tc>
          <w:tcPr>
            <w:tcW w:w="1699"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投标报价</w:t>
            </w:r>
          </w:p>
        </w:tc>
        <w:tc>
          <w:tcPr>
            <w:tcW w:w="6789" w:type="dxa"/>
            <w:gridSpan w:val="3"/>
            <w:vAlign w:val="center"/>
          </w:tcPr>
          <w:p>
            <w:pPr>
              <w:adjustRightInd w:val="0"/>
              <w:snapToGrid w:val="0"/>
              <w:spacing w:line="320" w:lineRule="exact"/>
              <w:rPr>
                <w:rFonts w:asciiTheme="majorEastAsia" w:hAnsiTheme="majorEastAsia" w:eastAsiaTheme="majorEastAsia"/>
                <w:color w:val="auto"/>
              </w:rPr>
            </w:pPr>
            <w:r>
              <w:rPr>
                <w:rFonts w:hint="eastAsia" w:asciiTheme="majorEastAsia" w:hAnsiTheme="majorEastAsia" w:eastAsiaTheme="majorEastAsia"/>
                <w:color w:val="auto"/>
              </w:rPr>
              <w:t>1、投标报价（总价）中不得包含招标文件要求以外的内容，否则，在评标时不予核减。</w:t>
            </w:r>
          </w:p>
          <w:p>
            <w:pPr>
              <w:adjustRightInd w:val="0"/>
              <w:snapToGrid w:val="0"/>
              <w:spacing w:line="320" w:lineRule="exact"/>
              <w:rPr>
                <w:rFonts w:ascii="宋体" w:hAnsi="宋体"/>
                <w:color w:val="auto"/>
                <w:szCs w:val="21"/>
              </w:rPr>
            </w:pPr>
            <w:r>
              <w:rPr>
                <w:rFonts w:hint="eastAsia" w:asciiTheme="majorEastAsia" w:hAnsiTheme="majorEastAsia" w:eastAsiaTheme="majorEastAsia"/>
                <w:color w:val="auto"/>
              </w:rPr>
              <w:t>2、若投标报价有缺漏项的，缺漏项部分的价格视为已包含在投标报价中，中标后不作任何调整。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8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12.2.1</w:t>
            </w:r>
          </w:p>
        </w:tc>
        <w:tc>
          <w:tcPr>
            <w:tcW w:w="1699"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（境内服务）投标分项报价</w:t>
            </w:r>
          </w:p>
        </w:tc>
        <w:tc>
          <w:tcPr>
            <w:tcW w:w="6789" w:type="dxa"/>
            <w:gridSpan w:val="3"/>
            <w:vAlign w:val="center"/>
          </w:tcPr>
          <w:p>
            <w:pPr>
              <w:adjustRightInd w:val="0"/>
              <w:snapToGrid w:val="0"/>
              <w:spacing w:line="320" w:lineRule="exact"/>
              <w:rPr>
                <w:color w:val="auto"/>
              </w:rPr>
            </w:pPr>
            <w:r>
              <w:rPr>
                <w:rFonts w:hint="eastAsia"/>
                <w:color w:val="auto"/>
              </w:rPr>
              <w:t>包</w:t>
            </w:r>
            <w:r>
              <w:rPr>
                <w:color w:val="auto"/>
              </w:rPr>
              <w:t>括但不限于项目的</w:t>
            </w:r>
            <w:r>
              <w:rPr>
                <w:rFonts w:hint="eastAsia" w:ascii="宋体" w:hAnsi="宋体" w:cs="宋体"/>
                <w:color w:val="auto"/>
                <w:szCs w:val="21"/>
              </w:rPr>
              <w:t>服务价格、</w:t>
            </w:r>
            <w:r>
              <w:rPr>
                <w:rFonts w:hint="eastAsia" w:ascii="宋体" w:hAnsi="宋体" w:cs="宋体"/>
                <w:color w:val="auto"/>
                <w:szCs w:val="21"/>
                <w:lang w:eastAsia="zh-TW"/>
              </w:rPr>
              <w:t>应向中华人民共和国政府缴纳的增值税和其它税等全部税费</w:t>
            </w:r>
            <w:r>
              <w:rPr>
                <w:color w:val="auto"/>
              </w:rPr>
              <w:t>以及</w:t>
            </w:r>
            <w:r>
              <w:rPr>
                <w:rFonts w:hint="eastAsia" w:ascii="宋体" w:hAnsi="宋体" w:cs="宋体"/>
                <w:color w:val="auto"/>
                <w:szCs w:val="21"/>
              </w:rPr>
              <w:t>履行合同所需的费用、</w:t>
            </w:r>
            <w:r>
              <w:rPr>
                <w:color w:val="auto"/>
              </w:rPr>
              <w:t>所有风险、责任等</w:t>
            </w:r>
            <w:r>
              <w:rPr>
                <w:rFonts w:hint="eastAsia" w:ascii="宋体" w:hAnsi="宋体" w:cs="宋体"/>
                <w:color w:val="auto"/>
                <w:szCs w:val="21"/>
              </w:rPr>
              <w:t>其他一切隐含及不可预见的费用。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8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12.3</w:t>
            </w:r>
          </w:p>
        </w:tc>
        <w:tc>
          <w:tcPr>
            <w:tcW w:w="1699"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报价是唯一或固定不变</w:t>
            </w:r>
          </w:p>
        </w:tc>
        <w:tc>
          <w:tcPr>
            <w:tcW w:w="6789" w:type="dxa"/>
            <w:gridSpan w:val="3"/>
            <w:vAlign w:val="center"/>
          </w:tcPr>
          <w:p>
            <w:pPr>
              <w:adjustRightInd w:val="0"/>
              <w:snapToGrid w:val="0"/>
              <w:spacing w:line="320" w:lineRule="exact"/>
              <w:rPr>
                <w:color w:val="auto"/>
              </w:rPr>
            </w:pPr>
            <w:r>
              <w:rPr>
                <w:rFonts w:hint="eastAsia"/>
                <w:color w:val="auto"/>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8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12.4</w:t>
            </w:r>
          </w:p>
        </w:tc>
        <w:tc>
          <w:tcPr>
            <w:tcW w:w="1699"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备选方案</w:t>
            </w:r>
          </w:p>
        </w:tc>
        <w:tc>
          <w:tcPr>
            <w:tcW w:w="6789" w:type="dxa"/>
            <w:gridSpan w:val="3"/>
            <w:vAlign w:val="center"/>
          </w:tcPr>
          <w:p>
            <w:pPr>
              <w:adjustRightInd w:val="0"/>
              <w:snapToGrid w:val="0"/>
              <w:spacing w:line="320" w:lineRule="exact"/>
              <w:rPr>
                <w:rFonts w:ascii="宋体" w:hAnsi="宋体" w:cs="宋体"/>
                <w:color w:val="auto"/>
                <w:szCs w:val="21"/>
              </w:rPr>
            </w:pPr>
            <w:r>
              <w:rPr>
                <w:rFonts w:hint="eastAsia" w:ascii="宋体" w:hAnsi="宋体"/>
                <w:color w:val="auto"/>
                <w:szCs w:val="21"/>
              </w:rPr>
              <w:t>不允许有备选方案，否则将被视为无效投标。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8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12.5</w:t>
            </w:r>
          </w:p>
        </w:tc>
        <w:tc>
          <w:tcPr>
            <w:tcW w:w="1699"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附加条件报价</w:t>
            </w:r>
          </w:p>
        </w:tc>
        <w:tc>
          <w:tcPr>
            <w:tcW w:w="6789" w:type="dxa"/>
            <w:gridSpan w:val="3"/>
            <w:vAlign w:val="center"/>
          </w:tcPr>
          <w:p>
            <w:pPr>
              <w:adjustRightInd w:val="0"/>
              <w:snapToGrid w:val="0"/>
              <w:spacing w:line="320" w:lineRule="exact"/>
              <w:rPr>
                <w:rFonts w:ascii="宋体" w:hAnsi="宋体"/>
                <w:color w:val="auto"/>
                <w:szCs w:val="21"/>
              </w:rPr>
            </w:pPr>
            <w:r>
              <w:rPr>
                <w:rFonts w:hint="eastAsia" w:ascii="宋体" w:hAnsi="宋体"/>
                <w:color w:val="auto"/>
                <w:szCs w:val="21"/>
              </w:rPr>
              <w:t>不允许附加条件报价，</w:t>
            </w:r>
            <w:r>
              <w:rPr>
                <w:rFonts w:hint="eastAsia" w:ascii="宋体" w:hAnsi="宋体" w:cs="宋体"/>
                <w:color w:val="auto"/>
                <w:szCs w:val="21"/>
              </w:rPr>
              <w:t>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8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13.1</w:t>
            </w:r>
          </w:p>
        </w:tc>
        <w:tc>
          <w:tcPr>
            <w:tcW w:w="1699"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投标货币</w:t>
            </w:r>
          </w:p>
        </w:tc>
        <w:tc>
          <w:tcPr>
            <w:tcW w:w="6789" w:type="dxa"/>
            <w:gridSpan w:val="3"/>
            <w:vAlign w:val="center"/>
          </w:tcPr>
          <w:p>
            <w:pPr>
              <w:adjustRightInd w:val="0"/>
              <w:snapToGrid w:val="0"/>
              <w:spacing w:line="320" w:lineRule="exact"/>
              <w:rPr>
                <w:rFonts w:ascii="宋体" w:hAnsi="宋体"/>
                <w:color w:val="auto"/>
                <w:szCs w:val="21"/>
              </w:rPr>
            </w:pPr>
            <w:r>
              <w:rPr>
                <w:rFonts w:hint="eastAsia" w:ascii="宋体" w:hAnsi="宋体"/>
                <w:color w:val="auto"/>
                <w:szCs w:val="21"/>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16.4</w:t>
            </w:r>
          </w:p>
        </w:tc>
        <w:tc>
          <w:tcPr>
            <w:tcW w:w="1699" w:type="dxa"/>
            <w:vAlign w:val="center"/>
          </w:tcPr>
          <w:p>
            <w:pPr>
              <w:adjustRightInd w:val="0"/>
              <w:snapToGrid w:val="0"/>
              <w:spacing w:line="320" w:lineRule="exact"/>
              <w:jc w:val="center"/>
              <w:rPr>
                <w:rFonts w:ascii="宋体" w:hAnsi="宋体"/>
                <w:color w:val="auto"/>
                <w:szCs w:val="21"/>
              </w:rPr>
            </w:pPr>
            <w:r>
              <w:rPr>
                <w:rFonts w:hint="eastAsia" w:ascii="宋体" w:hAnsi="宋体" w:cs="宋体"/>
                <w:color w:val="auto"/>
                <w:szCs w:val="21"/>
                <w:lang w:eastAsia="zh-TW"/>
              </w:rPr>
              <w:t>技术支持资料</w:t>
            </w:r>
          </w:p>
        </w:tc>
        <w:tc>
          <w:tcPr>
            <w:tcW w:w="6789" w:type="dxa"/>
            <w:gridSpan w:val="3"/>
            <w:vAlign w:val="center"/>
          </w:tcPr>
          <w:p>
            <w:pPr>
              <w:adjustRightInd w:val="0"/>
              <w:snapToGrid w:val="0"/>
              <w:spacing w:line="320" w:lineRule="exact"/>
              <w:jc w:val="left"/>
              <w:rPr>
                <w:rFonts w:ascii="宋体" w:hAnsi="宋体" w:cs="宋体"/>
                <w:color w:val="auto"/>
                <w:szCs w:val="21"/>
              </w:rPr>
            </w:pPr>
            <w:r>
              <w:rPr>
                <w:rFonts w:hint="eastAsia" w:ascii="宋体" w:hAnsi="宋体" w:cs="宋体"/>
                <w:color w:val="auto"/>
                <w:szCs w:val="21"/>
              </w:rPr>
              <w:t>不适用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8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17.1</w:t>
            </w:r>
          </w:p>
        </w:tc>
        <w:tc>
          <w:tcPr>
            <w:tcW w:w="1699"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分包</w:t>
            </w:r>
          </w:p>
        </w:tc>
        <w:tc>
          <w:tcPr>
            <w:tcW w:w="6789" w:type="dxa"/>
            <w:gridSpan w:val="3"/>
            <w:vAlign w:val="center"/>
          </w:tcPr>
          <w:p>
            <w:pPr>
              <w:adjustRightInd w:val="0"/>
              <w:snapToGrid w:val="0"/>
              <w:spacing w:line="320" w:lineRule="exact"/>
              <w:rPr>
                <w:rFonts w:ascii="宋体" w:hAnsi="宋体"/>
                <w:color w:val="auto"/>
                <w:szCs w:val="21"/>
              </w:rPr>
            </w:pPr>
            <w:r>
              <w:rPr>
                <w:rFonts w:hint="eastAsia" w:ascii="宋体" w:hAnsi="宋体"/>
                <w:color w:val="auto"/>
                <w:szCs w:val="21"/>
              </w:rPr>
              <w:t>本项目不允许分包。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854" w:type="dxa"/>
            <w:vAlign w:val="center"/>
          </w:tcPr>
          <w:p>
            <w:pPr>
              <w:jc w:val="center"/>
              <w:rPr>
                <w:rFonts w:ascii="宋体" w:hAnsi="宋体"/>
                <w:color w:val="auto"/>
                <w:szCs w:val="21"/>
              </w:rPr>
            </w:pPr>
            <w:r>
              <w:rPr>
                <w:rFonts w:ascii="宋体" w:hAnsi="宋体"/>
                <w:color w:val="auto"/>
                <w:szCs w:val="21"/>
              </w:rPr>
              <w:t>1</w:t>
            </w:r>
            <w:r>
              <w:rPr>
                <w:rFonts w:hint="eastAsia" w:ascii="宋体" w:hAnsi="宋体"/>
                <w:color w:val="auto"/>
                <w:szCs w:val="21"/>
              </w:rPr>
              <w:t>8</w:t>
            </w:r>
            <w:r>
              <w:rPr>
                <w:rFonts w:ascii="宋体" w:hAnsi="宋体"/>
                <w:color w:val="auto"/>
                <w:szCs w:val="21"/>
              </w:rPr>
              <w:t>.1</w:t>
            </w:r>
          </w:p>
        </w:tc>
        <w:tc>
          <w:tcPr>
            <w:tcW w:w="1699" w:type="dxa"/>
            <w:vAlign w:val="center"/>
          </w:tcPr>
          <w:p>
            <w:pPr>
              <w:adjustRightInd w:val="0"/>
              <w:snapToGrid w:val="0"/>
              <w:jc w:val="center"/>
              <w:rPr>
                <w:rFonts w:ascii="宋体" w:hAnsi="宋体"/>
                <w:color w:val="auto"/>
                <w:szCs w:val="21"/>
              </w:rPr>
            </w:pPr>
            <w:r>
              <w:rPr>
                <w:rFonts w:ascii="宋体" w:hAnsi="宋体"/>
                <w:color w:val="auto"/>
                <w:szCs w:val="21"/>
              </w:rPr>
              <w:t>投标保证金</w:t>
            </w:r>
          </w:p>
        </w:tc>
        <w:tc>
          <w:tcPr>
            <w:tcW w:w="6789" w:type="dxa"/>
            <w:gridSpan w:val="3"/>
            <w:vAlign w:val="center"/>
          </w:tcPr>
          <w:p>
            <w:pPr>
              <w:adjustRightInd w:val="0"/>
              <w:snapToGrid w:val="0"/>
              <w:jc w:val="left"/>
              <w:rPr>
                <w:rFonts w:ascii="宋体" w:hAnsi="宋体"/>
                <w:bCs/>
                <w:color w:val="auto"/>
              </w:rPr>
            </w:pPr>
            <w:r>
              <w:rPr>
                <w:rFonts w:hint="eastAsia" w:ascii="宋体" w:hAnsi="宋体"/>
                <w:bCs/>
                <w:color w:val="auto"/>
              </w:rPr>
              <w:t>本项目无需递交保证金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854" w:type="dxa"/>
            <w:vAlign w:val="center"/>
          </w:tcPr>
          <w:p>
            <w:pPr>
              <w:jc w:val="center"/>
              <w:rPr>
                <w:rFonts w:ascii="宋体" w:hAnsi="宋体"/>
                <w:color w:val="auto"/>
                <w:szCs w:val="21"/>
              </w:rPr>
            </w:pPr>
            <w:r>
              <w:rPr>
                <w:rFonts w:hint="eastAsia" w:ascii="宋体" w:hAnsi="宋体"/>
                <w:color w:val="auto"/>
                <w:szCs w:val="21"/>
              </w:rPr>
              <w:t>19</w:t>
            </w:r>
            <w:r>
              <w:rPr>
                <w:rFonts w:ascii="宋体" w:hAnsi="宋体"/>
                <w:color w:val="auto"/>
                <w:szCs w:val="21"/>
              </w:rPr>
              <w:t>.1</w:t>
            </w:r>
          </w:p>
        </w:tc>
        <w:tc>
          <w:tcPr>
            <w:tcW w:w="1699" w:type="dxa"/>
            <w:vAlign w:val="center"/>
          </w:tcPr>
          <w:p>
            <w:pPr>
              <w:jc w:val="center"/>
              <w:rPr>
                <w:rFonts w:ascii="宋体" w:hAnsi="宋体"/>
                <w:color w:val="auto"/>
                <w:szCs w:val="21"/>
              </w:rPr>
            </w:pPr>
            <w:r>
              <w:rPr>
                <w:rFonts w:ascii="宋体" w:hAnsi="宋体"/>
                <w:color w:val="auto"/>
                <w:szCs w:val="21"/>
              </w:rPr>
              <w:t>投标有效期</w:t>
            </w:r>
          </w:p>
        </w:tc>
        <w:tc>
          <w:tcPr>
            <w:tcW w:w="6789" w:type="dxa"/>
            <w:gridSpan w:val="3"/>
            <w:vAlign w:val="center"/>
          </w:tcPr>
          <w:p>
            <w:pPr>
              <w:rPr>
                <w:rFonts w:ascii="宋体" w:hAnsi="宋体"/>
                <w:color w:val="auto"/>
                <w:szCs w:val="21"/>
              </w:rPr>
            </w:pPr>
            <w:r>
              <w:rPr>
                <w:rFonts w:hint="eastAsia" w:ascii="宋体" w:hAnsi="宋体"/>
                <w:color w:val="auto"/>
                <w:szCs w:val="21"/>
              </w:rPr>
              <w:t>120日历日（从投标截止之日计起）。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8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20.1</w:t>
            </w:r>
          </w:p>
        </w:tc>
        <w:tc>
          <w:tcPr>
            <w:tcW w:w="1699" w:type="dxa"/>
            <w:vAlign w:val="center"/>
          </w:tcPr>
          <w:p>
            <w:pPr>
              <w:adjustRightInd w:val="0"/>
              <w:snapToGrid w:val="0"/>
              <w:spacing w:line="320" w:lineRule="exact"/>
              <w:jc w:val="center"/>
              <w:rPr>
                <w:rFonts w:ascii="宋体" w:hAnsi="宋体"/>
                <w:color w:val="auto"/>
                <w:szCs w:val="21"/>
              </w:rPr>
            </w:pPr>
            <w:r>
              <w:rPr>
                <w:rFonts w:ascii="宋体" w:hAnsi="宋体"/>
                <w:color w:val="auto"/>
                <w:szCs w:val="21"/>
              </w:rPr>
              <w:t>投标文件份数</w:t>
            </w:r>
          </w:p>
        </w:tc>
        <w:tc>
          <w:tcPr>
            <w:tcW w:w="6789" w:type="dxa"/>
            <w:gridSpan w:val="3"/>
            <w:vAlign w:val="center"/>
          </w:tcPr>
          <w:p>
            <w:pPr>
              <w:adjustRightInd w:val="0"/>
              <w:snapToGrid w:val="0"/>
              <w:spacing w:line="320" w:lineRule="exact"/>
              <w:rPr>
                <w:rFonts w:ascii="宋体" w:hAnsi="宋体"/>
                <w:color w:val="auto"/>
                <w:szCs w:val="21"/>
              </w:rPr>
            </w:pPr>
            <w:r>
              <w:rPr>
                <w:rFonts w:ascii="宋体" w:hAnsi="宋体"/>
                <w:color w:val="auto"/>
                <w:szCs w:val="21"/>
              </w:rPr>
              <w:t>正本一份，副本</w:t>
            </w:r>
            <w:r>
              <w:rPr>
                <w:rFonts w:hint="eastAsia" w:ascii="宋体" w:hAnsi="宋体"/>
                <w:color w:val="auto"/>
                <w:szCs w:val="21"/>
              </w:rPr>
              <w:t>五</w:t>
            </w:r>
            <w:r>
              <w:rPr>
                <w:rFonts w:ascii="宋体" w:hAnsi="宋体"/>
                <w:color w:val="auto"/>
                <w:szCs w:val="21"/>
              </w:rPr>
              <w:t>份，</w:t>
            </w:r>
            <w:r>
              <w:rPr>
                <w:rFonts w:hint="eastAsia" w:ascii="宋体" w:hAnsi="宋体"/>
                <w:color w:val="auto"/>
                <w:szCs w:val="21"/>
              </w:rPr>
              <w:t>若正本与副本有不一致，以正本为准。</w:t>
            </w:r>
          </w:p>
          <w:p>
            <w:pPr>
              <w:adjustRightInd w:val="0"/>
              <w:snapToGrid w:val="0"/>
              <w:spacing w:line="320" w:lineRule="exact"/>
              <w:rPr>
                <w:rFonts w:ascii="宋体" w:hAnsi="宋体"/>
                <w:color w:val="auto"/>
                <w:szCs w:val="21"/>
              </w:rPr>
            </w:pPr>
            <w:r>
              <w:rPr>
                <w:rFonts w:ascii="宋体" w:hAnsi="宋体"/>
                <w:color w:val="auto"/>
                <w:szCs w:val="21"/>
              </w:rPr>
              <w:t>电子文件</w:t>
            </w:r>
            <w:r>
              <w:rPr>
                <w:rFonts w:hint="eastAsia" w:ascii="宋体" w:hAnsi="宋体"/>
                <w:color w:val="auto"/>
                <w:szCs w:val="21"/>
              </w:rPr>
              <w:t>一</w:t>
            </w:r>
            <w:r>
              <w:rPr>
                <w:rFonts w:ascii="宋体" w:hAnsi="宋体"/>
                <w:color w:val="auto"/>
                <w:szCs w:val="21"/>
              </w:rPr>
              <w:t>份</w:t>
            </w:r>
            <w:r>
              <w:rPr>
                <w:rFonts w:hint="eastAsia" w:ascii="宋体" w:hAnsi="宋体"/>
                <w:color w:val="auto"/>
                <w:szCs w:val="21"/>
              </w:rPr>
              <w:t>（</w:t>
            </w:r>
            <w:r>
              <w:rPr>
                <w:rFonts w:hint="eastAsia" w:ascii="宋体" w:hAnsi="宋体"/>
                <w:color w:val="auto"/>
              </w:rPr>
              <w:t>不可加密）</w:t>
            </w:r>
            <w:r>
              <w:rPr>
                <w:rFonts w:ascii="宋体" w:hAnsi="宋体"/>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8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20.2</w:t>
            </w:r>
          </w:p>
        </w:tc>
        <w:tc>
          <w:tcPr>
            <w:tcW w:w="1699"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电子文件</w:t>
            </w:r>
          </w:p>
        </w:tc>
        <w:tc>
          <w:tcPr>
            <w:tcW w:w="6789" w:type="dxa"/>
            <w:gridSpan w:val="3"/>
            <w:vAlign w:val="center"/>
          </w:tcPr>
          <w:p>
            <w:pPr>
              <w:adjustRightInd w:val="0"/>
              <w:snapToGrid w:val="0"/>
              <w:spacing w:line="320" w:lineRule="exact"/>
              <w:rPr>
                <w:rFonts w:ascii="宋体" w:hAnsi="宋体"/>
                <w:color w:val="auto"/>
                <w:szCs w:val="21"/>
              </w:rPr>
            </w:pPr>
            <w:r>
              <w:rPr>
                <w:rFonts w:hint="eastAsia" w:ascii="宋体" w:hAnsi="宋体" w:cs="宋体"/>
                <w:color w:val="auto"/>
                <w:szCs w:val="21"/>
                <w:lang w:eastAsia="zh-TW"/>
              </w:rPr>
              <w:t>电子文件是指将按招标文件要求</w:t>
            </w:r>
            <w:r>
              <w:rPr>
                <w:rFonts w:hint="eastAsia" w:ascii="宋体" w:hAnsi="宋体" w:cs="宋体"/>
                <w:b/>
                <w:color w:val="auto"/>
                <w:szCs w:val="21"/>
                <w:u w:val="single"/>
                <w:lang w:eastAsia="zh-TW"/>
              </w:rPr>
              <w:t>签署、盖章后的正本投标文件扫描成PDF</w:t>
            </w:r>
            <w:r>
              <w:rPr>
                <w:rFonts w:hint="eastAsia" w:ascii="宋体" w:hAnsi="宋体" w:cs="宋体"/>
                <w:color w:val="auto"/>
                <w:szCs w:val="21"/>
                <w:lang w:eastAsia="zh-TW"/>
              </w:rPr>
              <w:t>格式后拷贝至无病毒无密码的U盘或光盘</w:t>
            </w:r>
            <w:r>
              <w:rPr>
                <w:rFonts w:hint="eastAsia" w:ascii="宋体" w:hAnsi="宋体" w:cs="宋体"/>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342" w:type="dxa"/>
            <w:gridSpan w:val="5"/>
            <w:vAlign w:val="center"/>
          </w:tcPr>
          <w:p>
            <w:pPr>
              <w:jc w:val="center"/>
              <w:rPr>
                <w:rFonts w:ascii="宋体" w:hAnsi="宋体" w:cs="宋体"/>
                <w:color w:val="auto"/>
                <w:szCs w:val="21"/>
              </w:rPr>
            </w:pPr>
            <w:r>
              <w:rPr>
                <w:rFonts w:hint="eastAsia" w:ascii="宋体" w:hAnsi="宋体"/>
                <w:b/>
                <w:color w:val="auto"/>
                <w:szCs w:val="21"/>
              </w:rPr>
              <w:t>四、投标文件的递交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8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23.2.6</w:t>
            </w:r>
          </w:p>
        </w:tc>
        <w:tc>
          <w:tcPr>
            <w:tcW w:w="1699"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质疑受理联系方式</w:t>
            </w:r>
          </w:p>
        </w:tc>
        <w:tc>
          <w:tcPr>
            <w:tcW w:w="6789" w:type="dxa"/>
            <w:gridSpan w:val="3"/>
            <w:vAlign w:val="center"/>
          </w:tcPr>
          <w:p>
            <w:pPr>
              <w:rPr>
                <w:rFonts w:ascii="宋体" w:hAnsi="宋体"/>
                <w:color w:val="auto"/>
                <w:szCs w:val="21"/>
              </w:rPr>
            </w:pPr>
            <w:r>
              <w:rPr>
                <w:rFonts w:hint="eastAsia" w:ascii="宋体" w:hAnsi="宋体"/>
                <w:color w:val="auto"/>
                <w:szCs w:val="21"/>
              </w:rPr>
              <w:t>机构名称：</w:t>
            </w:r>
            <w:r>
              <w:rPr>
                <w:rFonts w:hint="eastAsia" w:ascii="宋体" w:hAnsi="宋体"/>
                <w:color w:val="auto"/>
                <w:szCs w:val="21"/>
              </w:rPr>
              <w:t>广东公信招标有限公司</w:t>
            </w:r>
          </w:p>
          <w:p>
            <w:pPr>
              <w:rPr>
                <w:rFonts w:ascii="宋体" w:hAnsi="宋体"/>
                <w:color w:val="auto"/>
                <w:szCs w:val="21"/>
              </w:rPr>
            </w:pPr>
            <w:r>
              <w:rPr>
                <w:rFonts w:hint="eastAsia" w:ascii="宋体" w:hAnsi="宋体"/>
                <w:color w:val="auto"/>
                <w:szCs w:val="21"/>
              </w:rPr>
              <w:t>联系人：张小姐</w:t>
            </w:r>
          </w:p>
          <w:p>
            <w:pPr>
              <w:rPr>
                <w:rFonts w:ascii="宋体" w:hAnsi="宋体"/>
                <w:color w:val="auto"/>
                <w:szCs w:val="21"/>
              </w:rPr>
            </w:pPr>
            <w:r>
              <w:rPr>
                <w:rFonts w:hint="eastAsia" w:ascii="宋体" w:hAnsi="宋体"/>
                <w:color w:val="auto"/>
                <w:szCs w:val="21"/>
              </w:rPr>
              <w:t>联系电话：020-83064172</w:t>
            </w:r>
            <w:r>
              <w:rPr>
                <w:rFonts w:ascii="宋体" w:hAnsi="宋体"/>
                <w:color w:val="auto"/>
                <w:szCs w:val="21"/>
              </w:rPr>
              <w:t>-800</w:t>
            </w:r>
            <w:r>
              <w:rPr>
                <w:rFonts w:hint="eastAsia" w:ascii="宋体" w:hAnsi="宋体"/>
                <w:color w:val="auto"/>
                <w:szCs w:val="21"/>
              </w:rPr>
              <w:t>5</w:t>
            </w:r>
            <w:r>
              <w:rPr>
                <w:rFonts w:hint="eastAsia" w:ascii="宋体"/>
                <w:bCs/>
                <w:color w:val="auto"/>
                <w:szCs w:val="21"/>
              </w:rPr>
              <w:t>（</w:t>
            </w:r>
            <w:r>
              <w:rPr>
                <w:rFonts w:hint="eastAsia" w:ascii="宋体" w:hAnsi="宋体"/>
                <w:color w:val="auto"/>
                <w:szCs w:val="21"/>
              </w:rPr>
              <w:t>上午09:00至12:00,下午14:00至17:00，法定节假日除外</w:t>
            </w:r>
            <w:r>
              <w:rPr>
                <w:rFonts w:hint="eastAsia" w:ascii="宋体"/>
                <w:bCs/>
                <w:color w:val="auto"/>
                <w:szCs w:val="21"/>
              </w:rPr>
              <w:t>）</w:t>
            </w:r>
          </w:p>
          <w:p>
            <w:pPr>
              <w:adjustRightInd w:val="0"/>
              <w:snapToGrid w:val="0"/>
              <w:spacing w:line="320" w:lineRule="exact"/>
              <w:rPr>
                <w:rFonts w:ascii="宋体" w:hAnsi="宋体"/>
                <w:color w:val="auto"/>
                <w:szCs w:val="21"/>
              </w:rPr>
            </w:pPr>
            <w:r>
              <w:rPr>
                <w:rFonts w:hint="eastAsia" w:ascii="宋体" w:hAnsi="宋体"/>
                <w:color w:val="auto"/>
              </w:rPr>
              <w:t>联系</w:t>
            </w:r>
            <w:r>
              <w:rPr>
                <w:rFonts w:hint="eastAsia" w:ascii="宋体" w:hAnsi="宋体"/>
                <w:color w:val="auto"/>
                <w:szCs w:val="21"/>
              </w:rPr>
              <w:t>地址：广州市天河区天寿路31号江河大厦20楼</w:t>
            </w:r>
          </w:p>
          <w:p>
            <w:pPr>
              <w:adjustRightInd w:val="0"/>
              <w:snapToGrid w:val="0"/>
              <w:spacing w:line="320" w:lineRule="exact"/>
              <w:rPr>
                <w:rFonts w:ascii="宋体" w:hAnsi="宋体"/>
                <w:color w:val="auto"/>
                <w:szCs w:val="21"/>
              </w:rPr>
            </w:pPr>
            <w:r>
              <w:rPr>
                <w:rFonts w:hint="eastAsia" w:ascii="宋体" w:hAnsi="宋体"/>
                <w:color w:val="auto"/>
                <w:szCs w:val="21"/>
              </w:rPr>
              <w:t>邮政编码：</w:t>
            </w:r>
            <w:r>
              <w:rPr>
                <w:rFonts w:ascii="宋体" w:hAnsi="宋体"/>
                <w:color w:val="auto"/>
                <w:szCs w:val="21"/>
              </w:rPr>
              <w:t>510610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 w:hRule="atLeast"/>
          <w:jc w:val="center"/>
        </w:trPr>
        <w:tc>
          <w:tcPr>
            <w:tcW w:w="9342" w:type="dxa"/>
            <w:gridSpan w:val="5"/>
            <w:vAlign w:val="center"/>
          </w:tcPr>
          <w:p>
            <w:pPr>
              <w:jc w:val="center"/>
              <w:rPr>
                <w:rFonts w:ascii="宋体" w:hAnsi="宋体"/>
                <w:color w:val="auto"/>
                <w:szCs w:val="21"/>
              </w:rPr>
            </w:pPr>
            <w:r>
              <w:rPr>
                <w:rFonts w:hint="eastAsia" w:ascii="宋体" w:hAnsi="宋体"/>
                <w:b/>
                <w:color w:val="auto"/>
                <w:szCs w:val="21"/>
              </w:rPr>
              <w:t>五</w:t>
            </w:r>
            <w:r>
              <w:rPr>
                <w:rFonts w:ascii="宋体" w:hAnsi="宋体"/>
                <w:b/>
                <w:color w:val="auto"/>
                <w:szCs w:val="21"/>
              </w:rPr>
              <w:t>、授予合同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8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26.1</w:t>
            </w:r>
          </w:p>
        </w:tc>
        <w:tc>
          <w:tcPr>
            <w:tcW w:w="1729" w:type="dxa"/>
            <w:gridSpan w:val="2"/>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合同签订时间</w:t>
            </w:r>
          </w:p>
        </w:tc>
        <w:tc>
          <w:tcPr>
            <w:tcW w:w="6759" w:type="dxa"/>
            <w:gridSpan w:val="2"/>
            <w:vAlign w:val="center"/>
          </w:tcPr>
          <w:p>
            <w:pPr>
              <w:adjustRightInd w:val="0"/>
              <w:snapToGrid w:val="0"/>
              <w:spacing w:line="320" w:lineRule="exact"/>
              <w:rPr>
                <w:rFonts w:ascii="宋体" w:hAnsi="宋体"/>
                <w:color w:val="auto"/>
                <w:szCs w:val="21"/>
              </w:rPr>
            </w:pPr>
            <w:r>
              <w:rPr>
                <w:rFonts w:hint="eastAsia" w:ascii="宋体" w:hAnsi="宋体"/>
                <w:color w:val="auto"/>
                <w:szCs w:val="21"/>
              </w:rPr>
              <w:t>自《中标通知书》发出之日起三十日内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8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28.1</w:t>
            </w:r>
          </w:p>
        </w:tc>
        <w:tc>
          <w:tcPr>
            <w:tcW w:w="1729" w:type="dxa"/>
            <w:gridSpan w:val="2"/>
            <w:vAlign w:val="center"/>
          </w:tcPr>
          <w:p>
            <w:pPr>
              <w:adjustRightInd w:val="0"/>
              <w:snapToGrid w:val="0"/>
              <w:spacing w:line="320" w:lineRule="exact"/>
              <w:jc w:val="center"/>
              <w:rPr>
                <w:rFonts w:ascii="宋体" w:hAnsi="宋体"/>
                <w:color w:val="auto"/>
                <w:szCs w:val="21"/>
              </w:rPr>
            </w:pPr>
            <w:r>
              <w:rPr>
                <w:rFonts w:ascii="宋体" w:hAnsi="宋体"/>
                <w:color w:val="auto"/>
                <w:szCs w:val="21"/>
              </w:rPr>
              <w:t>招标代理服务费</w:t>
            </w:r>
          </w:p>
        </w:tc>
        <w:tc>
          <w:tcPr>
            <w:tcW w:w="6759" w:type="dxa"/>
            <w:gridSpan w:val="2"/>
          </w:tcPr>
          <w:p>
            <w:pPr>
              <w:numPr>
                <w:ilvl w:val="0"/>
                <w:numId w:val="6"/>
              </w:numPr>
              <w:adjustRightInd w:val="0"/>
              <w:snapToGrid w:val="0"/>
              <w:spacing w:line="320" w:lineRule="exact"/>
              <w:rPr>
                <w:rFonts w:ascii="宋体" w:hAnsi="宋体"/>
                <w:color w:val="auto"/>
                <w:szCs w:val="21"/>
              </w:rPr>
            </w:pPr>
            <w:r>
              <w:rPr>
                <w:rFonts w:ascii="宋体" w:hAnsi="宋体"/>
                <w:color w:val="auto"/>
                <w:szCs w:val="21"/>
              </w:rPr>
              <w:t>中标人须向采购代理机构按如下标准和规定缴纳招标代理服务费：</w:t>
            </w:r>
          </w:p>
          <w:p>
            <w:pPr>
              <w:adjustRightInd w:val="0"/>
              <w:snapToGrid w:val="0"/>
              <w:spacing w:line="320" w:lineRule="exact"/>
              <w:ind w:left="198" w:hanging="198"/>
              <w:rPr>
                <w:rFonts w:ascii="宋体" w:hAnsi="宋体"/>
                <w:color w:val="auto"/>
                <w:szCs w:val="21"/>
              </w:rPr>
            </w:pPr>
            <w:r>
              <w:rPr>
                <w:rFonts w:ascii="宋体" w:hAnsi="宋体"/>
                <w:color w:val="auto"/>
                <w:szCs w:val="21"/>
              </w:rPr>
              <w:t>（1）以</w:t>
            </w:r>
            <w:r>
              <w:rPr>
                <w:rFonts w:hint="eastAsia" w:ascii="宋体" w:hAnsi="宋体"/>
                <w:color w:val="auto"/>
                <w:szCs w:val="21"/>
              </w:rPr>
              <w:t>采购预算</w:t>
            </w:r>
            <w:r>
              <w:rPr>
                <w:rFonts w:hint="eastAsia" w:ascii="宋体" w:hAnsi="宋体"/>
                <w:bCs/>
                <w:color w:val="auto"/>
              </w:rPr>
              <w:t>金额作为招标代理服务费的计算基数。</w:t>
            </w:r>
          </w:p>
          <w:p>
            <w:pPr>
              <w:adjustRightInd w:val="0"/>
              <w:snapToGrid w:val="0"/>
              <w:spacing w:line="320" w:lineRule="exact"/>
              <w:ind w:left="198" w:hanging="198"/>
              <w:rPr>
                <w:rFonts w:ascii="宋体" w:hAnsi="宋体"/>
                <w:strike/>
                <w:color w:val="auto"/>
                <w:szCs w:val="21"/>
              </w:rPr>
            </w:pPr>
            <w:r>
              <w:rPr>
                <w:rFonts w:ascii="宋体" w:hAnsi="宋体"/>
                <w:color w:val="auto"/>
                <w:szCs w:val="21"/>
              </w:rPr>
              <w:t>（</w:t>
            </w:r>
            <w:r>
              <w:rPr>
                <w:rFonts w:hint="eastAsia" w:ascii="宋体" w:hAnsi="宋体"/>
                <w:color w:val="auto"/>
                <w:szCs w:val="21"/>
              </w:rPr>
              <w:t>2</w:t>
            </w:r>
            <w:r>
              <w:rPr>
                <w:rFonts w:ascii="宋体" w:hAnsi="宋体"/>
                <w:color w:val="auto"/>
                <w:szCs w:val="21"/>
              </w:rPr>
              <w:t>）</w:t>
            </w:r>
            <w:r>
              <w:rPr>
                <w:rFonts w:hint="eastAsia" w:ascii="宋体" w:hAnsi="宋体"/>
                <w:color w:val="auto"/>
                <w:szCs w:val="21"/>
              </w:rPr>
              <w:t>招标代理服务费收费采用差额定率累进法计算方式。参照中华人民共和国国家发展计划委员会颁发的计价格[2002]1980号、</w:t>
            </w:r>
            <w:r>
              <w:rPr>
                <w:rFonts w:ascii="宋体" w:hAnsi="宋体"/>
                <w:color w:val="auto"/>
                <w:szCs w:val="21"/>
              </w:rPr>
              <w:t>国家发改委[2003]857号</w:t>
            </w:r>
            <w:r>
              <w:rPr>
                <w:rFonts w:hint="eastAsia" w:ascii="宋体" w:hAnsi="宋体"/>
                <w:color w:val="auto"/>
                <w:szCs w:val="21"/>
              </w:rPr>
              <w:t>及发改价格[2011]534号文规定的“</w:t>
            </w:r>
            <w:r>
              <w:rPr>
                <w:rFonts w:hint="eastAsia" w:ascii="宋体" w:hAnsi="宋体"/>
                <w:b/>
                <w:color w:val="auto"/>
                <w:szCs w:val="21"/>
              </w:rPr>
              <w:t>服务类</w:t>
            </w:r>
            <w:r>
              <w:rPr>
                <w:rFonts w:hint="eastAsia" w:ascii="宋体" w:hAnsi="宋体"/>
                <w:color w:val="auto"/>
                <w:szCs w:val="21"/>
              </w:rPr>
              <w:t>”计算。</w:t>
            </w:r>
          </w:p>
          <w:p>
            <w:pPr>
              <w:numPr>
                <w:ilvl w:val="0"/>
                <w:numId w:val="6"/>
              </w:numPr>
              <w:adjustRightInd w:val="0"/>
              <w:snapToGrid w:val="0"/>
              <w:spacing w:line="320" w:lineRule="exact"/>
              <w:ind w:left="198" w:hanging="198"/>
              <w:rPr>
                <w:rFonts w:ascii="宋体" w:hAnsi="宋体"/>
                <w:color w:val="auto"/>
                <w:szCs w:val="21"/>
              </w:rPr>
            </w:pPr>
            <w:r>
              <w:rPr>
                <w:rFonts w:ascii="宋体" w:hAnsi="宋体"/>
                <w:color w:val="auto"/>
                <w:szCs w:val="21"/>
              </w:rPr>
              <w:t xml:space="preserve">招标代理服务费的缴纳形式：向采购代理机构直接缴纳招标代理服务费。可用支票、汇票、电汇等付款方式； </w:t>
            </w:r>
          </w:p>
          <w:p>
            <w:pPr>
              <w:numPr>
                <w:ilvl w:val="0"/>
                <w:numId w:val="6"/>
              </w:numPr>
              <w:adjustRightInd w:val="0"/>
              <w:snapToGrid w:val="0"/>
              <w:spacing w:line="320" w:lineRule="exact"/>
              <w:ind w:left="198" w:hanging="198"/>
              <w:rPr>
                <w:rFonts w:ascii="宋体" w:hAnsi="宋体"/>
                <w:color w:val="auto"/>
                <w:szCs w:val="21"/>
              </w:rPr>
            </w:pPr>
            <w:r>
              <w:rPr>
                <w:rFonts w:ascii="宋体" w:hAnsi="宋体"/>
                <w:color w:val="auto"/>
                <w:szCs w:val="21"/>
              </w:rPr>
              <w:t>投标人应签署</w:t>
            </w:r>
            <w:r>
              <w:rPr>
                <w:rFonts w:hint="eastAsia" w:ascii="宋体" w:hAnsi="宋体"/>
                <w:color w:val="auto"/>
                <w:szCs w:val="21"/>
              </w:rPr>
              <w:t>投标文件格式《</w:t>
            </w:r>
            <w:r>
              <w:rPr>
                <w:rFonts w:ascii="宋体" w:hAnsi="宋体"/>
                <w:color w:val="auto"/>
                <w:szCs w:val="21"/>
              </w:rPr>
              <w:t>招标代理服务费承诺书</w:t>
            </w:r>
            <w:r>
              <w:rPr>
                <w:rFonts w:hint="eastAsia" w:ascii="宋体" w:hAnsi="宋体"/>
                <w:color w:val="auto"/>
                <w:szCs w:val="21"/>
              </w:rPr>
              <w:t>》</w:t>
            </w:r>
            <w:r>
              <w:rPr>
                <w:rFonts w:ascii="宋体" w:hAnsi="宋体"/>
                <w:color w:val="auto"/>
                <w:szCs w:val="21"/>
              </w:rPr>
              <w:t>，作为投标文件的一部分。</w:t>
            </w:r>
          </w:p>
          <w:p>
            <w:pPr>
              <w:numPr>
                <w:ilvl w:val="0"/>
                <w:numId w:val="6"/>
              </w:numPr>
              <w:adjustRightInd w:val="0"/>
              <w:snapToGrid w:val="0"/>
              <w:spacing w:line="320" w:lineRule="exact"/>
              <w:ind w:left="198" w:hanging="198"/>
              <w:rPr>
                <w:rFonts w:ascii="宋体" w:hAnsi="宋体"/>
                <w:color w:val="auto"/>
                <w:szCs w:val="21"/>
              </w:rPr>
            </w:pPr>
            <w:r>
              <w:rPr>
                <w:rFonts w:hint="eastAsia" w:ascii="宋体" w:hAnsi="宋体"/>
                <w:color w:val="auto"/>
                <w:szCs w:val="21"/>
              </w:rPr>
              <w:t>中标人在领取《中标通知书》前应向采购代理机构缴纳招标代理服务费。凭领取人身份证复印件并加盖公章领取《中标通知书》。如采用电汇或银行转账，须同时递交招标代理服务费缴费凭证复印件并加盖公章。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9342" w:type="dxa"/>
            <w:gridSpan w:val="5"/>
            <w:vAlign w:val="center"/>
          </w:tcPr>
          <w:p>
            <w:pPr>
              <w:jc w:val="center"/>
              <w:rPr>
                <w:rFonts w:ascii="宋体" w:hAnsi="宋体"/>
                <w:b/>
                <w:color w:val="auto"/>
                <w:szCs w:val="21"/>
              </w:rPr>
            </w:pPr>
            <w:r>
              <w:rPr>
                <w:rFonts w:hint="eastAsia" w:ascii="宋体" w:hAnsi="宋体"/>
                <w:b/>
                <w:color w:val="auto"/>
                <w:szCs w:val="21"/>
              </w:rPr>
              <w:t>其他说明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854" w:type="dxa"/>
            <w:vAlign w:val="center"/>
          </w:tcPr>
          <w:p>
            <w:pPr>
              <w:adjustRightInd w:val="0"/>
              <w:snapToGrid w:val="0"/>
              <w:jc w:val="center"/>
              <w:rPr>
                <w:rFonts w:ascii="宋体" w:hAnsi="宋体"/>
                <w:color w:val="auto"/>
                <w:szCs w:val="21"/>
              </w:rPr>
            </w:pPr>
            <w:r>
              <w:rPr>
                <w:rFonts w:hint="eastAsia" w:ascii="宋体" w:hAnsi="宋体"/>
                <w:color w:val="auto"/>
                <w:szCs w:val="21"/>
              </w:rPr>
              <w:t>/</w:t>
            </w:r>
          </w:p>
        </w:tc>
        <w:tc>
          <w:tcPr>
            <w:tcW w:w="1759" w:type="dxa"/>
            <w:gridSpan w:val="3"/>
            <w:vAlign w:val="center"/>
          </w:tcPr>
          <w:p>
            <w:pPr>
              <w:jc w:val="center"/>
              <w:rPr>
                <w:rFonts w:ascii="宋体" w:hAnsi="宋体"/>
                <w:bCs/>
                <w:color w:val="auto"/>
              </w:rPr>
            </w:pPr>
            <w:r>
              <w:rPr>
                <w:rFonts w:hint="eastAsia" w:ascii="宋体" w:hAnsi="宋体"/>
                <w:bCs/>
                <w:color w:val="auto"/>
              </w:rPr>
              <w:t>评标方法</w:t>
            </w:r>
          </w:p>
        </w:tc>
        <w:tc>
          <w:tcPr>
            <w:tcW w:w="6729" w:type="dxa"/>
            <w:vAlign w:val="center"/>
          </w:tcPr>
          <w:p>
            <w:pPr>
              <w:rPr>
                <w:rFonts w:ascii="宋体" w:hAnsi="宋体"/>
                <w:color w:val="auto"/>
                <w:szCs w:val="21"/>
              </w:rPr>
            </w:pPr>
            <w:r>
              <w:rPr>
                <w:rFonts w:hint="eastAsia" w:ascii="宋体" w:hAnsi="宋体"/>
                <w:bCs/>
                <w:color w:val="auto"/>
              </w:rPr>
              <w:t>采用综合评分法。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854" w:type="dxa"/>
            <w:vAlign w:val="center"/>
          </w:tcPr>
          <w:p>
            <w:pPr>
              <w:adjustRightInd w:val="0"/>
              <w:snapToGrid w:val="0"/>
              <w:jc w:val="center"/>
              <w:rPr>
                <w:rFonts w:ascii="宋体" w:hAnsi="宋体"/>
                <w:color w:val="auto"/>
                <w:szCs w:val="21"/>
              </w:rPr>
            </w:pPr>
            <w:r>
              <w:rPr>
                <w:rFonts w:hint="eastAsia" w:ascii="宋体" w:hAnsi="宋体"/>
                <w:color w:val="auto"/>
                <w:szCs w:val="21"/>
              </w:rPr>
              <w:t>/</w:t>
            </w:r>
          </w:p>
        </w:tc>
        <w:tc>
          <w:tcPr>
            <w:tcW w:w="1759" w:type="dxa"/>
            <w:gridSpan w:val="3"/>
            <w:vAlign w:val="center"/>
          </w:tcPr>
          <w:p>
            <w:pPr>
              <w:jc w:val="center"/>
              <w:rPr>
                <w:rFonts w:ascii="宋体" w:hAnsi="宋体"/>
                <w:bCs/>
                <w:color w:val="auto"/>
              </w:rPr>
            </w:pPr>
            <w:r>
              <w:rPr>
                <w:rFonts w:hint="eastAsia" w:ascii="宋体" w:hAnsi="宋体"/>
                <w:bCs/>
                <w:color w:val="auto"/>
              </w:rPr>
              <w:t>单独密封资料</w:t>
            </w:r>
          </w:p>
        </w:tc>
        <w:tc>
          <w:tcPr>
            <w:tcW w:w="6729" w:type="dxa"/>
            <w:vAlign w:val="center"/>
          </w:tcPr>
          <w:p>
            <w:pPr>
              <w:rPr>
                <w:rFonts w:ascii="宋体" w:hAnsi="宋体"/>
                <w:bCs/>
                <w:color w:val="auto"/>
              </w:rPr>
            </w:pPr>
            <w:r>
              <w:rPr>
                <w:rFonts w:hint="eastAsia" w:ascii="宋体" w:hAnsi="宋体"/>
                <w:color w:val="auto"/>
                <w:szCs w:val="21"/>
              </w:rPr>
              <w:t>将</w:t>
            </w:r>
            <w:r>
              <w:rPr>
                <w:rFonts w:hint="eastAsia" w:ascii="宋体" w:hAnsi="宋体"/>
                <w:b/>
                <w:color w:val="auto"/>
                <w:szCs w:val="21"/>
              </w:rPr>
              <w:t>电子文件、开票资料说明函</w:t>
            </w:r>
            <w:r>
              <w:rPr>
                <w:rFonts w:hint="eastAsia" w:ascii="宋体" w:hAnsi="宋体"/>
                <w:color w:val="auto"/>
                <w:szCs w:val="21"/>
              </w:rPr>
              <w:t>一并单独密封提交，并在信封上标明“</w:t>
            </w:r>
            <w:r>
              <w:rPr>
                <w:rFonts w:hint="eastAsia" w:ascii="宋体" w:hAnsi="宋体"/>
                <w:b/>
                <w:color w:val="auto"/>
                <w:szCs w:val="21"/>
              </w:rPr>
              <w:t>单独密封资料</w:t>
            </w:r>
            <w:r>
              <w:rPr>
                <w:rFonts w:hint="eastAsia" w:ascii="宋体" w:hAnsi="宋体"/>
                <w:color w:val="auto"/>
                <w:szCs w:val="21"/>
              </w:rPr>
              <w:t>”字样。</w:t>
            </w:r>
          </w:p>
        </w:tc>
      </w:tr>
    </w:tbl>
    <w:p>
      <w:pPr>
        <w:adjustRightInd w:val="0"/>
        <w:snapToGrid w:val="0"/>
        <w:spacing w:line="360" w:lineRule="auto"/>
        <w:jc w:val="center"/>
        <w:outlineLvl w:val="0"/>
        <w:rPr>
          <w:b/>
          <w:bCs/>
          <w:color w:val="auto"/>
          <w:sz w:val="28"/>
          <w:szCs w:val="28"/>
        </w:rPr>
        <w:sectPr>
          <w:pgSz w:w="11906" w:h="16838"/>
          <w:pgMar w:top="1440" w:right="1286" w:bottom="1440" w:left="1440" w:header="851" w:footer="992" w:gutter="0"/>
          <w:cols w:space="720" w:num="1"/>
          <w:docGrid w:type="lines" w:linePitch="312" w:charSpace="0"/>
        </w:sectPr>
      </w:pPr>
    </w:p>
    <w:p>
      <w:pPr>
        <w:adjustRightInd w:val="0"/>
        <w:snapToGrid w:val="0"/>
        <w:spacing w:beforeLines="50" w:line="360" w:lineRule="auto"/>
        <w:jc w:val="center"/>
        <w:outlineLvl w:val="0"/>
        <w:rPr>
          <w:b/>
          <w:bCs/>
          <w:color w:val="auto"/>
          <w:sz w:val="28"/>
          <w:szCs w:val="28"/>
          <w:highlight w:val="yellow"/>
        </w:rPr>
      </w:pPr>
      <w:bookmarkStart w:id="12" w:name="_Toc6156"/>
      <w:r>
        <w:rPr>
          <w:rFonts w:hint="eastAsia"/>
          <w:b/>
          <w:bCs/>
          <w:color w:val="auto"/>
          <w:sz w:val="28"/>
          <w:szCs w:val="28"/>
        </w:rPr>
        <w:t>第三章 开标、评标、定标</w:t>
      </w:r>
      <w:bookmarkEnd w:id="12"/>
    </w:p>
    <w:p>
      <w:pPr>
        <w:pStyle w:val="90"/>
        <w:widowControl/>
        <w:numPr>
          <w:ilvl w:val="0"/>
          <w:numId w:val="7"/>
        </w:numPr>
        <w:adjustRightInd w:val="0"/>
        <w:snapToGrid w:val="0"/>
        <w:spacing w:line="360" w:lineRule="auto"/>
        <w:ind w:firstLineChars="0"/>
        <w:jc w:val="left"/>
        <w:rPr>
          <w:rFonts w:hAnsi="宋体"/>
          <w:color w:val="auto"/>
        </w:rPr>
      </w:pPr>
      <w:bookmarkStart w:id="13" w:name="_Toc435514846"/>
      <w:r>
        <w:rPr>
          <w:rFonts w:hint="eastAsia" w:hAnsi="宋体"/>
          <w:color w:val="auto"/>
        </w:rPr>
        <w:t>开标</w:t>
      </w:r>
    </w:p>
    <w:p>
      <w:pPr>
        <w:pStyle w:val="90"/>
        <w:widowControl/>
        <w:numPr>
          <w:ilvl w:val="1"/>
          <w:numId w:val="7"/>
        </w:numPr>
        <w:adjustRightInd w:val="0"/>
        <w:snapToGrid w:val="0"/>
        <w:spacing w:line="360" w:lineRule="auto"/>
        <w:ind w:left="420" w:hanging="420" w:hangingChars="200"/>
        <w:jc w:val="left"/>
        <w:rPr>
          <w:rFonts w:hAnsi="宋体"/>
          <w:color w:val="auto"/>
        </w:rPr>
      </w:pPr>
      <w:r>
        <w:rPr>
          <w:rFonts w:hint="eastAsia" w:ascii="宋体" w:hAnsi="宋体" w:cs="宋体"/>
          <w:color w:val="auto"/>
          <w:szCs w:val="21"/>
          <w:lang w:eastAsia="zh-TW"/>
        </w:rPr>
        <w:t>采购代理机构在投标邀请中规定的日期、时</w:t>
      </w:r>
      <w:r>
        <w:rPr>
          <w:rFonts w:hint="eastAsia" w:ascii="宋体" w:hAnsi="宋体" w:cs="宋体"/>
          <w:color w:val="auto"/>
          <w:szCs w:val="21"/>
        </w:rPr>
        <w:t>间</w:t>
      </w:r>
      <w:r>
        <w:rPr>
          <w:rFonts w:hint="eastAsia" w:ascii="宋体" w:hAnsi="宋体" w:cs="宋体"/>
          <w:color w:val="auto"/>
          <w:szCs w:val="21"/>
          <w:lang w:eastAsia="zh-TW"/>
        </w:rPr>
        <w:t>和地</w:t>
      </w:r>
      <w:r>
        <w:rPr>
          <w:rFonts w:hint="eastAsia" w:ascii="宋体" w:hAnsi="宋体" w:cs="宋体"/>
          <w:color w:val="auto"/>
          <w:szCs w:val="21"/>
          <w:lang w:eastAsia="zh-TW"/>
        </w:rPr>
        <w:t>点组织</w:t>
      </w:r>
      <w:r>
        <w:rPr>
          <w:rFonts w:hint="eastAsia" w:ascii="宋体" w:hAnsi="宋体" w:cs="宋体"/>
          <w:color w:val="auto"/>
          <w:szCs w:val="21"/>
        </w:rPr>
        <w:t>开标会议</w:t>
      </w:r>
      <w:r>
        <w:rPr>
          <w:rFonts w:hint="eastAsia" w:ascii="宋体" w:hAnsi="宋体" w:cs="宋体"/>
          <w:color w:val="auto"/>
          <w:szCs w:val="21"/>
          <w:lang w:eastAsia="zh-TW"/>
        </w:rPr>
        <w:t>。</w:t>
      </w:r>
      <w:r>
        <w:rPr>
          <w:rFonts w:hint="eastAsia" w:ascii="宋体" w:hAnsi="宋体" w:cs="宋体"/>
          <w:color w:val="auto"/>
          <w:szCs w:val="21"/>
        </w:rPr>
        <w:t>开标时邀请所有投标人代表参加。参加开标的代表应签名报到以证明其出席。</w:t>
      </w:r>
    </w:p>
    <w:p>
      <w:pPr>
        <w:pStyle w:val="90"/>
        <w:widowControl/>
        <w:numPr>
          <w:ilvl w:val="1"/>
          <w:numId w:val="7"/>
        </w:numPr>
        <w:adjustRightInd w:val="0"/>
        <w:snapToGrid w:val="0"/>
        <w:spacing w:line="360" w:lineRule="auto"/>
        <w:ind w:left="420" w:hanging="420" w:hangingChars="200"/>
        <w:jc w:val="left"/>
        <w:rPr>
          <w:rFonts w:ascii="宋体" w:hAnsi="宋体" w:cs="宋体"/>
          <w:b/>
          <w:color w:val="auto"/>
          <w:szCs w:val="21"/>
          <w:lang w:eastAsia="zh-TW"/>
        </w:rPr>
      </w:pPr>
      <w:r>
        <w:rPr>
          <w:rFonts w:hint="eastAsia" w:ascii="宋体" w:hAnsi="宋体" w:cs="宋体"/>
          <w:color w:val="auto"/>
          <w:szCs w:val="21"/>
          <w:lang w:eastAsia="zh-TW"/>
        </w:rPr>
        <w:t>开标时，由投标人或者其推选的代表检查投标文件的密封情况；经确认无误后，由采购人或者采购代理机构工作人员当众拆封，宣布投标人名称、投标价格和招标文件规定的需要宣布的其他内容。</w:t>
      </w:r>
    </w:p>
    <w:p>
      <w:pPr>
        <w:pStyle w:val="90"/>
        <w:widowControl/>
        <w:numPr>
          <w:ilvl w:val="1"/>
          <w:numId w:val="7"/>
        </w:numPr>
        <w:adjustRightInd w:val="0"/>
        <w:snapToGrid w:val="0"/>
        <w:spacing w:line="360" w:lineRule="auto"/>
        <w:ind w:left="420" w:hanging="420" w:hangingChars="200"/>
        <w:jc w:val="left"/>
        <w:rPr>
          <w:rFonts w:ascii="宋体" w:hAnsi="宋体" w:cs="宋体"/>
          <w:color w:val="auto"/>
          <w:szCs w:val="21"/>
          <w:lang w:eastAsia="zh-TW"/>
        </w:rPr>
      </w:pPr>
      <w:r>
        <w:rPr>
          <w:rFonts w:hint="eastAsia" w:ascii="宋体" w:hAnsi="宋体" w:cs="宋体"/>
          <w:color w:val="auto"/>
          <w:szCs w:val="21"/>
          <w:lang w:eastAsia="zh-TW"/>
        </w:rPr>
        <w:t>开标过程应当由采购人或者采购代理机构负责记录，由参加开标的各投标人代表和相关工作人员签字确认。</w:t>
      </w:r>
    </w:p>
    <w:p>
      <w:pPr>
        <w:pStyle w:val="90"/>
        <w:widowControl/>
        <w:numPr>
          <w:ilvl w:val="1"/>
          <w:numId w:val="7"/>
        </w:numPr>
        <w:adjustRightInd w:val="0"/>
        <w:snapToGrid w:val="0"/>
        <w:spacing w:line="360" w:lineRule="auto"/>
        <w:ind w:left="420" w:hanging="420" w:hangingChars="200"/>
        <w:jc w:val="left"/>
        <w:rPr>
          <w:rFonts w:ascii="宋体" w:hAnsi="宋体" w:cs="宋体"/>
          <w:color w:val="auto"/>
          <w:szCs w:val="21"/>
          <w:lang w:eastAsia="zh-TW"/>
        </w:rPr>
      </w:pPr>
      <w:r>
        <w:rPr>
          <w:rFonts w:hint="eastAsia" w:ascii="宋体" w:hAnsi="宋体" w:cs="宋体"/>
          <w:color w:val="auto"/>
          <w:szCs w:val="21"/>
          <w:lang w:eastAsia="zh-TW"/>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90"/>
        <w:widowControl/>
        <w:numPr>
          <w:ilvl w:val="1"/>
          <w:numId w:val="7"/>
        </w:numPr>
        <w:adjustRightInd w:val="0"/>
        <w:snapToGrid w:val="0"/>
        <w:spacing w:line="360" w:lineRule="auto"/>
        <w:ind w:firstLineChars="0"/>
        <w:jc w:val="left"/>
        <w:rPr>
          <w:rFonts w:ascii="宋体" w:hAnsi="宋体" w:cs="宋体"/>
          <w:color w:val="auto"/>
          <w:szCs w:val="21"/>
          <w:lang w:eastAsia="zh-TW"/>
        </w:rPr>
      </w:pPr>
      <w:r>
        <w:rPr>
          <w:rFonts w:hint="eastAsia" w:ascii="宋体" w:hAnsi="宋体" w:cs="宋体"/>
          <w:color w:val="auto"/>
          <w:szCs w:val="21"/>
          <w:lang w:eastAsia="zh-TW"/>
        </w:rPr>
        <w:t>投标人未参加开标的，视同认可开标结果。</w:t>
      </w:r>
    </w:p>
    <w:p>
      <w:pPr>
        <w:pStyle w:val="90"/>
        <w:widowControl/>
        <w:numPr>
          <w:ilvl w:val="0"/>
          <w:numId w:val="7"/>
        </w:numPr>
        <w:adjustRightInd w:val="0"/>
        <w:snapToGrid w:val="0"/>
        <w:spacing w:line="360" w:lineRule="auto"/>
        <w:ind w:firstLineChars="0"/>
        <w:jc w:val="left"/>
        <w:rPr>
          <w:rFonts w:hAnsi="宋体"/>
          <w:color w:val="auto"/>
        </w:rPr>
      </w:pPr>
      <w:r>
        <w:rPr>
          <w:rFonts w:hint="eastAsia" w:hAnsi="宋体"/>
          <w:color w:val="auto"/>
        </w:rPr>
        <w:t>评标委员会的组成</w:t>
      </w:r>
    </w:p>
    <w:p>
      <w:pPr>
        <w:pStyle w:val="90"/>
        <w:widowControl/>
        <w:numPr>
          <w:ilvl w:val="1"/>
          <w:numId w:val="7"/>
        </w:numPr>
        <w:adjustRightInd w:val="0"/>
        <w:snapToGrid w:val="0"/>
        <w:spacing w:line="360" w:lineRule="auto"/>
        <w:ind w:firstLineChars="0"/>
        <w:jc w:val="left"/>
        <w:rPr>
          <w:rFonts w:hAnsi="宋体"/>
          <w:color w:val="auto"/>
        </w:rPr>
      </w:pPr>
      <w:r>
        <w:rPr>
          <w:rFonts w:hint="eastAsia" w:ascii="宋体" w:hAnsi="宋体" w:cs="宋体"/>
          <w:color w:val="auto"/>
          <w:szCs w:val="21"/>
        </w:rPr>
        <w:t>本次招标</w:t>
      </w:r>
      <w:r>
        <w:rPr>
          <w:rFonts w:hint="eastAsia" w:ascii="宋体" w:hAnsi="宋体" w:cs="宋体"/>
          <w:color w:val="auto"/>
          <w:szCs w:val="21"/>
          <w:lang w:eastAsia="zh-TW"/>
        </w:rPr>
        <w:t>组建评标委员会，评标委员会成员人数为5人单数。</w:t>
      </w:r>
    </w:p>
    <w:p>
      <w:pPr>
        <w:pStyle w:val="90"/>
        <w:widowControl/>
        <w:numPr>
          <w:ilvl w:val="1"/>
          <w:numId w:val="7"/>
        </w:numPr>
        <w:adjustRightInd w:val="0"/>
        <w:snapToGrid w:val="0"/>
        <w:spacing w:line="360" w:lineRule="auto"/>
        <w:ind w:left="420" w:hanging="420" w:hangingChars="200"/>
        <w:jc w:val="left"/>
        <w:rPr>
          <w:rFonts w:ascii="宋体" w:hAnsi="宋体" w:cs="宋体"/>
          <w:color w:val="auto"/>
          <w:szCs w:val="21"/>
          <w:lang w:eastAsia="zh-TW"/>
        </w:rPr>
      </w:pPr>
      <w:r>
        <w:rPr>
          <w:rFonts w:hint="eastAsia" w:ascii="宋体" w:hAnsi="宋体" w:cs="宋体"/>
          <w:color w:val="auto"/>
          <w:szCs w:val="21"/>
          <w:lang w:eastAsia="zh-TW"/>
        </w:rPr>
        <w:t>评标委员会成员名单在评标结果公告前应当保密。评审专家有下列情形之一的，受到邀请应主动提出回避，采购当事人也可以要求该评审专家回避：</w:t>
      </w:r>
    </w:p>
    <w:p>
      <w:pPr>
        <w:pStyle w:val="90"/>
        <w:widowControl/>
        <w:numPr>
          <w:ilvl w:val="2"/>
          <w:numId w:val="7"/>
        </w:numPr>
        <w:adjustRightInd w:val="0"/>
        <w:snapToGrid w:val="0"/>
        <w:spacing w:line="360" w:lineRule="auto"/>
        <w:ind w:firstLineChars="0"/>
        <w:jc w:val="left"/>
        <w:rPr>
          <w:rFonts w:ascii="宋体" w:hAnsi="宋体" w:cs="宋体"/>
          <w:color w:val="auto"/>
          <w:szCs w:val="21"/>
          <w:lang w:eastAsia="zh-TW"/>
        </w:rPr>
      </w:pPr>
      <w:r>
        <w:rPr>
          <w:rFonts w:hint="eastAsia" w:ascii="宋体" w:hAnsi="宋体" w:cs="宋体"/>
          <w:color w:val="auto"/>
          <w:szCs w:val="21"/>
          <w:lang w:eastAsia="zh-TW"/>
        </w:rPr>
        <w:t>参加采购活动前3年内与供应商存在劳动关系；</w:t>
      </w:r>
    </w:p>
    <w:p>
      <w:pPr>
        <w:pStyle w:val="90"/>
        <w:widowControl/>
        <w:numPr>
          <w:ilvl w:val="2"/>
          <w:numId w:val="7"/>
        </w:numPr>
        <w:adjustRightInd w:val="0"/>
        <w:snapToGrid w:val="0"/>
        <w:spacing w:line="360" w:lineRule="auto"/>
        <w:ind w:firstLineChars="0"/>
        <w:jc w:val="left"/>
        <w:rPr>
          <w:rFonts w:ascii="宋体" w:hAnsi="宋体" w:cs="宋体"/>
          <w:color w:val="auto"/>
          <w:szCs w:val="21"/>
          <w:lang w:eastAsia="zh-TW"/>
        </w:rPr>
      </w:pPr>
      <w:r>
        <w:rPr>
          <w:rFonts w:hint="eastAsia" w:ascii="宋体" w:hAnsi="宋体" w:cs="宋体"/>
          <w:color w:val="auto"/>
          <w:szCs w:val="21"/>
          <w:lang w:eastAsia="zh-TW"/>
        </w:rPr>
        <w:t>参加采购活动前3年内担任供应商的董事</w:t>
      </w:r>
      <w:r>
        <w:rPr>
          <w:rFonts w:hint="eastAsia" w:ascii="宋体" w:hAnsi="宋体" w:cs="宋体"/>
          <w:color w:val="auto"/>
          <w:szCs w:val="21"/>
        </w:rPr>
        <w:t>或</w:t>
      </w:r>
      <w:r>
        <w:rPr>
          <w:rFonts w:hint="eastAsia" w:ascii="宋体" w:hAnsi="宋体" w:cs="宋体"/>
          <w:color w:val="auto"/>
          <w:szCs w:val="21"/>
          <w:lang w:eastAsia="zh-TW"/>
        </w:rPr>
        <w:t>监事；</w:t>
      </w:r>
    </w:p>
    <w:p>
      <w:pPr>
        <w:pStyle w:val="90"/>
        <w:widowControl/>
        <w:numPr>
          <w:ilvl w:val="2"/>
          <w:numId w:val="7"/>
        </w:numPr>
        <w:adjustRightInd w:val="0"/>
        <w:snapToGrid w:val="0"/>
        <w:spacing w:line="360" w:lineRule="auto"/>
        <w:ind w:firstLineChars="0"/>
        <w:jc w:val="left"/>
        <w:rPr>
          <w:rFonts w:ascii="宋体" w:hAnsi="宋体" w:cs="宋体"/>
          <w:color w:val="auto"/>
          <w:szCs w:val="21"/>
          <w:lang w:eastAsia="zh-TW"/>
        </w:rPr>
      </w:pPr>
      <w:r>
        <w:rPr>
          <w:rFonts w:hint="eastAsia" w:ascii="宋体" w:hAnsi="宋体" w:cs="宋体"/>
          <w:color w:val="auto"/>
          <w:szCs w:val="21"/>
          <w:lang w:eastAsia="zh-TW"/>
        </w:rPr>
        <w:t>参加采购活动前3年内是供应商的控股股东或者实际控制人；</w:t>
      </w:r>
    </w:p>
    <w:p>
      <w:pPr>
        <w:pStyle w:val="90"/>
        <w:widowControl/>
        <w:numPr>
          <w:ilvl w:val="2"/>
          <w:numId w:val="7"/>
        </w:numPr>
        <w:adjustRightInd w:val="0"/>
        <w:snapToGrid w:val="0"/>
        <w:spacing w:line="360" w:lineRule="auto"/>
        <w:ind w:firstLineChars="0"/>
        <w:jc w:val="left"/>
        <w:rPr>
          <w:rFonts w:ascii="宋体" w:hAnsi="宋体" w:cs="宋体"/>
          <w:color w:val="auto"/>
          <w:szCs w:val="21"/>
          <w:lang w:eastAsia="zh-TW"/>
        </w:rPr>
      </w:pPr>
      <w:r>
        <w:rPr>
          <w:rFonts w:hint="eastAsia" w:ascii="宋体" w:hAnsi="宋体" w:cs="宋体"/>
          <w:color w:val="auto"/>
          <w:szCs w:val="21"/>
          <w:lang w:eastAsia="zh-TW"/>
        </w:rPr>
        <w:t>与供应商的法定代表人或者负责人有夫妻、直系血亲、三代以内旁系血亲或者近姻亲关系；</w:t>
      </w:r>
    </w:p>
    <w:p>
      <w:pPr>
        <w:pStyle w:val="90"/>
        <w:widowControl/>
        <w:numPr>
          <w:ilvl w:val="2"/>
          <w:numId w:val="7"/>
        </w:numPr>
        <w:adjustRightInd w:val="0"/>
        <w:snapToGrid w:val="0"/>
        <w:spacing w:line="360" w:lineRule="auto"/>
        <w:ind w:firstLineChars="0"/>
        <w:jc w:val="left"/>
        <w:rPr>
          <w:rFonts w:ascii="宋体" w:hAnsi="宋体" w:cs="宋体"/>
          <w:color w:val="auto"/>
          <w:szCs w:val="21"/>
          <w:lang w:eastAsia="zh-TW"/>
        </w:rPr>
      </w:pPr>
      <w:r>
        <w:rPr>
          <w:rFonts w:hint="eastAsia" w:ascii="宋体" w:hAnsi="宋体" w:cs="宋体"/>
          <w:color w:val="auto"/>
          <w:szCs w:val="21"/>
          <w:lang w:eastAsia="zh-TW"/>
        </w:rPr>
        <w:t>与供应商有其他可能影响采购活动公平、公正进行的关系。</w:t>
      </w:r>
    </w:p>
    <w:p>
      <w:pPr>
        <w:pStyle w:val="90"/>
        <w:widowControl/>
        <w:numPr>
          <w:ilvl w:val="1"/>
          <w:numId w:val="7"/>
        </w:numPr>
        <w:adjustRightInd w:val="0"/>
        <w:snapToGrid w:val="0"/>
        <w:spacing w:line="360" w:lineRule="auto"/>
        <w:ind w:left="420" w:hanging="420" w:hangingChars="200"/>
        <w:jc w:val="left"/>
        <w:rPr>
          <w:rFonts w:ascii="宋体" w:hAnsi="宋体" w:cs="宋体"/>
          <w:color w:val="auto"/>
          <w:szCs w:val="21"/>
          <w:lang w:eastAsia="zh-TW"/>
        </w:rPr>
      </w:pPr>
      <w:r>
        <w:rPr>
          <w:rFonts w:hint="eastAsia" w:ascii="宋体" w:hAnsi="宋体" w:cs="宋体"/>
          <w:color w:val="auto"/>
          <w:szCs w:val="21"/>
          <w:lang w:eastAsia="zh-TW"/>
        </w:rPr>
        <w:t>评标委员会成员和参与评标的有关工作人员不得透露对投标文件的评审和比较、中标候选人的推荐情况以及与评标有关的其他情况。</w:t>
      </w:r>
    </w:p>
    <w:p>
      <w:pPr>
        <w:pStyle w:val="90"/>
        <w:widowControl/>
        <w:numPr>
          <w:ilvl w:val="1"/>
          <w:numId w:val="7"/>
        </w:numPr>
        <w:adjustRightInd w:val="0"/>
        <w:snapToGrid w:val="0"/>
        <w:spacing w:line="360" w:lineRule="auto"/>
        <w:ind w:firstLineChars="0"/>
        <w:jc w:val="left"/>
        <w:rPr>
          <w:rFonts w:ascii="宋体" w:hAnsi="宋体" w:cs="宋体"/>
          <w:color w:val="auto"/>
          <w:szCs w:val="21"/>
          <w:lang w:eastAsia="zh-TW"/>
        </w:rPr>
      </w:pPr>
      <w:r>
        <w:rPr>
          <w:rFonts w:hint="eastAsia" w:ascii="宋体" w:hAnsi="宋体" w:cs="宋体"/>
          <w:color w:val="auto"/>
          <w:szCs w:val="21"/>
          <w:lang w:eastAsia="zh-TW"/>
        </w:rPr>
        <w:t>评标委员会负责具体评标事务，并独立履行下列职责：</w:t>
      </w:r>
    </w:p>
    <w:p>
      <w:pPr>
        <w:pStyle w:val="90"/>
        <w:widowControl/>
        <w:numPr>
          <w:ilvl w:val="2"/>
          <w:numId w:val="7"/>
        </w:numPr>
        <w:adjustRightInd w:val="0"/>
        <w:snapToGrid w:val="0"/>
        <w:spacing w:line="360" w:lineRule="auto"/>
        <w:ind w:firstLineChars="0"/>
        <w:jc w:val="left"/>
        <w:rPr>
          <w:rFonts w:ascii="宋体" w:hAnsi="宋体" w:cs="宋体"/>
          <w:color w:val="auto"/>
          <w:szCs w:val="21"/>
          <w:lang w:eastAsia="zh-TW"/>
        </w:rPr>
      </w:pPr>
      <w:r>
        <w:rPr>
          <w:rFonts w:hint="eastAsia" w:ascii="宋体" w:hAnsi="宋体" w:cs="宋体"/>
          <w:color w:val="auto"/>
          <w:szCs w:val="21"/>
          <w:lang w:eastAsia="zh-TW"/>
        </w:rPr>
        <w:t>审查、评价投标文件是否符合招标文件的商务、技术等实质性要求；</w:t>
      </w:r>
    </w:p>
    <w:p>
      <w:pPr>
        <w:pStyle w:val="90"/>
        <w:widowControl/>
        <w:numPr>
          <w:ilvl w:val="2"/>
          <w:numId w:val="7"/>
        </w:numPr>
        <w:adjustRightInd w:val="0"/>
        <w:snapToGrid w:val="0"/>
        <w:spacing w:line="360" w:lineRule="auto"/>
        <w:ind w:firstLineChars="0"/>
        <w:jc w:val="left"/>
        <w:rPr>
          <w:rFonts w:ascii="宋体" w:hAnsi="宋体" w:cs="宋体"/>
          <w:color w:val="auto"/>
          <w:szCs w:val="21"/>
          <w:lang w:eastAsia="zh-TW"/>
        </w:rPr>
      </w:pPr>
      <w:r>
        <w:rPr>
          <w:rFonts w:hint="eastAsia" w:ascii="宋体" w:hAnsi="宋体" w:cs="宋体"/>
          <w:color w:val="auto"/>
          <w:szCs w:val="21"/>
          <w:lang w:eastAsia="zh-TW"/>
        </w:rPr>
        <w:t>要求投标人对投标文件有关事项作出澄清或者说明；</w:t>
      </w:r>
    </w:p>
    <w:p>
      <w:pPr>
        <w:pStyle w:val="90"/>
        <w:widowControl/>
        <w:numPr>
          <w:ilvl w:val="2"/>
          <w:numId w:val="7"/>
        </w:numPr>
        <w:adjustRightInd w:val="0"/>
        <w:snapToGrid w:val="0"/>
        <w:spacing w:line="360" w:lineRule="auto"/>
        <w:ind w:firstLineChars="0"/>
        <w:jc w:val="left"/>
        <w:rPr>
          <w:rFonts w:ascii="宋体" w:hAnsi="宋体" w:cs="宋体"/>
          <w:color w:val="auto"/>
          <w:szCs w:val="21"/>
          <w:lang w:eastAsia="zh-TW"/>
        </w:rPr>
      </w:pPr>
      <w:r>
        <w:rPr>
          <w:rFonts w:hint="eastAsia" w:ascii="宋体" w:hAnsi="宋体" w:cs="宋体"/>
          <w:color w:val="auto"/>
          <w:szCs w:val="21"/>
          <w:lang w:eastAsia="zh-TW"/>
        </w:rPr>
        <w:t>对投标文件进行比较和评价；</w:t>
      </w:r>
    </w:p>
    <w:p>
      <w:pPr>
        <w:pStyle w:val="90"/>
        <w:widowControl/>
        <w:numPr>
          <w:ilvl w:val="2"/>
          <w:numId w:val="7"/>
        </w:numPr>
        <w:adjustRightInd w:val="0"/>
        <w:snapToGrid w:val="0"/>
        <w:spacing w:line="360" w:lineRule="auto"/>
        <w:ind w:firstLineChars="0"/>
        <w:jc w:val="left"/>
        <w:rPr>
          <w:rFonts w:ascii="宋体" w:hAnsi="宋体" w:cs="宋体"/>
          <w:color w:val="auto"/>
          <w:szCs w:val="21"/>
          <w:lang w:eastAsia="zh-TW"/>
        </w:rPr>
      </w:pPr>
      <w:r>
        <w:rPr>
          <w:rFonts w:hint="eastAsia" w:ascii="宋体" w:hAnsi="宋体" w:cs="宋体"/>
          <w:color w:val="auto"/>
          <w:szCs w:val="21"/>
          <w:lang w:eastAsia="zh-TW"/>
        </w:rPr>
        <w:t>确定中标候选人名单，以及根据采购人委托直接确定中标人；</w:t>
      </w:r>
    </w:p>
    <w:p>
      <w:pPr>
        <w:pStyle w:val="90"/>
        <w:widowControl/>
        <w:numPr>
          <w:ilvl w:val="2"/>
          <w:numId w:val="7"/>
        </w:numPr>
        <w:adjustRightInd w:val="0"/>
        <w:snapToGrid w:val="0"/>
        <w:spacing w:line="360" w:lineRule="auto"/>
        <w:ind w:firstLineChars="0"/>
        <w:jc w:val="left"/>
        <w:rPr>
          <w:rFonts w:ascii="宋体" w:hAnsi="宋体" w:cs="宋体"/>
          <w:color w:val="auto"/>
          <w:szCs w:val="21"/>
          <w:lang w:eastAsia="zh-TW"/>
        </w:rPr>
      </w:pPr>
      <w:r>
        <w:rPr>
          <w:rFonts w:hint="eastAsia" w:ascii="宋体" w:hAnsi="宋体" w:cs="宋体"/>
          <w:color w:val="auto"/>
          <w:szCs w:val="21"/>
          <w:lang w:eastAsia="zh-TW"/>
        </w:rPr>
        <w:t>向采购人、采购代理机构或者有关部门报告评标中发现的违法行为。</w:t>
      </w:r>
    </w:p>
    <w:p>
      <w:pPr>
        <w:pStyle w:val="90"/>
        <w:widowControl/>
        <w:numPr>
          <w:ilvl w:val="1"/>
          <w:numId w:val="7"/>
        </w:numPr>
        <w:adjustRightInd w:val="0"/>
        <w:snapToGrid w:val="0"/>
        <w:spacing w:line="360" w:lineRule="auto"/>
        <w:ind w:left="420" w:hanging="420" w:hangingChars="200"/>
        <w:jc w:val="left"/>
        <w:rPr>
          <w:rFonts w:ascii="宋体" w:hAnsi="宋体" w:cs="宋体"/>
          <w:color w:val="auto"/>
          <w:szCs w:val="21"/>
          <w:lang w:eastAsia="zh-TW"/>
        </w:rPr>
      </w:pPr>
      <w:r>
        <w:rPr>
          <w:rFonts w:hint="eastAsia" w:ascii="宋体" w:hAnsi="宋体" w:cs="宋体"/>
          <w:color w:val="auto"/>
          <w:szCs w:val="21"/>
          <w:lang w:eastAsia="zh-TW"/>
        </w:rPr>
        <w:t>对于投标文件中含义不明确、同类问题表述不一致或者有明显文字和计算错误的内容，评标委员会应当以书面形式要求投标人作出必要的澄清、说明或者补正。</w:t>
      </w:r>
    </w:p>
    <w:p>
      <w:pPr>
        <w:pStyle w:val="90"/>
        <w:widowControl/>
        <w:numPr>
          <w:ilvl w:val="1"/>
          <w:numId w:val="7"/>
        </w:numPr>
        <w:adjustRightInd w:val="0"/>
        <w:snapToGrid w:val="0"/>
        <w:spacing w:line="360" w:lineRule="auto"/>
        <w:ind w:left="420" w:hanging="420" w:hangingChars="200"/>
        <w:jc w:val="left"/>
        <w:rPr>
          <w:rFonts w:ascii="宋体" w:hAnsi="宋体" w:cs="宋体"/>
          <w:color w:val="auto"/>
          <w:szCs w:val="21"/>
          <w:lang w:eastAsia="zh-TW"/>
        </w:rPr>
      </w:pPr>
      <w:r>
        <w:rPr>
          <w:rFonts w:hint="eastAsia" w:ascii="宋体" w:hAnsi="宋体" w:cs="宋体"/>
          <w:color w:val="auto"/>
          <w:szCs w:val="21"/>
          <w:lang w:eastAsia="zh-TW"/>
        </w:rPr>
        <w:t>投标人的澄清、说明或者补正应当采用书面形式，并加盖公章，或者由法定代表人或其授权的代表签字。投标人的澄清、说明或者补正不得超出投标文件的范围或者改变投标文件的实质性内容。投标人的澄清文件是其投标文件的组成部分。</w:t>
      </w:r>
    </w:p>
    <w:p>
      <w:pPr>
        <w:pStyle w:val="90"/>
        <w:widowControl/>
        <w:numPr>
          <w:ilvl w:val="1"/>
          <w:numId w:val="7"/>
        </w:numPr>
        <w:adjustRightInd w:val="0"/>
        <w:snapToGrid w:val="0"/>
        <w:spacing w:line="360" w:lineRule="auto"/>
        <w:ind w:firstLineChars="0"/>
        <w:jc w:val="left"/>
        <w:rPr>
          <w:rFonts w:ascii="宋体" w:hAnsi="宋体" w:cs="宋体"/>
          <w:color w:val="auto"/>
          <w:szCs w:val="21"/>
          <w:lang w:eastAsia="zh-TW"/>
        </w:rPr>
      </w:pPr>
      <w:r>
        <w:rPr>
          <w:rFonts w:hint="eastAsia" w:ascii="宋体" w:hAnsi="宋体" w:cs="宋体"/>
          <w:color w:val="auto"/>
          <w:szCs w:val="21"/>
          <w:lang w:eastAsia="zh-TW"/>
        </w:rPr>
        <w:t>投标文件报价出现前后不一致的，按照下列规定修正：</w:t>
      </w:r>
    </w:p>
    <w:p>
      <w:pPr>
        <w:pStyle w:val="90"/>
        <w:widowControl/>
        <w:numPr>
          <w:ilvl w:val="2"/>
          <w:numId w:val="7"/>
        </w:numPr>
        <w:adjustRightInd w:val="0"/>
        <w:snapToGrid w:val="0"/>
        <w:spacing w:line="360" w:lineRule="auto"/>
        <w:ind w:left="630" w:hanging="630" w:hangingChars="300"/>
        <w:jc w:val="left"/>
        <w:rPr>
          <w:rFonts w:ascii="宋体" w:hAnsi="宋体" w:cs="宋体"/>
          <w:color w:val="auto"/>
          <w:szCs w:val="21"/>
          <w:lang w:eastAsia="zh-TW"/>
        </w:rPr>
      </w:pPr>
      <w:r>
        <w:rPr>
          <w:rFonts w:hint="eastAsia" w:ascii="宋体" w:hAnsi="宋体" w:cs="宋体"/>
          <w:color w:val="auto"/>
          <w:szCs w:val="21"/>
          <w:lang w:eastAsia="zh-TW"/>
        </w:rPr>
        <w:t>投标文件中开标一览表（报价表）内容与投标文件中相应内容不一致的，以开标一览表（报价表）为准；</w:t>
      </w:r>
    </w:p>
    <w:p>
      <w:pPr>
        <w:pStyle w:val="90"/>
        <w:widowControl/>
        <w:numPr>
          <w:ilvl w:val="2"/>
          <w:numId w:val="7"/>
        </w:numPr>
        <w:adjustRightInd w:val="0"/>
        <w:snapToGrid w:val="0"/>
        <w:spacing w:line="360" w:lineRule="auto"/>
        <w:ind w:firstLineChars="0"/>
        <w:jc w:val="left"/>
        <w:rPr>
          <w:rFonts w:ascii="宋体" w:hAnsi="宋体" w:cs="宋体"/>
          <w:color w:val="auto"/>
          <w:szCs w:val="21"/>
          <w:lang w:eastAsia="zh-TW"/>
        </w:rPr>
      </w:pPr>
      <w:r>
        <w:rPr>
          <w:rFonts w:hint="eastAsia" w:ascii="宋体" w:hAnsi="宋体" w:cs="宋体"/>
          <w:color w:val="auto"/>
          <w:szCs w:val="21"/>
          <w:lang w:eastAsia="zh-TW"/>
        </w:rPr>
        <w:t>大写金额和小写金额不一致的，以大写金额为准；</w:t>
      </w:r>
    </w:p>
    <w:p>
      <w:pPr>
        <w:pStyle w:val="90"/>
        <w:widowControl/>
        <w:numPr>
          <w:ilvl w:val="2"/>
          <w:numId w:val="7"/>
        </w:numPr>
        <w:adjustRightInd w:val="0"/>
        <w:snapToGrid w:val="0"/>
        <w:spacing w:line="360" w:lineRule="auto"/>
        <w:ind w:firstLineChars="0"/>
        <w:jc w:val="left"/>
        <w:rPr>
          <w:rFonts w:ascii="宋体" w:hAnsi="宋体" w:cs="宋体"/>
          <w:color w:val="auto"/>
          <w:szCs w:val="21"/>
          <w:lang w:eastAsia="zh-TW"/>
        </w:rPr>
      </w:pPr>
      <w:r>
        <w:rPr>
          <w:rFonts w:hint="eastAsia" w:ascii="宋体" w:hAnsi="宋体" w:cs="宋体"/>
          <w:color w:val="auto"/>
          <w:szCs w:val="21"/>
          <w:lang w:eastAsia="zh-TW"/>
        </w:rPr>
        <w:t>单价金额小数点或者百分比有明显错位的，以开标一览表的总价为准，并修改单价；</w:t>
      </w:r>
    </w:p>
    <w:p>
      <w:pPr>
        <w:pStyle w:val="90"/>
        <w:widowControl/>
        <w:numPr>
          <w:ilvl w:val="2"/>
          <w:numId w:val="7"/>
        </w:numPr>
        <w:adjustRightInd w:val="0"/>
        <w:snapToGrid w:val="0"/>
        <w:spacing w:line="360" w:lineRule="auto"/>
        <w:ind w:firstLineChars="0"/>
        <w:jc w:val="left"/>
        <w:rPr>
          <w:rFonts w:ascii="宋体" w:hAnsi="宋体" w:cs="宋体"/>
          <w:color w:val="auto"/>
          <w:szCs w:val="21"/>
          <w:lang w:eastAsia="zh-TW"/>
        </w:rPr>
      </w:pPr>
      <w:r>
        <w:rPr>
          <w:rFonts w:hint="eastAsia" w:ascii="宋体" w:hAnsi="宋体" w:cs="宋体"/>
          <w:color w:val="auto"/>
          <w:szCs w:val="21"/>
          <w:lang w:eastAsia="zh-TW"/>
        </w:rPr>
        <w:t>总价金额与按单价汇总金额不一致的，以单价金额计算结果为准。</w:t>
      </w:r>
    </w:p>
    <w:p>
      <w:pPr>
        <w:widowControl/>
        <w:adjustRightInd w:val="0"/>
        <w:snapToGrid w:val="0"/>
        <w:spacing w:line="360" w:lineRule="auto"/>
        <w:ind w:firstLine="422" w:firstLineChars="200"/>
        <w:jc w:val="left"/>
        <w:rPr>
          <w:rFonts w:ascii="宋体" w:hAnsi="宋体" w:cs="宋体"/>
          <w:b/>
          <w:color w:val="auto"/>
          <w:szCs w:val="21"/>
          <w:lang w:eastAsia="zh-TW"/>
        </w:rPr>
      </w:pPr>
      <w:r>
        <w:rPr>
          <w:rFonts w:hint="eastAsia" w:ascii="宋体" w:hAnsi="宋体" w:cs="宋体"/>
          <w:b/>
          <w:color w:val="auto"/>
          <w:szCs w:val="21"/>
          <w:lang w:eastAsia="zh-TW"/>
        </w:rPr>
        <w:t>同时出现两种以上不一致的，按照前款规定的顺序修正。修正后的报价按照</w:t>
      </w:r>
      <w:r>
        <w:rPr>
          <w:rFonts w:hint="eastAsia" w:ascii="宋体" w:hAnsi="宋体" w:cs="宋体"/>
          <w:b/>
          <w:color w:val="auto"/>
          <w:szCs w:val="21"/>
        </w:rPr>
        <w:t>本章第2.6</w:t>
      </w:r>
      <w:r>
        <w:rPr>
          <w:rFonts w:hint="eastAsia" w:ascii="宋体" w:hAnsi="宋体" w:cs="宋体"/>
          <w:b/>
          <w:color w:val="auto"/>
          <w:szCs w:val="21"/>
          <w:lang w:eastAsia="zh-TW"/>
        </w:rPr>
        <w:t>规定经投标人确认后产生约束力，投标人不确认的，其投标无效。</w:t>
      </w:r>
    </w:p>
    <w:p>
      <w:pPr>
        <w:pStyle w:val="90"/>
        <w:widowControl/>
        <w:numPr>
          <w:ilvl w:val="1"/>
          <w:numId w:val="7"/>
        </w:numPr>
        <w:adjustRightInd w:val="0"/>
        <w:snapToGrid w:val="0"/>
        <w:spacing w:line="360" w:lineRule="auto"/>
        <w:ind w:firstLineChars="0"/>
        <w:jc w:val="left"/>
        <w:rPr>
          <w:rFonts w:ascii="宋体" w:hAnsi="宋体" w:cs="宋体"/>
          <w:color w:val="auto"/>
          <w:szCs w:val="21"/>
          <w:lang w:eastAsia="zh-TW"/>
        </w:rPr>
      </w:pPr>
      <w:r>
        <w:rPr>
          <w:rFonts w:hint="eastAsia" w:ascii="宋体" w:hAnsi="宋体" w:cs="宋体"/>
          <w:color w:val="auto"/>
          <w:szCs w:val="21"/>
          <w:lang w:eastAsia="zh-TW"/>
        </w:rPr>
        <w:t>评标委员会决定投标的响应性只根据投标文件</w:t>
      </w:r>
      <w:r>
        <w:rPr>
          <w:rFonts w:hint="eastAsia" w:ascii="宋体" w:hAnsi="宋体" w:cs="宋体"/>
          <w:color w:val="auto"/>
          <w:szCs w:val="21"/>
        </w:rPr>
        <w:t>中提供</w:t>
      </w:r>
      <w:r>
        <w:rPr>
          <w:rFonts w:hint="eastAsia" w:ascii="宋体" w:hAnsi="宋体" w:cs="宋体"/>
          <w:color w:val="auto"/>
          <w:szCs w:val="21"/>
          <w:lang w:eastAsia="zh-TW"/>
        </w:rPr>
        <w:t>的</w:t>
      </w:r>
      <w:r>
        <w:rPr>
          <w:rFonts w:hint="eastAsia" w:ascii="宋体" w:hAnsi="宋体" w:cs="宋体"/>
          <w:color w:val="auto"/>
          <w:szCs w:val="21"/>
        </w:rPr>
        <w:t>材料</w:t>
      </w:r>
      <w:r>
        <w:rPr>
          <w:rFonts w:hint="eastAsia" w:ascii="宋体" w:hAnsi="宋体" w:cs="宋体"/>
          <w:color w:val="auto"/>
          <w:szCs w:val="21"/>
          <w:lang w:eastAsia="zh-TW"/>
        </w:rPr>
        <w:t>内容，而不依据外部的</w:t>
      </w:r>
      <w:r>
        <w:rPr>
          <w:rFonts w:hint="eastAsia" w:ascii="宋体" w:hAnsi="宋体" w:cs="宋体"/>
          <w:color w:val="auto"/>
          <w:szCs w:val="21"/>
        </w:rPr>
        <w:t>材料</w:t>
      </w:r>
      <w:r>
        <w:rPr>
          <w:rFonts w:hint="eastAsia" w:ascii="宋体" w:hAnsi="宋体" w:cs="宋体"/>
          <w:color w:val="auto"/>
          <w:szCs w:val="21"/>
          <w:lang w:eastAsia="zh-TW"/>
        </w:rPr>
        <w:t>证据。</w:t>
      </w:r>
    </w:p>
    <w:p>
      <w:pPr>
        <w:pStyle w:val="90"/>
        <w:widowControl/>
        <w:numPr>
          <w:ilvl w:val="1"/>
          <w:numId w:val="7"/>
        </w:numPr>
        <w:adjustRightInd w:val="0"/>
        <w:snapToGrid w:val="0"/>
        <w:spacing w:line="360" w:lineRule="auto"/>
        <w:ind w:left="422" w:hanging="422" w:hangingChars="200"/>
        <w:jc w:val="left"/>
        <w:rPr>
          <w:rFonts w:ascii="宋体" w:hAnsi="宋体" w:cs="宋体"/>
          <w:b/>
          <w:color w:val="auto"/>
          <w:szCs w:val="21"/>
          <w:lang w:eastAsia="zh-TW"/>
        </w:rPr>
      </w:pPr>
      <w:r>
        <w:rPr>
          <w:rFonts w:hint="eastAsia" w:ascii="宋体" w:hAnsi="宋体" w:cs="宋体"/>
          <w:b/>
          <w:color w:val="auto"/>
          <w:szCs w:val="21"/>
          <w:lang w:eastAsia="zh-TW"/>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90"/>
        <w:widowControl/>
        <w:numPr>
          <w:ilvl w:val="1"/>
          <w:numId w:val="7"/>
        </w:numPr>
        <w:adjustRightInd w:val="0"/>
        <w:snapToGrid w:val="0"/>
        <w:spacing w:line="360" w:lineRule="auto"/>
        <w:ind w:left="420" w:hanging="420" w:hangingChars="200"/>
        <w:jc w:val="left"/>
        <w:rPr>
          <w:rFonts w:ascii="宋体" w:hAnsi="宋体" w:cs="宋体"/>
          <w:color w:val="auto"/>
          <w:szCs w:val="21"/>
          <w:lang w:eastAsia="zh-TW"/>
        </w:rPr>
      </w:pPr>
      <w:r>
        <w:rPr>
          <w:rFonts w:hint="eastAsia" w:ascii="宋体" w:hAnsi="宋体" w:cs="宋体"/>
          <w:color w:val="auto"/>
          <w:szCs w:val="21"/>
          <w:lang w:eastAsia="zh-TW"/>
        </w:rPr>
        <w:t>评标委员会成员对需要共同认定的事项存在争议的，应当按照少数服从多数的原则作出结论。持不同意见的评标委员会成员应当在评标报告上签署不同意见及理由，否则视为同意评标报告。</w:t>
      </w:r>
    </w:p>
    <w:p>
      <w:pPr>
        <w:pStyle w:val="90"/>
        <w:widowControl/>
        <w:numPr>
          <w:ilvl w:val="0"/>
          <w:numId w:val="7"/>
        </w:numPr>
        <w:adjustRightInd w:val="0"/>
        <w:snapToGrid w:val="0"/>
        <w:spacing w:line="360" w:lineRule="auto"/>
        <w:ind w:firstLineChars="0"/>
        <w:jc w:val="left"/>
        <w:rPr>
          <w:rFonts w:hAnsi="宋体"/>
          <w:b/>
          <w:color w:val="auto"/>
        </w:rPr>
      </w:pPr>
      <w:r>
        <w:rPr>
          <w:rFonts w:hint="eastAsia" w:hAnsi="宋体"/>
          <w:b/>
          <w:color w:val="auto"/>
        </w:rPr>
        <w:t>评标</w:t>
      </w:r>
    </w:p>
    <w:p>
      <w:pPr>
        <w:pStyle w:val="90"/>
        <w:widowControl/>
        <w:numPr>
          <w:ilvl w:val="1"/>
          <w:numId w:val="7"/>
        </w:numPr>
        <w:adjustRightInd w:val="0"/>
        <w:snapToGrid w:val="0"/>
        <w:spacing w:line="360" w:lineRule="auto"/>
        <w:ind w:left="420" w:hanging="420" w:hangingChars="200"/>
        <w:jc w:val="left"/>
        <w:rPr>
          <w:rFonts w:ascii="宋体" w:hAnsi="宋体"/>
          <w:color w:val="auto"/>
          <w:szCs w:val="21"/>
        </w:rPr>
      </w:pPr>
      <w:r>
        <w:rPr>
          <w:rFonts w:hint="eastAsia" w:ascii="宋体" w:hAnsi="宋体"/>
          <w:bCs/>
          <w:color w:val="auto"/>
          <w:szCs w:val="21"/>
        </w:rPr>
        <w:t>评标方法：本项目采用综合评分法。综合评分法，是指</w:t>
      </w:r>
      <w:r>
        <w:rPr>
          <w:rFonts w:hint="eastAsia" w:ascii="宋体" w:hAnsi="宋体"/>
          <w:color w:val="auto"/>
          <w:szCs w:val="21"/>
        </w:rPr>
        <w:t>投标文件满足招标文件全部实质性要求，且按照评审因素的量化指标评审得分最高的投标人为中标候选人的评标方法。</w:t>
      </w:r>
    </w:p>
    <w:p>
      <w:pPr>
        <w:pStyle w:val="90"/>
        <w:widowControl/>
        <w:numPr>
          <w:ilvl w:val="1"/>
          <w:numId w:val="7"/>
        </w:numPr>
        <w:adjustRightInd w:val="0"/>
        <w:snapToGrid w:val="0"/>
        <w:spacing w:line="360" w:lineRule="auto"/>
        <w:ind w:firstLineChars="0"/>
        <w:jc w:val="left"/>
        <w:rPr>
          <w:rFonts w:ascii="宋体" w:hAnsi="宋体"/>
          <w:bCs/>
          <w:color w:val="auto"/>
          <w:szCs w:val="21"/>
        </w:rPr>
      </w:pPr>
      <w:r>
        <w:rPr>
          <w:rFonts w:hint="eastAsia" w:ascii="宋体" w:hAnsi="宋体"/>
          <w:bCs/>
          <w:color w:val="auto"/>
          <w:szCs w:val="21"/>
        </w:rPr>
        <w:t>评标步骤：</w:t>
      </w:r>
    </w:p>
    <w:p>
      <w:pPr>
        <w:pStyle w:val="90"/>
        <w:widowControl/>
        <w:numPr>
          <w:ilvl w:val="2"/>
          <w:numId w:val="7"/>
        </w:numPr>
        <w:adjustRightInd w:val="0"/>
        <w:snapToGrid w:val="0"/>
        <w:spacing w:line="360" w:lineRule="auto"/>
        <w:ind w:left="630" w:hanging="630" w:hangingChars="300"/>
        <w:jc w:val="left"/>
        <w:rPr>
          <w:rFonts w:ascii="宋体" w:cs="宋体"/>
          <w:color w:val="auto"/>
          <w:szCs w:val="21"/>
        </w:rPr>
      </w:pPr>
      <w:r>
        <w:rPr>
          <w:rFonts w:hint="eastAsia" w:ascii="宋体" w:hAnsi="宋体"/>
          <w:bCs/>
          <w:color w:val="auto"/>
          <w:szCs w:val="21"/>
        </w:rPr>
        <w:t>资格性审查：</w:t>
      </w:r>
      <w:r>
        <w:rPr>
          <w:rFonts w:hint="eastAsia" w:ascii="宋体" w:cs="宋体"/>
          <w:color w:val="auto"/>
          <w:szCs w:val="21"/>
        </w:rPr>
        <w:t>开标结束后，采购人或者采购代理机构依法对投标人的资格进行审查，详见《资格性审查表》。对初步被认定为资格性审查不合格的，可实行告知投标当事人，以让其核证。未通过资格性审查的投标人，不进入符合性审查。</w:t>
      </w:r>
    </w:p>
    <w:p>
      <w:pPr>
        <w:pStyle w:val="90"/>
        <w:widowControl/>
        <w:numPr>
          <w:ilvl w:val="2"/>
          <w:numId w:val="7"/>
        </w:numPr>
        <w:adjustRightInd w:val="0"/>
        <w:snapToGrid w:val="0"/>
        <w:spacing w:line="360" w:lineRule="auto"/>
        <w:ind w:left="630" w:hanging="630" w:hangingChars="300"/>
        <w:jc w:val="left"/>
        <w:rPr>
          <w:rFonts w:ascii="宋体" w:cs="宋体"/>
          <w:color w:val="auto"/>
          <w:szCs w:val="21"/>
        </w:rPr>
      </w:pPr>
      <w:r>
        <w:rPr>
          <w:rFonts w:hint="eastAsia" w:ascii="宋体" w:cs="宋体"/>
          <w:color w:val="auto"/>
          <w:szCs w:val="21"/>
        </w:rPr>
        <w:t>符合性审查：评标委员会应当对符合资格的投标人的投标文件进行符合性审查，详见《符合性审查表》，以确定其是否满足招标文件的实质性要求。</w:t>
      </w:r>
      <w:r>
        <w:rPr>
          <w:rFonts w:hint="eastAsia" w:ascii="宋体" w:hAnsi="宋体" w:cs="宋体"/>
          <w:color w:val="auto"/>
          <w:szCs w:val="21"/>
          <w:lang w:eastAsia="zh-TW"/>
        </w:rPr>
        <w:t>评标委员会对初步被认定为符合性审查不合格或无效投标者</w:t>
      </w:r>
      <w:r>
        <w:rPr>
          <w:rFonts w:hint="eastAsia" w:ascii="宋体" w:hAnsi="宋体" w:cs="宋体"/>
          <w:color w:val="auto"/>
          <w:szCs w:val="21"/>
        </w:rPr>
        <w:t>可</w:t>
      </w:r>
      <w:r>
        <w:rPr>
          <w:rFonts w:hint="eastAsia" w:ascii="宋体" w:hAnsi="宋体" w:cs="宋体"/>
          <w:color w:val="auto"/>
          <w:szCs w:val="21"/>
          <w:lang w:eastAsia="zh-TW"/>
        </w:rPr>
        <w:t>实行告知</w:t>
      </w:r>
      <w:r>
        <w:rPr>
          <w:rFonts w:hint="eastAsia" w:ascii="宋体" w:cs="宋体"/>
          <w:color w:val="auto"/>
          <w:szCs w:val="21"/>
        </w:rPr>
        <w:t>投标当事人</w:t>
      </w:r>
      <w:r>
        <w:rPr>
          <w:rFonts w:hint="eastAsia" w:ascii="宋体" w:hAnsi="宋体" w:cs="宋体"/>
          <w:color w:val="auto"/>
          <w:szCs w:val="21"/>
        </w:rPr>
        <w:t>，</w:t>
      </w:r>
      <w:r>
        <w:rPr>
          <w:rFonts w:hint="eastAsia" w:ascii="宋体" w:hAnsi="宋体" w:cs="宋体"/>
          <w:color w:val="auto"/>
          <w:szCs w:val="21"/>
          <w:lang w:eastAsia="zh-TW"/>
        </w:rPr>
        <w:t>由评标委员会主任或采购人代表将集体意见现场及时告知投标当事人，</w:t>
      </w:r>
      <w:r>
        <w:rPr>
          <w:rFonts w:hint="eastAsia" w:ascii="宋体" w:hAnsi="宋体" w:cs="宋体"/>
          <w:color w:val="auto"/>
          <w:szCs w:val="21"/>
          <w:lang w:eastAsia="zh-TW"/>
        </w:rPr>
        <w:t>以让其核</w:t>
      </w:r>
      <w:r>
        <w:rPr>
          <w:rFonts w:hint="eastAsia" w:ascii="宋体" w:hAnsi="宋体" w:cs="宋体"/>
          <w:color w:val="auto"/>
          <w:szCs w:val="21"/>
        </w:rPr>
        <w:t>对</w:t>
      </w:r>
      <w:r>
        <w:rPr>
          <w:rFonts w:hint="eastAsia" w:ascii="宋体" w:hAnsi="宋体" w:cs="宋体"/>
          <w:color w:val="auto"/>
          <w:szCs w:val="21"/>
          <w:lang w:eastAsia="zh-TW"/>
        </w:rPr>
        <w:t>事实。</w:t>
      </w:r>
      <w:r>
        <w:rPr>
          <w:rFonts w:hint="eastAsia" w:ascii="宋体" w:cs="宋体"/>
          <w:color w:val="auto"/>
          <w:szCs w:val="21"/>
        </w:rPr>
        <w:t>未通过符合性审查的投标人，不进入技术、商务和价格评审。</w:t>
      </w:r>
    </w:p>
    <w:p>
      <w:pPr>
        <w:pStyle w:val="90"/>
        <w:widowControl/>
        <w:numPr>
          <w:ilvl w:val="2"/>
          <w:numId w:val="7"/>
        </w:numPr>
        <w:adjustRightInd w:val="0"/>
        <w:snapToGrid w:val="0"/>
        <w:spacing w:line="360" w:lineRule="auto"/>
        <w:ind w:firstLineChars="0"/>
        <w:jc w:val="left"/>
        <w:rPr>
          <w:rFonts w:ascii="宋体" w:cs="宋体"/>
          <w:color w:val="auto"/>
          <w:szCs w:val="21"/>
        </w:rPr>
      </w:pPr>
      <w:r>
        <w:rPr>
          <w:rFonts w:hint="eastAsia" w:ascii="宋体" w:cs="宋体"/>
          <w:color w:val="auto"/>
          <w:szCs w:val="21"/>
        </w:rPr>
        <w:t>详细评审：</w:t>
      </w:r>
    </w:p>
    <w:p>
      <w:pPr>
        <w:pStyle w:val="90"/>
        <w:widowControl/>
        <w:numPr>
          <w:ilvl w:val="3"/>
          <w:numId w:val="7"/>
        </w:numPr>
        <w:adjustRightInd w:val="0"/>
        <w:snapToGrid w:val="0"/>
        <w:spacing w:line="360" w:lineRule="auto"/>
        <w:ind w:firstLineChars="0"/>
        <w:jc w:val="left"/>
        <w:rPr>
          <w:rFonts w:ascii="宋体" w:cs="宋体"/>
          <w:color w:val="auto"/>
          <w:szCs w:val="21"/>
        </w:rPr>
      </w:pPr>
      <w:r>
        <w:rPr>
          <w:rFonts w:hint="eastAsia" w:ascii="宋体" w:cs="宋体"/>
          <w:color w:val="auto"/>
          <w:szCs w:val="21"/>
        </w:rPr>
        <w:t>评标委员会对符合性审查合格的投标文件进行技术、商务评估，综合比较与评价。具体技术、商务、价格部分的评审因素详见《综合评分表》。</w:t>
      </w:r>
    </w:p>
    <w:p>
      <w:pPr>
        <w:pStyle w:val="90"/>
        <w:widowControl/>
        <w:numPr>
          <w:ilvl w:val="2"/>
          <w:numId w:val="7"/>
        </w:numPr>
        <w:adjustRightInd w:val="0"/>
        <w:snapToGrid w:val="0"/>
        <w:spacing w:line="360" w:lineRule="auto"/>
        <w:ind w:firstLineChars="0"/>
        <w:jc w:val="left"/>
        <w:rPr>
          <w:rFonts w:ascii="宋体" w:cs="宋体"/>
          <w:color w:val="auto"/>
          <w:szCs w:val="21"/>
        </w:rPr>
      </w:pPr>
      <w:r>
        <w:rPr>
          <w:rFonts w:hint="eastAsia" w:ascii="宋体" w:hAnsi="宋体"/>
          <w:bCs/>
          <w:color w:val="auto"/>
        </w:rPr>
        <w:t>评标过程中，不得去掉报价中的最高报价和最低报价。</w:t>
      </w:r>
    </w:p>
    <w:p>
      <w:pPr>
        <w:pStyle w:val="90"/>
        <w:widowControl/>
        <w:numPr>
          <w:ilvl w:val="2"/>
          <w:numId w:val="7"/>
        </w:numPr>
        <w:adjustRightInd w:val="0"/>
        <w:snapToGrid w:val="0"/>
        <w:spacing w:line="360" w:lineRule="auto"/>
        <w:ind w:left="630" w:hanging="630" w:hangingChars="300"/>
        <w:jc w:val="left"/>
        <w:rPr>
          <w:rFonts w:ascii="宋体" w:hAnsi="宋体" w:cs="宋体"/>
          <w:b/>
          <w:bCs/>
          <w:color w:val="auto"/>
          <w:szCs w:val="21"/>
          <w:lang w:eastAsia="zh-TW"/>
        </w:rPr>
      </w:pPr>
      <w:r>
        <w:rPr>
          <w:rFonts w:hint="eastAsia"/>
          <w:color w:val="auto"/>
          <w:szCs w:val="21"/>
        </w:rPr>
        <w:t>评标时，评标委员会各成员应当独立对每个投标人的投标文件进行评价，并汇总每个投标人的得分</w:t>
      </w:r>
      <w:r>
        <w:rPr>
          <w:rFonts w:hint="eastAsia" w:ascii="宋体" w:hAnsi="宋体" w:cs="宋体"/>
          <w:bCs/>
          <w:color w:val="auto"/>
          <w:szCs w:val="21"/>
          <w:lang w:eastAsia="zh-TW"/>
        </w:rPr>
        <w:t>。</w:t>
      </w:r>
    </w:p>
    <w:p>
      <w:pPr>
        <w:pStyle w:val="90"/>
        <w:widowControl/>
        <w:numPr>
          <w:ilvl w:val="2"/>
          <w:numId w:val="7"/>
        </w:numPr>
        <w:adjustRightInd w:val="0"/>
        <w:snapToGrid w:val="0"/>
        <w:spacing w:line="360" w:lineRule="auto"/>
        <w:ind w:firstLineChars="0"/>
        <w:jc w:val="left"/>
        <w:rPr>
          <w:rFonts w:ascii="宋体" w:hAnsi="宋体"/>
          <w:color w:val="auto"/>
          <w:szCs w:val="21"/>
        </w:rPr>
      </w:pPr>
      <w:bookmarkStart w:id="14" w:name="EB067d940baba349e582b898bfd18c9719"/>
      <w:r>
        <w:rPr>
          <w:rFonts w:ascii="宋体" w:hAnsi="宋体" w:cs="宋体"/>
          <w:color w:val="auto"/>
          <w:szCs w:val="21"/>
        </w:rPr>
        <w:t>综合</w:t>
      </w:r>
      <w:r>
        <w:rPr>
          <w:rFonts w:hint="eastAsia" w:ascii="宋体" w:hAnsi="宋体" w:cs="宋体"/>
          <w:color w:val="auto"/>
          <w:szCs w:val="21"/>
        </w:rPr>
        <w:t>得分</w:t>
      </w:r>
      <w:r>
        <w:rPr>
          <w:rFonts w:ascii="宋体" w:hAnsi="宋体" w:cs="宋体"/>
          <w:color w:val="auto"/>
          <w:szCs w:val="21"/>
        </w:rPr>
        <w:t>=技术</w:t>
      </w:r>
      <w:r>
        <w:rPr>
          <w:rFonts w:hint="eastAsia" w:ascii="宋体" w:hAnsi="宋体" w:cs="宋体"/>
          <w:color w:val="auto"/>
          <w:szCs w:val="21"/>
        </w:rPr>
        <w:t>得分</w:t>
      </w:r>
      <w:r>
        <w:rPr>
          <w:rFonts w:ascii="宋体" w:hAnsi="宋体" w:cs="宋体"/>
          <w:color w:val="auto"/>
          <w:szCs w:val="21"/>
        </w:rPr>
        <w:t>+商务</w:t>
      </w:r>
      <w:r>
        <w:rPr>
          <w:rFonts w:hint="eastAsia" w:ascii="宋体" w:hAnsi="宋体" w:cs="宋体"/>
          <w:color w:val="auto"/>
          <w:szCs w:val="21"/>
        </w:rPr>
        <w:t>得分</w:t>
      </w:r>
      <w:r>
        <w:rPr>
          <w:rFonts w:ascii="宋体" w:hAnsi="宋体" w:cs="宋体"/>
          <w:color w:val="auto"/>
          <w:szCs w:val="21"/>
        </w:rPr>
        <w:t>+价格</w:t>
      </w:r>
      <w:bookmarkEnd w:id="14"/>
      <w:r>
        <w:rPr>
          <w:rFonts w:hint="eastAsia" w:ascii="宋体" w:hAnsi="宋体" w:cs="宋体"/>
          <w:color w:val="auto"/>
          <w:szCs w:val="21"/>
        </w:rPr>
        <w:t>得分。</w:t>
      </w:r>
    </w:p>
    <w:p>
      <w:pPr>
        <w:pStyle w:val="90"/>
        <w:widowControl/>
        <w:numPr>
          <w:ilvl w:val="0"/>
          <w:numId w:val="7"/>
        </w:numPr>
        <w:adjustRightInd w:val="0"/>
        <w:snapToGrid w:val="0"/>
        <w:spacing w:line="360" w:lineRule="auto"/>
        <w:ind w:firstLineChars="0"/>
        <w:jc w:val="left"/>
        <w:rPr>
          <w:rFonts w:ascii="宋体" w:hAnsi="宋体"/>
          <w:b/>
          <w:color w:val="auto"/>
          <w:szCs w:val="21"/>
        </w:rPr>
      </w:pPr>
      <w:r>
        <w:rPr>
          <w:rFonts w:hint="eastAsia" w:ascii="宋体" w:hAnsi="宋体"/>
          <w:b/>
          <w:color w:val="auto"/>
          <w:szCs w:val="21"/>
        </w:rPr>
        <w:t>推荐中标候选人</w:t>
      </w:r>
    </w:p>
    <w:p>
      <w:pPr>
        <w:pStyle w:val="90"/>
        <w:widowControl/>
        <w:numPr>
          <w:ilvl w:val="1"/>
          <w:numId w:val="7"/>
        </w:numPr>
        <w:adjustRightInd w:val="0"/>
        <w:snapToGrid w:val="0"/>
        <w:spacing w:line="360" w:lineRule="auto"/>
        <w:ind w:left="420" w:hanging="420" w:hangingChars="200"/>
        <w:jc w:val="left"/>
        <w:rPr>
          <w:rFonts w:ascii="宋体" w:hAnsi="宋体"/>
          <w:color w:val="auto"/>
          <w:szCs w:val="21"/>
        </w:rPr>
      </w:pPr>
      <w:r>
        <w:rPr>
          <w:rFonts w:hint="eastAsia" w:ascii="宋体" w:hAnsi="宋体"/>
          <w:color w:val="auto"/>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90"/>
        <w:widowControl/>
        <w:numPr>
          <w:ilvl w:val="1"/>
          <w:numId w:val="7"/>
        </w:numPr>
        <w:adjustRightInd w:val="0"/>
        <w:snapToGrid w:val="0"/>
        <w:spacing w:line="360" w:lineRule="auto"/>
        <w:ind w:firstLineChars="0"/>
        <w:jc w:val="left"/>
        <w:rPr>
          <w:rFonts w:ascii="宋体" w:hAnsi="宋体"/>
          <w:color w:val="auto"/>
          <w:szCs w:val="21"/>
        </w:rPr>
      </w:pPr>
      <w:r>
        <w:rPr>
          <w:rFonts w:hint="eastAsia" w:ascii="宋体" w:hAnsi="宋体"/>
          <w:color w:val="auto"/>
          <w:szCs w:val="21"/>
        </w:rPr>
        <w:t>推荐综合得分排名第一的投标人为第一中标候选人，排名第二的投标人为第二中标候选人。</w:t>
      </w:r>
    </w:p>
    <w:p>
      <w:pPr>
        <w:pStyle w:val="90"/>
        <w:widowControl/>
        <w:numPr>
          <w:ilvl w:val="1"/>
          <w:numId w:val="7"/>
        </w:numPr>
        <w:adjustRightInd w:val="0"/>
        <w:snapToGrid w:val="0"/>
        <w:spacing w:line="360" w:lineRule="auto"/>
        <w:ind w:firstLineChars="0"/>
        <w:jc w:val="left"/>
        <w:rPr>
          <w:rFonts w:ascii="宋体" w:hAnsi="宋体"/>
          <w:color w:val="auto"/>
          <w:szCs w:val="21"/>
        </w:rPr>
      </w:pPr>
      <w:r>
        <w:rPr>
          <w:rFonts w:hint="eastAsia" w:ascii="宋体" w:hAnsi="宋体"/>
          <w:color w:val="auto"/>
          <w:szCs w:val="21"/>
        </w:rPr>
        <w:t>中标候选人并列的，由采购人采取随机抽取的方式确定中标人。</w:t>
      </w:r>
    </w:p>
    <w:p>
      <w:pPr>
        <w:pStyle w:val="90"/>
        <w:widowControl/>
        <w:numPr>
          <w:ilvl w:val="0"/>
          <w:numId w:val="7"/>
        </w:numPr>
        <w:adjustRightInd w:val="0"/>
        <w:snapToGrid w:val="0"/>
        <w:spacing w:line="360" w:lineRule="auto"/>
        <w:ind w:firstLineChars="0"/>
        <w:jc w:val="left"/>
        <w:rPr>
          <w:rFonts w:ascii="宋体" w:hAnsi="宋体"/>
          <w:b/>
          <w:color w:val="auto"/>
          <w:szCs w:val="21"/>
        </w:rPr>
      </w:pPr>
      <w:r>
        <w:rPr>
          <w:rFonts w:hint="eastAsia" w:ascii="宋体" w:hAnsi="宋体"/>
          <w:b/>
          <w:color w:val="auto"/>
          <w:szCs w:val="21"/>
        </w:rPr>
        <w:t>确定中标人</w:t>
      </w:r>
    </w:p>
    <w:p>
      <w:pPr>
        <w:pStyle w:val="90"/>
        <w:widowControl/>
        <w:numPr>
          <w:ilvl w:val="1"/>
          <w:numId w:val="7"/>
        </w:numPr>
        <w:adjustRightInd w:val="0"/>
        <w:snapToGrid w:val="0"/>
        <w:spacing w:line="360" w:lineRule="auto"/>
        <w:ind w:left="420" w:hanging="420" w:hangingChars="200"/>
        <w:jc w:val="left"/>
        <w:rPr>
          <w:rFonts w:ascii="宋体" w:hAnsi="宋体"/>
          <w:color w:val="auto"/>
          <w:szCs w:val="21"/>
        </w:rPr>
      </w:pPr>
      <w:r>
        <w:rPr>
          <w:rFonts w:hint="eastAsia" w:ascii="宋体" w:hAnsi="宋体"/>
          <w:color w:val="auto"/>
          <w:szCs w:val="21"/>
        </w:rPr>
        <w:t>采购代理机构</w:t>
      </w:r>
      <w:r>
        <w:rPr>
          <w:rFonts w:ascii="宋体" w:hAnsi="宋体"/>
          <w:color w:val="auto"/>
          <w:szCs w:val="21"/>
        </w:rPr>
        <w:t>提</w:t>
      </w:r>
      <w:r>
        <w:rPr>
          <w:rFonts w:hint="eastAsia" w:ascii="宋体" w:hAnsi="宋体"/>
          <w:color w:val="auto"/>
          <w:szCs w:val="21"/>
        </w:rPr>
        <w:t>交</w:t>
      </w:r>
      <w:r>
        <w:rPr>
          <w:rFonts w:ascii="宋体" w:hAnsi="宋体"/>
          <w:color w:val="auto"/>
          <w:szCs w:val="21"/>
        </w:rPr>
        <w:t>评</w:t>
      </w:r>
      <w:r>
        <w:rPr>
          <w:rFonts w:hint="eastAsia" w:ascii="宋体" w:hAnsi="宋体"/>
          <w:color w:val="auto"/>
          <w:szCs w:val="21"/>
        </w:rPr>
        <w:t>标</w:t>
      </w:r>
      <w:r>
        <w:rPr>
          <w:rFonts w:ascii="宋体" w:hAnsi="宋体"/>
          <w:color w:val="auto"/>
          <w:szCs w:val="21"/>
        </w:rPr>
        <w:t>报告报</w:t>
      </w:r>
      <w:r>
        <w:rPr>
          <w:rFonts w:hint="eastAsia" w:ascii="宋体" w:hAnsi="宋体"/>
          <w:color w:val="auto"/>
          <w:szCs w:val="21"/>
        </w:rPr>
        <w:t>采购</w:t>
      </w:r>
      <w:r>
        <w:rPr>
          <w:rFonts w:ascii="宋体" w:hAnsi="宋体"/>
          <w:color w:val="auto"/>
          <w:szCs w:val="21"/>
        </w:rPr>
        <w:t>人</w:t>
      </w:r>
      <w:r>
        <w:rPr>
          <w:rFonts w:hint="eastAsia" w:ascii="宋体" w:hAnsi="宋体"/>
          <w:color w:val="auto"/>
          <w:szCs w:val="21"/>
        </w:rPr>
        <w:t>确认，采购人在收到评标报告之日起5个工作日内确定中标人，按照评标报告中确定的中标候选人顺序确定中标人，也可以事先授权评标委员会直接确定中标人。确认后采购代理机构将在刊登本项目招标公告的法定媒体上</w:t>
      </w:r>
      <w:r>
        <w:rPr>
          <w:rFonts w:ascii="宋体" w:hAnsi="宋体"/>
          <w:color w:val="auto"/>
          <w:szCs w:val="21"/>
        </w:rPr>
        <w:t>发</w:t>
      </w:r>
      <w:r>
        <w:rPr>
          <w:rFonts w:hint="eastAsia" w:ascii="宋体" w:hAnsi="宋体"/>
          <w:color w:val="auto"/>
          <w:szCs w:val="21"/>
        </w:rPr>
        <w:t>布中标公告。</w:t>
      </w:r>
    </w:p>
    <w:p>
      <w:pPr>
        <w:pStyle w:val="90"/>
        <w:widowControl/>
        <w:numPr>
          <w:ilvl w:val="1"/>
          <w:numId w:val="7"/>
        </w:numPr>
        <w:adjustRightInd w:val="0"/>
        <w:snapToGrid w:val="0"/>
        <w:spacing w:line="360" w:lineRule="auto"/>
        <w:ind w:left="420" w:hanging="420" w:hangingChars="200"/>
        <w:jc w:val="left"/>
        <w:rPr>
          <w:rFonts w:ascii="宋体" w:hAnsi="宋体"/>
          <w:color w:val="auto"/>
          <w:szCs w:val="21"/>
        </w:rPr>
      </w:pPr>
      <w:r>
        <w:rPr>
          <w:rFonts w:hint="eastAsia" w:ascii="宋体" w:hAnsi="宋体"/>
          <w:color w:val="auto"/>
          <w:szCs w:val="21"/>
        </w:rPr>
        <w:t>中标人拒绝与采购人签订合同的，采购人可以按照评标报告推荐的中标候选人名单排序，确定下一候选人为中标人，也可以重新开展采购活动。</w:t>
      </w:r>
    </w:p>
    <w:p>
      <w:pPr>
        <w:pStyle w:val="90"/>
        <w:widowControl/>
        <w:numPr>
          <w:ilvl w:val="1"/>
          <w:numId w:val="7"/>
        </w:numPr>
        <w:adjustRightInd w:val="0"/>
        <w:snapToGrid w:val="0"/>
        <w:spacing w:line="360" w:lineRule="auto"/>
        <w:ind w:left="420" w:hanging="420" w:hangingChars="200"/>
        <w:jc w:val="left"/>
        <w:rPr>
          <w:rFonts w:ascii="宋体" w:hAnsi="宋体"/>
          <w:color w:val="auto"/>
          <w:szCs w:val="21"/>
        </w:rPr>
      </w:pPr>
      <w:r>
        <w:rPr>
          <w:rFonts w:hint="eastAsia" w:ascii="宋体" w:hAnsi="宋体"/>
          <w:color w:val="auto"/>
          <w:szCs w:val="21"/>
        </w:rPr>
        <w:t>中标人放弃中标的，采购人可以按照排序从其他中标候选人中确定中标人，没有其他中标候选人的，应当重新组织采购活动。</w:t>
      </w:r>
    </w:p>
    <w:p>
      <w:pPr>
        <w:pStyle w:val="90"/>
        <w:widowControl/>
        <w:numPr>
          <w:ilvl w:val="1"/>
          <w:numId w:val="7"/>
        </w:numPr>
        <w:adjustRightInd w:val="0"/>
        <w:snapToGrid w:val="0"/>
        <w:spacing w:line="360" w:lineRule="auto"/>
        <w:ind w:left="420" w:hanging="420" w:hangingChars="200"/>
        <w:jc w:val="left"/>
        <w:rPr>
          <w:rFonts w:ascii="宋体" w:hAnsi="宋体"/>
          <w:color w:val="auto"/>
          <w:szCs w:val="21"/>
        </w:rPr>
      </w:pPr>
      <w:r>
        <w:rPr>
          <w:rFonts w:hint="eastAsia" w:ascii="宋体" w:hAnsi="宋体"/>
          <w:color w:val="auto"/>
          <w:szCs w:val="21"/>
        </w:rPr>
        <w:t>中标人被依法认定中标无效的，合格供应商符合法定数量时，采购人依法从合格的中标候选人中另行确定中标供应商，否则重新组织采购活动。</w:t>
      </w:r>
    </w:p>
    <w:p>
      <w:pPr>
        <w:pStyle w:val="90"/>
        <w:widowControl/>
        <w:numPr>
          <w:ilvl w:val="0"/>
          <w:numId w:val="7"/>
        </w:numPr>
        <w:adjustRightInd w:val="0"/>
        <w:snapToGrid w:val="0"/>
        <w:spacing w:line="360" w:lineRule="auto"/>
        <w:ind w:firstLineChars="0"/>
        <w:jc w:val="left"/>
        <w:rPr>
          <w:rFonts w:ascii="宋体" w:hAnsi="宋体"/>
          <w:b/>
          <w:color w:val="auto"/>
          <w:szCs w:val="21"/>
        </w:rPr>
      </w:pPr>
      <w:r>
        <w:rPr>
          <w:rFonts w:ascii="宋体" w:hAnsi="宋体"/>
          <w:b/>
          <w:color w:val="auto"/>
          <w:szCs w:val="21"/>
        </w:rPr>
        <w:t>特别说明</w:t>
      </w:r>
    </w:p>
    <w:p>
      <w:pPr>
        <w:pStyle w:val="90"/>
        <w:widowControl/>
        <w:numPr>
          <w:ilvl w:val="1"/>
          <w:numId w:val="7"/>
        </w:numPr>
        <w:adjustRightInd w:val="0"/>
        <w:snapToGrid w:val="0"/>
        <w:spacing w:line="360" w:lineRule="auto"/>
        <w:ind w:firstLineChars="0"/>
        <w:jc w:val="left"/>
        <w:rPr>
          <w:rFonts w:ascii="宋体" w:hAnsi="宋体"/>
          <w:b/>
          <w:color w:val="auto"/>
          <w:szCs w:val="21"/>
        </w:rPr>
      </w:pPr>
      <w:r>
        <w:rPr>
          <w:rFonts w:hint="eastAsia" w:ascii="宋体" w:hAnsi="宋体"/>
          <w:b/>
          <w:color w:val="auto"/>
          <w:szCs w:val="21"/>
        </w:rPr>
        <w:t>有下列情形之一的，视为投标人串通投标，其投标无效：</w:t>
      </w:r>
    </w:p>
    <w:p>
      <w:pPr>
        <w:pStyle w:val="90"/>
        <w:widowControl/>
        <w:numPr>
          <w:ilvl w:val="2"/>
          <w:numId w:val="7"/>
        </w:numPr>
        <w:adjustRightInd w:val="0"/>
        <w:snapToGrid w:val="0"/>
        <w:spacing w:line="360" w:lineRule="auto"/>
        <w:ind w:firstLineChars="0"/>
        <w:jc w:val="left"/>
        <w:rPr>
          <w:rFonts w:ascii="宋体" w:hAnsi="宋体"/>
          <w:color w:val="auto"/>
          <w:szCs w:val="21"/>
        </w:rPr>
      </w:pPr>
      <w:r>
        <w:rPr>
          <w:rFonts w:hint="eastAsia" w:ascii="宋体" w:hAnsi="宋体"/>
          <w:color w:val="auto"/>
          <w:szCs w:val="21"/>
        </w:rPr>
        <w:t>不同投标人的投标文件由同一单位或者个人编制；</w:t>
      </w:r>
    </w:p>
    <w:p>
      <w:pPr>
        <w:pStyle w:val="90"/>
        <w:widowControl/>
        <w:numPr>
          <w:ilvl w:val="2"/>
          <w:numId w:val="7"/>
        </w:numPr>
        <w:adjustRightInd w:val="0"/>
        <w:snapToGrid w:val="0"/>
        <w:spacing w:line="360" w:lineRule="auto"/>
        <w:ind w:firstLineChars="0"/>
        <w:jc w:val="left"/>
        <w:rPr>
          <w:rFonts w:ascii="宋体" w:hAnsi="宋体"/>
          <w:color w:val="auto"/>
          <w:szCs w:val="21"/>
        </w:rPr>
      </w:pPr>
      <w:r>
        <w:rPr>
          <w:rFonts w:hint="eastAsia" w:ascii="宋体" w:hAnsi="宋体"/>
          <w:color w:val="auto"/>
          <w:szCs w:val="21"/>
        </w:rPr>
        <w:t>不同投标人委托同一单位或者个人办理投标事宜；</w:t>
      </w:r>
    </w:p>
    <w:p>
      <w:pPr>
        <w:pStyle w:val="90"/>
        <w:widowControl/>
        <w:numPr>
          <w:ilvl w:val="2"/>
          <w:numId w:val="7"/>
        </w:numPr>
        <w:adjustRightInd w:val="0"/>
        <w:snapToGrid w:val="0"/>
        <w:spacing w:line="360" w:lineRule="auto"/>
        <w:ind w:firstLineChars="0"/>
        <w:jc w:val="left"/>
        <w:rPr>
          <w:rFonts w:ascii="宋体" w:hAnsi="宋体"/>
          <w:color w:val="auto"/>
          <w:szCs w:val="21"/>
        </w:rPr>
      </w:pPr>
      <w:r>
        <w:rPr>
          <w:rFonts w:hint="eastAsia" w:ascii="宋体" w:hAnsi="宋体"/>
          <w:color w:val="auto"/>
          <w:szCs w:val="21"/>
        </w:rPr>
        <w:t>不同投标人的投标文件载明的项目管理成员或者联系人员为同一人；</w:t>
      </w:r>
    </w:p>
    <w:p>
      <w:pPr>
        <w:pStyle w:val="90"/>
        <w:widowControl/>
        <w:numPr>
          <w:ilvl w:val="2"/>
          <w:numId w:val="7"/>
        </w:numPr>
        <w:adjustRightInd w:val="0"/>
        <w:snapToGrid w:val="0"/>
        <w:spacing w:line="360" w:lineRule="auto"/>
        <w:ind w:firstLineChars="0"/>
        <w:jc w:val="left"/>
        <w:rPr>
          <w:rFonts w:ascii="宋体" w:hAnsi="宋体"/>
          <w:color w:val="auto"/>
          <w:szCs w:val="21"/>
        </w:rPr>
      </w:pPr>
      <w:r>
        <w:rPr>
          <w:rFonts w:hint="eastAsia" w:ascii="宋体" w:hAnsi="宋体"/>
          <w:color w:val="auto"/>
          <w:szCs w:val="21"/>
        </w:rPr>
        <w:t>不同投标人的投标文件异常一致或者投标报价呈规律性差异；</w:t>
      </w:r>
    </w:p>
    <w:p>
      <w:pPr>
        <w:pStyle w:val="90"/>
        <w:widowControl/>
        <w:numPr>
          <w:ilvl w:val="2"/>
          <w:numId w:val="7"/>
        </w:numPr>
        <w:adjustRightInd w:val="0"/>
        <w:snapToGrid w:val="0"/>
        <w:spacing w:line="360" w:lineRule="auto"/>
        <w:ind w:firstLineChars="0"/>
        <w:jc w:val="left"/>
        <w:rPr>
          <w:rFonts w:ascii="宋体" w:hAnsi="宋体"/>
          <w:color w:val="auto"/>
          <w:szCs w:val="21"/>
        </w:rPr>
      </w:pPr>
      <w:r>
        <w:rPr>
          <w:rFonts w:hint="eastAsia" w:ascii="宋体" w:hAnsi="宋体"/>
          <w:color w:val="auto"/>
          <w:szCs w:val="21"/>
        </w:rPr>
        <w:t>不同投标人的投标文件相互混装；</w:t>
      </w:r>
    </w:p>
    <w:p>
      <w:pPr>
        <w:pStyle w:val="90"/>
        <w:widowControl/>
        <w:numPr>
          <w:ilvl w:val="2"/>
          <w:numId w:val="7"/>
        </w:numPr>
        <w:adjustRightInd w:val="0"/>
        <w:snapToGrid w:val="0"/>
        <w:spacing w:line="360" w:lineRule="auto"/>
        <w:ind w:firstLineChars="0"/>
        <w:jc w:val="left"/>
        <w:rPr>
          <w:rFonts w:ascii="宋体" w:hAnsi="宋体"/>
          <w:color w:val="auto"/>
          <w:szCs w:val="21"/>
        </w:rPr>
      </w:pPr>
      <w:r>
        <w:rPr>
          <w:rFonts w:hint="eastAsia" w:ascii="宋体" w:hAnsi="宋体"/>
          <w:color w:val="auto"/>
          <w:szCs w:val="21"/>
        </w:rPr>
        <w:t>不同投标人的投标保</w:t>
      </w:r>
      <w:r>
        <w:rPr>
          <w:rFonts w:hint="eastAsia" w:ascii="宋体" w:hAnsi="宋体"/>
          <w:color w:val="auto"/>
          <w:szCs w:val="21"/>
        </w:rPr>
        <w:t>证金从同一单位或者个人的账户转出。</w:t>
      </w:r>
    </w:p>
    <w:p>
      <w:pPr>
        <w:tabs>
          <w:tab w:val="left" w:pos="420"/>
          <w:tab w:val="left" w:pos="630"/>
        </w:tabs>
        <w:autoSpaceDE w:val="0"/>
        <w:autoSpaceDN w:val="0"/>
        <w:adjustRightInd w:val="0"/>
        <w:snapToGrid w:val="0"/>
        <w:spacing w:line="360" w:lineRule="auto"/>
        <w:rPr>
          <w:rFonts w:ascii="宋体" w:hAnsi="宋体"/>
          <w:b/>
          <w:color w:val="auto"/>
        </w:rPr>
        <w:sectPr>
          <w:pgSz w:w="11906" w:h="16838"/>
          <w:pgMar w:top="1440" w:right="1286" w:bottom="1440" w:left="1440" w:header="851" w:footer="992" w:gutter="0"/>
          <w:cols w:space="720" w:num="1"/>
          <w:docGrid w:type="lines" w:linePitch="312" w:charSpace="0"/>
        </w:sectPr>
      </w:pPr>
    </w:p>
    <w:p>
      <w:pPr>
        <w:tabs>
          <w:tab w:val="left" w:pos="420"/>
          <w:tab w:val="left" w:pos="630"/>
        </w:tabs>
        <w:autoSpaceDE w:val="0"/>
        <w:autoSpaceDN w:val="0"/>
        <w:adjustRightInd w:val="0"/>
        <w:spacing w:line="360" w:lineRule="auto"/>
        <w:rPr>
          <w:rFonts w:ascii="宋体" w:hAnsi="宋体"/>
          <w:b/>
          <w:color w:val="auto"/>
        </w:rPr>
      </w:pPr>
      <w:r>
        <w:rPr>
          <w:rFonts w:hint="eastAsia" w:ascii="宋体" w:hAnsi="宋体"/>
          <w:b/>
          <w:color w:val="auto"/>
        </w:rPr>
        <w:t>说明：</w:t>
      </w:r>
    </w:p>
    <w:p>
      <w:pPr>
        <w:pStyle w:val="90"/>
        <w:numPr>
          <w:ilvl w:val="0"/>
          <w:numId w:val="8"/>
        </w:numPr>
        <w:autoSpaceDE w:val="0"/>
        <w:autoSpaceDN w:val="0"/>
        <w:adjustRightInd w:val="0"/>
        <w:spacing w:line="360" w:lineRule="auto"/>
        <w:ind w:left="210" w:hanging="210" w:hangingChars="100"/>
        <w:rPr>
          <w:rFonts w:ascii="宋体" w:hAnsi="宋体"/>
          <w:color w:val="auto"/>
        </w:rPr>
      </w:pPr>
      <w:r>
        <w:rPr>
          <w:rFonts w:hint="eastAsia" w:ascii="宋体" w:hAnsi="宋体"/>
          <w:color w:val="auto"/>
        </w:rPr>
        <w:t>投标人必须严格按照《资格性审查表》、《符合性审查表》的评审内容的要求如实提供证明材料并应加盖投标人公章，若投标人不满足《资格性审查表》、《符合性审查表》中任何情形之一的，则其投标无效。</w:t>
      </w:r>
    </w:p>
    <w:p>
      <w:pPr>
        <w:pStyle w:val="90"/>
        <w:numPr>
          <w:ilvl w:val="0"/>
          <w:numId w:val="8"/>
        </w:numPr>
        <w:autoSpaceDE w:val="0"/>
        <w:autoSpaceDN w:val="0"/>
        <w:adjustRightInd w:val="0"/>
        <w:spacing w:line="360" w:lineRule="auto"/>
        <w:ind w:left="210" w:hanging="210" w:hangingChars="100"/>
        <w:rPr>
          <w:rFonts w:ascii="宋体" w:hAnsi="宋体"/>
          <w:color w:val="auto"/>
        </w:rPr>
      </w:pPr>
      <w:r>
        <w:rPr>
          <w:rFonts w:hint="eastAsia" w:ascii="宋体" w:hAnsi="宋体"/>
          <w:color w:val="auto"/>
        </w:rPr>
        <w:t>技术、商务评分：评标委员会各成员分值的算术平均值（四舍五入后，小数点后保留两位有效数）。</w:t>
      </w:r>
    </w:p>
    <w:p>
      <w:pPr>
        <w:pStyle w:val="90"/>
        <w:numPr>
          <w:ilvl w:val="0"/>
          <w:numId w:val="8"/>
        </w:numPr>
        <w:autoSpaceDE w:val="0"/>
        <w:autoSpaceDN w:val="0"/>
        <w:adjustRightInd w:val="0"/>
        <w:spacing w:line="360" w:lineRule="auto"/>
        <w:ind w:left="210" w:hanging="210" w:hangingChars="100"/>
        <w:rPr>
          <w:rFonts w:ascii="宋体" w:hAnsi="宋体"/>
          <w:color w:val="auto"/>
        </w:rPr>
      </w:pPr>
      <w:r>
        <w:rPr>
          <w:rFonts w:hint="eastAsia" w:ascii="宋体" w:hAnsi="宋体"/>
          <w:color w:val="auto"/>
        </w:rPr>
        <w:t>投标人应如实提交《综合评分表》要求提交的相关各类证明、资料等并应加盖投标人公章，投标人如未按要求提交的，该项评分为零分。</w:t>
      </w:r>
    </w:p>
    <w:p>
      <w:pPr>
        <w:pStyle w:val="90"/>
        <w:numPr>
          <w:ilvl w:val="0"/>
          <w:numId w:val="8"/>
        </w:numPr>
        <w:autoSpaceDE w:val="0"/>
        <w:autoSpaceDN w:val="0"/>
        <w:adjustRightInd w:val="0"/>
        <w:spacing w:line="360" w:lineRule="auto"/>
        <w:ind w:left="210" w:hanging="210" w:hangingChars="100"/>
        <w:rPr>
          <w:rFonts w:ascii="宋体" w:hAnsi="宋体"/>
          <w:color w:val="auto"/>
        </w:rPr>
      </w:pPr>
      <w:r>
        <w:rPr>
          <w:rFonts w:hint="eastAsia" w:ascii="宋体" w:hAnsi="宋体" w:cs="宋体"/>
          <w:color w:val="auto"/>
          <w:szCs w:val="21"/>
        </w:rPr>
        <w:t>评审内容中投</w:t>
      </w:r>
      <w:r>
        <w:rPr>
          <w:rFonts w:hint="eastAsia" w:ascii="宋体" w:hAnsi="宋体" w:cs="宋体"/>
          <w:color w:val="auto"/>
          <w:szCs w:val="21"/>
          <w:lang w:eastAsia="zh-TW"/>
        </w:rPr>
        <w:t>标人提交的支持文件或印刷的资料</w:t>
      </w:r>
      <w:r>
        <w:rPr>
          <w:rFonts w:hint="eastAsia" w:ascii="宋体" w:hAnsi="宋体" w:cs="宋体"/>
          <w:color w:val="auto"/>
          <w:szCs w:val="21"/>
        </w:rPr>
        <w:t>或外文书证或者外国语试听资料使用中文以外的另一种语言的，</w:t>
      </w:r>
      <w:r>
        <w:rPr>
          <w:rFonts w:hint="eastAsia" w:ascii="宋体" w:hAnsi="宋体" w:cs="宋体"/>
          <w:color w:val="auto"/>
          <w:szCs w:val="21"/>
          <w:lang w:eastAsia="zh-TW"/>
        </w:rPr>
        <w:t>相应内容应附有中文</w:t>
      </w:r>
      <w:r>
        <w:rPr>
          <w:rFonts w:hint="eastAsia" w:ascii="宋体" w:hAnsi="宋体" w:cs="宋体"/>
          <w:color w:val="auto"/>
          <w:szCs w:val="21"/>
        </w:rPr>
        <w:t>译本并加盖投标人公章，否则不予认可。若</w:t>
      </w:r>
      <w:r>
        <w:rPr>
          <w:rFonts w:hint="eastAsia" w:ascii="宋体" w:hAnsi="宋体"/>
          <w:color w:val="auto"/>
        </w:rPr>
        <w:t>两种语言不一致时以中文翻译本为准。</w:t>
      </w:r>
    </w:p>
    <w:p>
      <w:pPr>
        <w:pStyle w:val="90"/>
        <w:numPr>
          <w:ilvl w:val="0"/>
          <w:numId w:val="8"/>
        </w:numPr>
        <w:autoSpaceDE w:val="0"/>
        <w:autoSpaceDN w:val="0"/>
        <w:adjustRightInd w:val="0"/>
        <w:spacing w:line="360" w:lineRule="auto"/>
        <w:ind w:left="210" w:hanging="210" w:hangingChars="100"/>
        <w:rPr>
          <w:rFonts w:ascii="宋体" w:hAnsi="宋体" w:cs="宋体"/>
          <w:color w:val="auto"/>
          <w:szCs w:val="21"/>
        </w:rPr>
      </w:pPr>
      <w:r>
        <w:rPr>
          <w:rFonts w:hint="eastAsia" w:ascii="宋体" w:hAnsi="宋体" w:cs="宋体"/>
          <w:color w:val="auto"/>
          <w:szCs w:val="21"/>
        </w:rPr>
        <w:t>评审内容中所要求提交“原件”资料应独立封装，并内附“资料原件提交清单”（详见第六章投标文件格式），原件备查作为评分依据，如未提供原件的，该项评分为0分。</w:t>
      </w:r>
    </w:p>
    <w:p>
      <w:pPr>
        <w:pStyle w:val="90"/>
        <w:numPr>
          <w:ilvl w:val="0"/>
          <w:numId w:val="8"/>
        </w:numPr>
        <w:autoSpaceDE w:val="0"/>
        <w:autoSpaceDN w:val="0"/>
        <w:adjustRightInd w:val="0"/>
        <w:spacing w:line="360" w:lineRule="auto"/>
        <w:ind w:left="210" w:hanging="210" w:hangingChars="100"/>
        <w:rPr>
          <w:rFonts w:ascii="宋体" w:hAnsi="宋体" w:cs="宋体"/>
          <w:color w:val="auto"/>
          <w:szCs w:val="21"/>
        </w:rPr>
      </w:pPr>
      <w:r>
        <w:rPr>
          <w:rFonts w:hint="eastAsia" w:ascii="宋体" w:hAnsi="宋体" w:cs="宋体"/>
          <w:color w:val="auto"/>
          <w:szCs w:val="21"/>
        </w:rPr>
        <w:t>投标人应将“原件”在投标截止时间前送达开标地点，否则，采购人、采购代理机构应当拒收。原件于评标结束后退回。</w:t>
      </w:r>
    </w:p>
    <w:p>
      <w:pPr>
        <w:adjustRightInd w:val="0"/>
        <w:snapToGrid w:val="0"/>
        <w:spacing w:line="360" w:lineRule="auto"/>
        <w:jc w:val="center"/>
        <w:outlineLvl w:val="1"/>
        <w:rPr>
          <w:rFonts w:ascii="黑体" w:hAnsi="宋体" w:eastAsia="黑体" w:cs="宋体"/>
          <w:color w:val="auto"/>
          <w:sz w:val="28"/>
          <w:szCs w:val="28"/>
        </w:rPr>
      </w:pPr>
      <w:r>
        <w:rPr>
          <w:rFonts w:hint="eastAsia" w:ascii="黑体" w:hAnsi="宋体" w:eastAsia="黑体" w:cs="宋体"/>
          <w:color w:val="auto"/>
          <w:sz w:val="28"/>
          <w:szCs w:val="28"/>
        </w:rPr>
        <w:t>资格性审查表</w:t>
      </w:r>
    </w:p>
    <w:tbl>
      <w:tblPr>
        <w:tblStyle w:val="44"/>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8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788" w:type="dxa"/>
            <w:tcBorders>
              <w:top w:val="single" w:color="auto" w:sz="12" w:space="0"/>
              <w:left w:val="single" w:color="auto" w:sz="12" w:space="0"/>
            </w:tcBorders>
            <w:vAlign w:val="center"/>
          </w:tcPr>
          <w:p>
            <w:pPr>
              <w:jc w:val="center"/>
              <w:rPr>
                <w:rFonts w:ascii="宋体" w:cs="宋体"/>
                <w:b/>
                <w:color w:val="auto"/>
              </w:rPr>
            </w:pPr>
            <w:r>
              <w:rPr>
                <w:rFonts w:hint="eastAsia" w:ascii="宋体" w:cs="宋体"/>
                <w:b/>
                <w:color w:val="auto"/>
              </w:rPr>
              <w:t>序号</w:t>
            </w:r>
          </w:p>
        </w:tc>
        <w:tc>
          <w:tcPr>
            <w:tcW w:w="8283" w:type="dxa"/>
            <w:tcBorders>
              <w:top w:val="single" w:color="auto" w:sz="12" w:space="0"/>
              <w:right w:val="single" w:color="auto" w:sz="12" w:space="0"/>
            </w:tcBorders>
            <w:vAlign w:val="center"/>
          </w:tcPr>
          <w:p>
            <w:pPr>
              <w:jc w:val="center"/>
              <w:rPr>
                <w:rFonts w:ascii="宋体" w:cs="宋体"/>
                <w:b/>
                <w:color w:val="auto"/>
              </w:rPr>
            </w:pPr>
            <w:r>
              <w:rPr>
                <w:rFonts w:hint="eastAsia" w:ascii="宋体" w:hAnsi="宋体" w:cs="宋体"/>
                <w:b/>
                <w:color w:val="auto"/>
              </w:rPr>
              <w:t>评 审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jc w:val="center"/>
        </w:trPr>
        <w:tc>
          <w:tcPr>
            <w:tcW w:w="788" w:type="dxa"/>
            <w:tcBorders>
              <w:left w:val="single" w:color="auto" w:sz="12" w:space="0"/>
            </w:tcBorders>
            <w:vAlign w:val="center"/>
          </w:tcPr>
          <w:p>
            <w:pPr>
              <w:numPr>
                <w:ilvl w:val="0"/>
                <w:numId w:val="9"/>
              </w:numPr>
              <w:tabs>
                <w:tab w:val="left" w:pos="176"/>
                <w:tab w:val="left" w:pos="420"/>
                <w:tab w:val="left" w:pos="612"/>
              </w:tabs>
              <w:jc w:val="center"/>
              <w:rPr>
                <w:rFonts w:ascii="宋体" w:hAnsi="宋体" w:cs="宋体"/>
                <w:color w:val="auto"/>
              </w:rPr>
            </w:pPr>
          </w:p>
        </w:tc>
        <w:tc>
          <w:tcPr>
            <w:tcW w:w="8283" w:type="dxa"/>
            <w:tcBorders>
              <w:right w:val="single" w:color="auto" w:sz="12" w:space="0"/>
            </w:tcBorders>
            <w:vAlign w:val="center"/>
          </w:tcPr>
          <w:p>
            <w:pPr>
              <w:tabs>
                <w:tab w:val="left" w:pos="612"/>
              </w:tabs>
              <w:rPr>
                <w:rFonts w:ascii="宋体" w:hAnsi="宋体" w:cs="宋体"/>
                <w:color w:val="auto"/>
              </w:rPr>
            </w:pPr>
            <w:r>
              <w:rPr>
                <w:rFonts w:hint="eastAsia" w:ascii="宋体" w:hAnsi="宋体" w:cs="宋体"/>
                <w:color w:val="auto"/>
              </w:rPr>
              <w:t>符合招标文件中规定资格要求的及资格证明文件齐全；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jc w:val="center"/>
        </w:trPr>
        <w:tc>
          <w:tcPr>
            <w:tcW w:w="788" w:type="dxa"/>
            <w:tcBorders>
              <w:left w:val="single" w:color="auto" w:sz="12" w:space="0"/>
              <w:bottom w:val="single" w:color="auto" w:sz="12" w:space="0"/>
            </w:tcBorders>
            <w:vAlign w:val="center"/>
          </w:tcPr>
          <w:p>
            <w:pPr>
              <w:numPr>
                <w:ilvl w:val="0"/>
                <w:numId w:val="9"/>
              </w:numPr>
              <w:tabs>
                <w:tab w:val="left" w:pos="176"/>
                <w:tab w:val="left" w:pos="420"/>
                <w:tab w:val="left" w:pos="612"/>
              </w:tabs>
              <w:jc w:val="center"/>
              <w:rPr>
                <w:rFonts w:ascii="宋体" w:hAnsi="宋体" w:cs="宋体"/>
                <w:color w:val="auto"/>
              </w:rPr>
            </w:pPr>
          </w:p>
        </w:tc>
        <w:tc>
          <w:tcPr>
            <w:tcW w:w="8283" w:type="dxa"/>
            <w:tcBorders>
              <w:bottom w:val="single" w:color="auto" w:sz="12" w:space="0"/>
              <w:right w:val="single" w:color="auto" w:sz="12" w:space="0"/>
            </w:tcBorders>
            <w:vAlign w:val="center"/>
          </w:tcPr>
          <w:p>
            <w:pPr>
              <w:tabs>
                <w:tab w:val="left" w:pos="612"/>
              </w:tabs>
              <w:rPr>
                <w:rFonts w:ascii="宋体" w:hAnsi="宋体" w:cs="宋体"/>
                <w:color w:val="auto"/>
              </w:rPr>
            </w:pPr>
            <w:r>
              <w:rPr>
                <w:rFonts w:hint="eastAsia" w:ascii="宋体" w:hAnsi="宋体" w:cs="宋体"/>
                <w:color w:val="auto"/>
              </w:rPr>
              <w:t>投标人资格声明函已提交并符合招标文件要求的。</w:t>
            </w:r>
          </w:p>
        </w:tc>
      </w:tr>
    </w:tbl>
    <w:p>
      <w:pPr>
        <w:adjustRightInd w:val="0"/>
        <w:snapToGrid w:val="0"/>
        <w:spacing w:beforeLines="50" w:line="360" w:lineRule="auto"/>
        <w:jc w:val="center"/>
        <w:outlineLvl w:val="1"/>
        <w:rPr>
          <w:rFonts w:ascii="黑体" w:hAnsi="宋体" w:eastAsia="黑体" w:cs="宋体"/>
          <w:color w:val="auto"/>
          <w:sz w:val="28"/>
          <w:szCs w:val="28"/>
        </w:rPr>
      </w:pPr>
      <w:r>
        <w:rPr>
          <w:rFonts w:hint="eastAsia" w:ascii="黑体" w:hAnsi="宋体" w:eastAsia="黑体" w:cs="宋体"/>
          <w:color w:val="auto"/>
          <w:sz w:val="28"/>
          <w:szCs w:val="28"/>
        </w:rPr>
        <w:t>符合性审查表</w:t>
      </w:r>
    </w:p>
    <w:tbl>
      <w:tblPr>
        <w:tblStyle w:val="44"/>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8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atLeast"/>
          <w:tblHeader/>
          <w:jc w:val="center"/>
        </w:trPr>
        <w:tc>
          <w:tcPr>
            <w:tcW w:w="786" w:type="dxa"/>
            <w:tcBorders>
              <w:top w:val="single" w:color="auto" w:sz="12" w:space="0"/>
              <w:left w:val="single" w:color="auto" w:sz="12" w:space="0"/>
            </w:tcBorders>
            <w:vAlign w:val="center"/>
          </w:tcPr>
          <w:p>
            <w:pPr>
              <w:jc w:val="center"/>
              <w:rPr>
                <w:rFonts w:ascii="宋体" w:cs="宋体"/>
                <w:b/>
                <w:color w:val="auto"/>
              </w:rPr>
            </w:pPr>
            <w:r>
              <w:rPr>
                <w:rFonts w:hint="eastAsia" w:ascii="宋体" w:cs="宋体"/>
                <w:b/>
                <w:color w:val="auto"/>
              </w:rPr>
              <w:t>序号</w:t>
            </w:r>
          </w:p>
        </w:tc>
        <w:tc>
          <w:tcPr>
            <w:tcW w:w="8285" w:type="dxa"/>
            <w:tcBorders>
              <w:top w:val="single" w:color="auto" w:sz="12" w:space="0"/>
              <w:right w:val="single" w:color="auto" w:sz="12" w:space="0"/>
            </w:tcBorders>
            <w:vAlign w:val="center"/>
          </w:tcPr>
          <w:p>
            <w:pPr>
              <w:jc w:val="center"/>
              <w:rPr>
                <w:rFonts w:ascii="宋体" w:cs="宋体"/>
                <w:b/>
                <w:color w:val="auto"/>
              </w:rPr>
            </w:pPr>
            <w:r>
              <w:rPr>
                <w:rFonts w:hint="eastAsia" w:ascii="宋体" w:hAnsi="宋体" w:cs="宋体"/>
                <w:b/>
                <w:color w:val="auto"/>
              </w:rPr>
              <w:t>评 审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atLeast"/>
          <w:jc w:val="center"/>
        </w:trPr>
        <w:tc>
          <w:tcPr>
            <w:tcW w:w="786" w:type="dxa"/>
            <w:tcBorders>
              <w:left w:val="single" w:color="auto" w:sz="12" w:space="0"/>
            </w:tcBorders>
            <w:vAlign w:val="center"/>
          </w:tcPr>
          <w:p>
            <w:pPr>
              <w:numPr>
                <w:ilvl w:val="0"/>
                <w:numId w:val="10"/>
              </w:numPr>
              <w:tabs>
                <w:tab w:val="left" w:pos="176"/>
                <w:tab w:val="left" w:pos="420"/>
                <w:tab w:val="left" w:pos="612"/>
              </w:tabs>
              <w:jc w:val="center"/>
              <w:rPr>
                <w:rFonts w:ascii="宋体" w:hAnsi="宋体" w:cs="宋体"/>
                <w:color w:val="auto"/>
              </w:rPr>
            </w:pPr>
          </w:p>
        </w:tc>
        <w:tc>
          <w:tcPr>
            <w:tcW w:w="8285" w:type="dxa"/>
            <w:tcBorders>
              <w:right w:val="single" w:color="auto" w:sz="12" w:space="0"/>
            </w:tcBorders>
            <w:vAlign w:val="center"/>
          </w:tcPr>
          <w:p>
            <w:pPr>
              <w:tabs>
                <w:tab w:val="left" w:pos="612"/>
              </w:tabs>
              <w:rPr>
                <w:rFonts w:ascii="宋体" w:hAnsi="宋体" w:cs="宋体"/>
                <w:color w:val="auto"/>
              </w:rPr>
            </w:pPr>
            <w:r>
              <w:rPr>
                <w:rFonts w:hint="eastAsia" w:ascii="宋体" w:hAnsi="宋体" w:cs="宋体"/>
                <w:color w:val="auto"/>
              </w:rPr>
              <w:t>按照招标文件规定要求签署和盖章的；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atLeast"/>
          <w:jc w:val="center"/>
        </w:trPr>
        <w:tc>
          <w:tcPr>
            <w:tcW w:w="786" w:type="dxa"/>
            <w:tcBorders>
              <w:left w:val="single" w:color="auto" w:sz="12" w:space="0"/>
            </w:tcBorders>
            <w:vAlign w:val="center"/>
          </w:tcPr>
          <w:p>
            <w:pPr>
              <w:numPr>
                <w:ilvl w:val="0"/>
                <w:numId w:val="10"/>
              </w:numPr>
              <w:tabs>
                <w:tab w:val="left" w:pos="176"/>
                <w:tab w:val="left" w:pos="420"/>
                <w:tab w:val="left" w:pos="612"/>
              </w:tabs>
              <w:jc w:val="center"/>
              <w:rPr>
                <w:rFonts w:ascii="宋体" w:hAnsi="宋体" w:cs="宋体"/>
                <w:color w:val="auto"/>
              </w:rPr>
            </w:pPr>
          </w:p>
        </w:tc>
        <w:tc>
          <w:tcPr>
            <w:tcW w:w="8285" w:type="dxa"/>
            <w:tcBorders>
              <w:right w:val="single" w:color="auto" w:sz="12" w:space="0"/>
            </w:tcBorders>
            <w:vAlign w:val="center"/>
          </w:tcPr>
          <w:p>
            <w:pPr>
              <w:tabs>
                <w:tab w:val="left" w:pos="612"/>
              </w:tabs>
              <w:rPr>
                <w:rFonts w:ascii="宋体" w:hAnsi="宋体" w:cs="宋体"/>
                <w:color w:val="auto"/>
              </w:rPr>
            </w:pPr>
            <w:r>
              <w:rPr>
                <w:rFonts w:hint="eastAsia" w:ascii="宋体" w:hAnsi="宋体" w:cs="宋体"/>
                <w:color w:val="auto"/>
              </w:rPr>
              <w:t>按照招标文件规定投标文件有法定代表人</w:t>
            </w:r>
            <w:r>
              <w:rPr>
                <w:rFonts w:hint="eastAsia" w:ascii="宋体" w:hAnsi="宋体" w:cs="宋体"/>
                <w:color w:val="auto"/>
                <w:szCs w:val="21"/>
                <w:lang w:eastAsia="zh-TW"/>
              </w:rPr>
              <w:t>签署本人姓名（或印盖本人姓名章）</w:t>
            </w:r>
            <w:r>
              <w:rPr>
                <w:rFonts w:hint="eastAsia" w:ascii="宋体" w:hAnsi="宋体" w:cs="宋体"/>
                <w:color w:val="auto"/>
              </w:rPr>
              <w:t>，或</w:t>
            </w:r>
            <w:r>
              <w:rPr>
                <w:rFonts w:hint="eastAsia" w:ascii="宋体" w:hAnsi="宋体" w:cs="宋体"/>
                <w:color w:val="auto"/>
                <w:szCs w:val="21"/>
                <w:lang w:eastAsia="zh-TW"/>
              </w:rPr>
              <w:t>签署</w:t>
            </w:r>
            <w:r>
              <w:rPr>
                <w:rFonts w:hint="eastAsia" w:ascii="宋体" w:hAnsi="宋体" w:cs="宋体"/>
                <w:color w:val="auto"/>
              </w:rPr>
              <w:t>人有法定代表人有效授权书的；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atLeast"/>
          <w:jc w:val="center"/>
        </w:trPr>
        <w:tc>
          <w:tcPr>
            <w:tcW w:w="786" w:type="dxa"/>
            <w:tcBorders>
              <w:left w:val="single" w:color="auto" w:sz="12" w:space="0"/>
            </w:tcBorders>
            <w:vAlign w:val="center"/>
          </w:tcPr>
          <w:p>
            <w:pPr>
              <w:numPr>
                <w:ilvl w:val="0"/>
                <w:numId w:val="10"/>
              </w:numPr>
              <w:tabs>
                <w:tab w:val="left" w:pos="176"/>
                <w:tab w:val="left" w:pos="420"/>
                <w:tab w:val="left" w:pos="612"/>
              </w:tabs>
              <w:jc w:val="center"/>
              <w:rPr>
                <w:rFonts w:ascii="宋体" w:hAnsi="宋体" w:cs="宋体"/>
                <w:color w:val="auto"/>
              </w:rPr>
            </w:pPr>
          </w:p>
        </w:tc>
        <w:tc>
          <w:tcPr>
            <w:tcW w:w="8285" w:type="dxa"/>
            <w:tcBorders>
              <w:right w:val="single" w:color="auto" w:sz="12" w:space="0"/>
            </w:tcBorders>
            <w:vAlign w:val="center"/>
          </w:tcPr>
          <w:p>
            <w:pPr>
              <w:tabs>
                <w:tab w:val="left" w:pos="612"/>
              </w:tabs>
              <w:rPr>
                <w:rFonts w:ascii="宋体" w:hAnsi="宋体" w:cs="宋体"/>
                <w:color w:val="auto"/>
              </w:rPr>
            </w:pPr>
            <w:r>
              <w:rPr>
                <w:rFonts w:hint="eastAsia" w:ascii="宋体" w:hAnsi="宋体" w:cs="宋体"/>
                <w:color w:val="auto"/>
              </w:rPr>
              <w:t>投标函已提交并符合招标文件要求的，且投标有效期满足招标文件要求的；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atLeast"/>
          <w:jc w:val="center"/>
        </w:trPr>
        <w:tc>
          <w:tcPr>
            <w:tcW w:w="786" w:type="dxa"/>
            <w:tcBorders>
              <w:left w:val="single" w:color="auto" w:sz="12" w:space="0"/>
            </w:tcBorders>
            <w:vAlign w:val="center"/>
          </w:tcPr>
          <w:p>
            <w:pPr>
              <w:numPr>
                <w:ilvl w:val="0"/>
                <w:numId w:val="10"/>
              </w:numPr>
              <w:tabs>
                <w:tab w:val="left" w:pos="176"/>
                <w:tab w:val="left" w:pos="420"/>
                <w:tab w:val="left" w:pos="612"/>
              </w:tabs>
              <w:jc w:val="center"/>
              <w:rPr>
                <w:rFonts w:ascii="宋体" w:hAnsi="宋体" w:cs="宋体"/>
                <w:color w:val="auto"/>
              </w:rPr>
            </w:pPr>
          </w:p>
        </w:tc>
        <w:tc>
          <w:tcPr>
            <w:tcW w:w="8285" w:type="dxa"/>
            <w:tcBorders>
              <w:right w:val="single" w:color="auto" w:sz="12" w:space="0"/>
            </w:tcBorders>
            <w:vAlign w:val="center"/>
          </w:tcPr>
          <w:p>
            <w:pPr>
              <w:ind w:left="315" w:hanging="315" w:hangingChars="150"/>
              <w:rPr>
                <w:rFonts w:cs="宋体" w:asciiTheme="majorEastAsia" w:hAnsiTheme="majorEastAsia" w:eastAsiaTheme="majorEastAsia"/>
                <w:color w:val="auto"/>
              </w:rPr>
            </w:pPr>
            <w:r>
              <w:rPr>
                <w:rFonts w:hint="eastAsia" w:cs="宋体" w:asciiTheme="majorEastAsia" w:hAnsiTheme="majorEastAsia" w:eastAsiaTheme="majorEastAsia"/>
                <w:color w:val="auto"/>
              </w:rPr>
              <w:t>投标报价确定且未超过最高限价的；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atLeast"/>
          <w:jc w:val="center"/>
        </w:trPr>
        <w:tc>
          <w:tcPr>
            <w:tcW w:w="786" w:type="dxa"/>
            <w:tcBorders>
              <w:left w:val="single" w:color="auto" w:sz="12" w:space="0"/>
            </w:tcBorders>
            <w:vAlign w:val="center"/>
          </w:tcPr>
          <w:p>
            <w:pPr>
              <w:numPr>
                <w:ilvl w:val="0"/>
                <w:numId w:val="10"/>
              </w:numPr>
              <w:tabs>
                <w:tab w:val="left" w:pos="176"/>
                <w:tab w:val="left" w:pos="420"/>
                <w:tab w:val="left" w:pos="612"/>
              </w:tabs>
              <w:jc w:val="center"/>
              <w:rPr>
                <w:rFonts w:ascii="宋体" w:hAnsi="宋体" w:cs="宋体"/>
                <w:color w:val="auto"/>
              </w:rPr>
            </w:pPr>
          </w:p>
        </w:tc>
        <w:tc>
          <w:tcPr>
            <w:tcW w:w="8285" w:type="dxa"/>
            <w:tcBorders>
              <w:right w:val="single" w:color="auto" w:sz="12" w:space="0"/>
            </w:tcBorders>
            <w:vAlign w:val="center"/>
          </w:tcPr>
          <w:p>
            <w:pPr>
              <w:widowControl/>
              <w:spacing w:line="360" w:lineRule="auto"/>
              <w:jc w:val="left"/>
              <w:rPr>
                <w:rFonts w:ascii="宋体" w:hAnsi="宋体"/>
                <w:color w:val="auto"/>
                <w:szCs w:val="21"/>
              </w:rPr>
            </w:pPr>
            <w:r>
              <w:rPr>
                <w:rFonts w:hint="eastAsia" w:ascii="宋体" w:hAnsi="宋体"/>
                <w:color w:val="auto"/>
                <w:szCs w:val="21"/>
              </w:rPr>
              <w:t>投标文件没有采购人不能接受的附加条件的；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atLeast"/>
          <w:jc w:val="center"/>
        </w:trPr>
        <w:tc>
          <w:tcPr>
            <w:tcW w:w="786" w:type="dxa"/>
            <w:tcBorders>
              <w:left w:val="single" w:color="auto" w:sz="12" w:space="0"/>
            </w:tcBorders>
            <w:vAlign w:val="center"/>
          </w:tcPr>
          <w:p>
            <w:pPr>
              <w:numPr>
                <w:ilvl w:val="0"/>
                <w:numId w:val="10"/>
              </w:numPr>
              <w:tabs>
                <w:tab w:val="left" w:pos="176"/>
                <w:tab w:val="left" w:pos="420"/>
                <w:tab w:val="left" w:pos="612"/>
              </w:tabs>
              <w:jc w:val="center"/>
              <w:rPr>
                <w:rFonts w:ascii="宋体" w:hAnsi="宋体" w:cs="宋体"/>
                <w:color w:val="auto"/>
              </w:rPr>
            </w:pPr>
          </w:p>
        </w:tc>
        <w:tc>
          <w:tcPr>
            <w:tcW w:w="8285" w:type="dxa"/>
            <w:tcBorders>
              <w:right w:val="single" w:color="auto" w:sz="12" w:space="0"/>
            </w:tcBorders>
            <w:vAlign w:val="center"/>
          </w:tcPr>
          <w:p>
            <w:pPr>
              <w:widowControl/>
              <w:spacing w:line="360" w:lineRule="auto"/>
              <w:jc w:val="left"/>
              <w:rPr>
                <w:rFonts w:ascii="宋体" w:hAnsi="宋体"/>
                <w:color w:val="auto"/>
                <w:szCs w:val="21"/>
              </w:rPr>
            </w:pPr>
            <w:r>
              <w:rPr>
                <w:rFonts w:hint="eastAsia" w:ascii="宋体" w:hAnsi="宋体"/>
                <w:color w:val="auto"/>
                <w:szCs w:val="21"/>
              </w:rPr>
              <w:t>投标文件没有出现串通投标情形的；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atLeast"/>
          <w:jc w:val="center"/>
        </w:trPr>
        <w:tc>
          <w:tcPr>
            <w:tcW w:w="786" w:type="dxa"/>
            <w:tcBorders>
              <w:left w:val="single" w:color="auto" w:sz="12" w:space="0"/>
            </w:tcBorders>
            <w:vAlign w:val="center"/>
          </w:tcPr>
          <w:p>
            <w:pPr>
              <w:numPr>
                <w:ilvl w:val="0"/>
                <w:numId w:val="10"/>
              </w:numPr>
              <w:tabs>
                <w:tab w:val="left" w:pos="176"/>
                <w:tab w:val="left" w:pos="420"/>
                <w:tab w:val="left" w:pos="612"/>
              </w:tabs>
              <w:jc w:val="center"/>
              <w:rPr>
                <w:rFonts w:ascii="宋体" w:hAnsi="宋体" w:cs="宋体"/>
                <w:color w:val="auto"/>
              </w:rPr>
            </w:pPr>
          </w:p>
        </w:tc>
        <w:tc>
          <w:tcPr>
            <w:tcW w:w="8285" w:type="dxa"/>
            <w:tcBorders>
              <w:right w:val="single" w:color="auto" w:sz="12" w:space="0"/>
            </w:tcBorders>
            <w:vAlign w:val="center"/>
          </w:tcPr>
          <w:p>
            <w:pPr>
              <w:rPr>
                <w:rFonts w:ascii="宋体" w:hAnsi="宋体" w:cs="宋体"/>
                <w:color w:val="auto"/>
              </w:rPr>
            </w:pPr>
            <w:r>
              <w:rPr>
                <w:rFonts w:hint="eastAsia" w:ascii="宋体" w:hAnsi="宋体" w:cs="宋体"/>
                <w:color w:val="auto"/>
              </w:rPr>
              <w:t>投标文件没有招标文件中规定的其他无效投标条款的；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atLeast"/>
          <w:jc w:val="center"/>
        </w:trPr>
        <w:tc>
          <w:tcPr>
            <w:tcW w:w="786" w:type="dxa"/>
            <w:tcBorders>
              <w:left w:val="single" w:color="auto" w:sz="12" w:space="0"/>
              <w:bottom w:val="single" w:color="auto" w:sz="12" w:space="0"/>
            </w:tcBorders>
            <w:vAlign w:val="center"/>
          </w:tcPr>
          <w:p>
            <w:pPr>
              <w:numPr>
                <w:ilvl w:val="0"/>
                <w:numId w:val="10"/>
              </w:numPr>
              <w:tabs>
                <w:tab w:val="left" w:pos="176"/>
                <w:tab w:val="left" w:pos="420"/>
                <w:tab w:val="left" w:pos="612"/>
              </w:tabs>
              <w:jc w:val="center"/>
              <w:rPr>
                <w:rFonts w:ascii="宋体" w:hAnsi="宋体" w:cs="宋体"/>
                <w:color w:val="auto"/>
              </w:rPr>
            </w:pPr>
          </w:p>
        </w:tc>
        <w:tc>
          <w:tcPr>
            <w:tcW w:w="8285" w:type="dxa"/>
            <w:tcBorders>
              <w:bottom w:val="single" w:color="auto" w:sz="12" w:space="0"/>
              <w:right w:val="single" w:color="auto" w:sz="12" w:space="0"/>
            </w:tcBorders>
            <w:vAlign w:val="center"/>
          </w:tcPr>
          <w:p>
            <w:pPr>
              <w:rPr>
                <w:rFonts w:ascii="宋体" w:hAnsi="宋体" w:cs="宋体"/>
                <w:color w:val="auto"/>
              </w:rPr>
            </w:pPr>
            <w:r>
              <w:rPr>
                <w:rFonts w:hint="eastAsia" w:ascii="宋体" w:hAnsi="宋体"/>
                <w:color w:val="auto"/>
                <w:szCs w:val="21"/>
              </w:rPr>
              <w:t>没有法律、法规规定的其他无效情形。</w:t>
            </w:r>
          </w:p>
        </w:tc>
      </w:tr>
    </w:tbl>
    <w:p>
      <w:pPr>
        <w:adjustRightInd w:val="0"/>
        <w:snapToGrid w:val="0"/>
        <w:spacing w:line="360" w:lineRule="auto"/>
        <w:jc w:val="center"/>
        <w:outlineLvl w:val="1"/>
        <w:rPr>
          <w:rFonts w:ascii="黑体" w:hAnsi="宋体" w:eastAsia="黑体" w:cs="宋体"/>
          <w:color w:val="auto"/>
          <w:sz w:val="28"/>
          <w:szCs w:val="28"/>
        </w:rPr>
      </w:pPr>
      <w:r>
        <w:rPr>
          <w:rFonts w:ascii="黑体" w:hAnsi="宋体" w:eastAsia="黑体" w:cs="宋体"/>
          <w:color w:val="auto"/>
          <w:sz w:val="28"/>
          <w:szCs w:val="28"/>
        </w:rPr>
        <w:br w:type="page"/>
      </w:r>
      <w:r>
        <w:rPr>
          <w:rFonts w:hint="eastAsia" w:ascii="黑体" w:hAnsi="宋体" w:eastAsia="黑体" w:cs="宋体"/>
          <w:color w:val="auto"/>
          <w:sz w:val="28"/>
          <w:szCs w:val="28"/>
        </w:rPr>
        <w:t>综合</w:t>
      </w:r>
      <w:r>
        <w:rPr>
          <w:rFonts w:hint="eastAsia" w:ascii="黑体" w:hAnsi="宋体" w:eastAsia="黑体" w:cs="宋体"/>
          <w:color w:val="auto"/>
          <w:sz w:val="28"/>
          <w:szCs w:val="28"/>
        </w:rPr>
        <w:t>评分</w:t>
      </w:r>
      <w:r>
        <w:rPr>
          <w:rFonts w:hint="eastAsia" w:ascii="黑体" w:hAnsi="宋体" w:eastAsia="黑体" w:cs="宋体"/>
          <w:color w:val="auto"/>
          <w:sz w:val="28"/>
          <w:szCs w:val="28"/>
        </w:rPr>
        <w:t>表</w:t>
      </w:r>
    </w:p>
    <w:bookmarkEnd w:id="13"/>
    <w:tbl>
      <w:tblPr>
        <w:tblStyle w:val="44"/>
        <w:tblW w:w="985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47"/>
        <w:gridCol w:w="1606"/>
        <w:gridCol w:w="5996"/>
        <w:gridCol w:w="708"/>
        <w:gridCol w:w="79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7" w:hRule="atLeast"/>
        </w:trPr>
        <w:tc>
          <w:tcPr>
            <w:tcW w:w="747" w:type="dxa"/>
            <w:tcBorders>
              <w:top w:val="single" w:color="auto" w:sz="12" w:space="0"/>
              <w:left w:val="single" w:color="auto" w:sz="12" w:space="0"/>
            </w:tcBorders>
            <w:vAlign w:val="center"/>
          </w:tcPr>
          <w:p>
            <w:pPr>
              <w:adjustRightInd w:val="0"/>
              <w:snapToGrid w:val="0"/>
              <w:ind w:left="-78" w:leftChars="-37" w:right="-73" w:rightChars="-35"/>
              <w:jc w:val="center"/>
              <w:rPr>
                <w:rFonts w:ascii="宋体" w:hAnsi="宋体" w:cs="宋体"/>
                <w:b/>
                <w:color w:val="auto"/>
                <w:szCs w:val="21"/>
              </w:rPr>
            </w:pPr>
            <w:bookmarkStart w:id="15" w:name="_Toc435514849"/>
            <w:bookmarkStart w:id="16" w:name="_Toc435115054"/>
            <w:r>
              <w:rPr>
                <w:rFonts w:hint="eastAsia" w:ascii="宋体" w:hAnsi="宋体" w:cs="宋体"/>
                <w:b/>
                <w:color w:val="auto"/>
                <w:szCs w:val="21"/>
              </w:rPr>
              <w:t>序号</w:t>
            </w:r>
          </w:p>
        </w:tc>
        <w:tc>
          <w:tcPr>
            <w:tcW w:w="1606" w:type="dxa"/>
            <w:tcBorders>
              <w:top w:val="single" w:color="auto" w:sz="12" w:space="0"/>
            </w:tcBorders>
            <w:vAlign w:val="center"/>
          </w:tcPr>
          <w:p>
            <w:pPr>
              <w:adjustRightInd w:val="0"/>
              <w:snapToGrid w:val="0"/>
              <w:ind w:left="-78" w:leftChars="-37" w:right="-73" w:rightChars="-35"/>
              <w:jc w:val="center"/>
              <w:rPr>
                <w:rFonts w:ascii="宋体" w:hAnsi="宋体" w:cs="宋体"/>
                <w:b/>
                <w:color w:val="auto"/>
                <w:szCs w:val="21"/>
              </w:rPr>
            </w:pPr>
            <w:r>
              <w:rPr>
                <w:rFonts w:hint="eastAsia" w:ascii="宋体" w:hAnsi="宋体" w:cs="宋体"/>
                <w:b/>
                <w:color w:val="auto"/>
                <w:szCs w:val="21"/>
              </w:rPr>
              <w:t>评审因素</w:t>
            </w:r>
          </w:p>
        </w:tc>
        <w:tc>
          <w:tcPr>
            <w:tcW w:w="5996" w:type="dxa"/>
            <w:tcBorders>
              <w:top w:val="single" w:color="auto" w:sz="12" w:space="0"/>
            </w:tcBorders>
            <w:vAlign w:val="center"/>
          </w:tcPr>
          <w:p>
            <w:pPr>
              <w:adjustRightInd w:val="0"/>
              <w:snapToGrid w:val="0"/>
              <w:ind w:left="-78" w:leftChars="-37" w:right="-73" w:rightChars="-35"/>
              <w:jc w:val="center"/>
              <w:rPr>
                <w:rFonts w:ascii="宋体" w:hAnsi="宋体" w:cs="宋体"/>
                <w:b/>
                <w:color w:val="auto"/>
                <w:szCs w:val="21"/>
              </w:rPr>
            </w:pPr>
            <w:r>
              <w:rPr>
                <w:rFonts w:hint="eastAsia" w:ascii="宋体" w:hAnsi="宋体" w:cs="宋体"/>
                <w:b/>
                <w:color w:val="auto"/>
                <w:szCs w:val="21"/>
              </w:rPr>
              <w:t>评分细则</w:t>
            </w:r>
          </w:p>
        </w:tc>
        <w:tc>
          <w:tcPr>
            <w:tcW w:w="708" w:type="dxa"/>
            <w:tcBorders>
              <w:top w:val="single" w:color="auto" w:sz="12" w:space="0"/>
              <w:right w:val="single" w:color="auto" w:sz="4" w:space="0"/>
            </w:tcBorders>
            <w:vAlign w:val="center"/>
          </w:tcPr>
          <w:p>
            <w:pPr>
              <w:adjustRightInd w:val="0"/>
              <w:snapToGrid w:val="0"/>
              <w:ind w:left="-78" w:leftChars="-37" w:right="-73" w:rightChars="-35"/>
              <w:jc w:val="center"/>
              <w:rPr>
                <w:rFonts w:ascii="宋体" w:hAnsi="宋体" w:cs="宋体"/>
                <w:b/>
                <w:color w:val="auto"/>
                <w:szCs w:val="21"/>
              </w:rPr>
            </w:pPr>
            <w:r>
              <w:rPr>
                <w:rFonts w:hint="eastAsia" w:ascii="宋体" w:hAnsi="宋体" w:cs="宋体"/>
                <w:b/>
                <w:color w:val="auto"/>
                <w:szCs w:val="21"/>
              </w:rPr>
              <w:t>权重（%）</w:t>
            </w:r>
          </w:p>
        </w:tc>
        <w:tc>
          <w:tcPr>
            <w:tcW w:w="797" w:type="dxa"/>
            <w:tcBorders>
              <w:top w:val="single" w:color="auto" w:sz="12" w:space="0"/>
              <w:left w:val="single" w:color="auto" w:sz="4" w:space="0"/>
              <w:right w:val="single" w:color="auto" w:sz="12" w:space="0"/>
            </w:tcBorders>
            <w:vAlign w:val="center"/>
          </w:tcPr>
          <w:p>
            <w:pPr>
              <w:adjustRightInd w:val="0"/>
              <w:snapToGrid w:val="0"/>
              <w:ind w:left="-78" w:leftChars="-37" w:right="-73" w:rightChars="-35"/>
              <w:jc w:val="center"/>
              <w:rPr>
                <w:rFonts w:ascii="宋体" w:hAnsi="宋体" w:cs="宋体"/>
                <w:b/>
                <w:color w:val="auto"/>
                <w:szCs w:val="21"/>
              </w:rPr>
            </w:pPr>
            <w:r>
              <w:rPr>
                <w:rFonts w:hint="eastAsia" w:ascii="宋体" w:hAnsi="宋体" w:cs="宋体"/>
                <w:b/>
                <w:color w:val="auto"/>
                <w:szCs w:val="21"/>
              </w:rPr>
              <w:t>分值（分）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83" w:hRule="atLeast"/>
        </w:trPr>
        <w:tc>
          <w:tcPr>
            <w:tcW w:w="747" w:type="dxa"/>
            <w:tcBorders>
              <w:left w:val="single" w:color="auto" w:sz="12" w:space="0"/>
            </w:tcBorders>
            <w:vAlign w:val="center"/>
          </w:tcPr>
          <w:p>
            <w:pPr>
              <w:widowControl/>
              <w:adjustRightInd w:val="0"/>
              <w:snapToGrid w:val="0"/>
              <w:jc w:val="center"/>
              <w:rPr>
                <w:rFonts w:ascii="宋体" w:hAnsi="宋体" w:cs="宋体"/>
                <w:b/>
                <w:color w:val="auto"/>
                <w:szCs w:val="21"/>
              </w:rPr>
            </w:pPr>
            <w:r>
              <w:rPr>
                <w:rFonts w:hint="eastAsia" w:ascii="宋体" w:hAnsi="宋体" w:cs="宋体"/>
                <w:b/>
                <w:color w:val="auto"/>
                <w:szCs w:val="21"/>
              </w:rPr>
              <w:t>一</w:t>
            </w:r>
          </w:p>
        </w:tc>
        <w:tc>
          <w:tcPr>
            <w:tcW w:w="9107" w:type="dxa"/>
            <w:gridSpan w:val="4"/>
            <w:tcBorders>
              <w:right w:val="single" w:color="auto" w:sz="12" w:space="0"/>
            </w:tcBorders>
            <w:vAlign w:val="center"/>
          </w:tcPr>
          <w:p>
            <w:pPr>
              <w:widowControl/>
              <w:adjustRightInd w:val="0"/>
              <w:snapToGrid w:val="0"/>
              <w:jc w:val="center"/>
              <w:rPr>
                <w:rFonts w:ascii="宋体" w:hAnsi="宋体" w:cs="宋体"/>
                <w:b/>
                <w:color w:val="auto"/>
                <w:szCs w:val="21"/>
              </w:rPr>
            </w:pPr>
            <w:r>
              <w:rPr>
                <w:rFonts w:hint="eastAsia" w:ascii="宋体" w:hAnsi="宋体" w:cs="宋体"/>
                <w:b/>
                <w:color w:val="auto"/>
                <w:szCs w:val="21"/>
              </w:rPr>
              <w:t>技术部分(合计</w:t>
            </w:r>
            <w:r>
              <w:rPr>
                <w:rFonts w:hint="eastAsia" w:ascii="宋体" w:hAnsi="宋体" w:cs="宋体"/>
                <w:b/>
                <w:color w:val="auto"/>
                <w:szCs w:val="21"/>
              </w:rPr>
              <w:t>45</w:t>
            </w:r>
            <w:r>
              <w:rPr>
                <w:rFonts w:hint="eastAsia" w:ascii="宋体" w:hAnsi="宋体" w:cs="宋体"/>
                <w:b/>
                <w:color w:val="auto"/>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83" w:hRule="atLeast"/>
        </w:trPr>
        <w:tc>
          <w:tcPr>
            <w:tcW w:w="747" w:type="dxa"/>
            <w:tcBorders>
              <w:left w:val="single" w:color="auto" w:sz="12" w:space="0"/>
            </w:tcBorders>
            <w:vAlign w:val="center"/>
          </w:tcPr>
          <w:p>
            <w:pPr>
              <w:pStyle w:val="90"/>
              <w:numPr>
                <w:ilvl w:val="0"/>
                <w:numId w:val="11"/>
              </w:numPr>
              <w:adjustRightInd w:val="0"/>
              <w:snapToGrid w:val="0"/>
              <w:ind w:firstLineChars="0"/>
              <w:jc w:val="center"/>
              <w:rPr>
                <w:rFonts w:ascii="宋体" w:hAnsi="宋体"/>
                <w:color w:val="auto"/>
                <w:szCs w:val="21"/>
              </w:rPr>
            </w:pPr>
          </w:p>
        </w:tc>
        <w:tc>
          <w:tcPr>
            <w:tcW w:w="1606" w:type="dxa"/>
            <w:vAlign w:val="center"/>
          </w:tcPr>
          <w:p>
            <w:pPr>
              <w:adjustRightInd w:val="0"/>
              <w:snapToGrid w:val="0"/>
              <w:jc w:val="center"/>
              <w:rPr>
                <w:rFonts w:ascii="宋体" w:hAnsi="宋体" w:cs="宋体"/>
                <w:color w:val="auto"/>
                <w:szCs w:val="21"/>
              </w:rPr>
            </w:pPr>
            <w:r>
              <w:rPr>
                <w:rFonts w:hint="eastAsia" w:ascii="宋体" w:hAnsi="宋体"/>
                <w:bCs/>
                <w:color w:val="auto"/>
                <w:szCs w:val="21"/>
              </w:rPr>
              <w:t>用户需求书响应程度</w:t>
            </w:r>
          </w:p>
        </w:tc>
        <w:tc>
          <w:tcPr>
            <w:tcW w:w="5996" w:type="dxa"/>
            <w:vAlign w:val="center"/>
          </w:tcPr>
          <w:p>
            <w:pPr>
              <w:pStyle w:val="121"/>
              <w:adjustRightInd w:val="0"/>
              <w:snapToGrid w:val="0"/>
              <w:spacing w:before="0" w:beforeAutospacing="0" w:after="0" w:afterAutospacing="0"/>
              <w:rPr>
                <w:color w:val="auto"/>
                <w:sz w:val="21"/>
                <w:szCs w:val="21"/>
              </w:rPr>
            </w:pPr>
            <w:r>
              <w:rPr>
                <w:rFonts w:hint="eastAsia"/>
                <w:color w:val="auto"/>
                <w:sz w:val="21"/>
                <w:szCs w:val="21"/>
              </w:rPr>
              <w:t>完全响应且优于《用户需求书》要求，得</w:t>
            </w:r>
            <w:r>
              <w:rPr>
                <w:color w:val="auto"/>
                <w:sz w:val="21"/>
                <w:szCs w:val="21"/>
              </w:rPr>
              <w:t>5</w:t>
            </w:r>
            <w:r>
              <w:rPr>
                <w:rFonts w:hint="eastAsia"/>
                <w:color w:val="auto"/>
                <w:sz w:val="21"/>
                <w:szCs w:val="21"/>
              </w:rPr>
              <w:t>分；</w:t>
            </w:r>
          </w:p>
          <w:p>
            <w:pPr>
              <w:adjustRightInd w:val="0"/>
              <w:snapToGrid w:val="0"/>
              <w:rPr>
                <w:rFonts w:ascii="宋体" w:hAnsi="宋体" w:cs="Arial Unicode MS"/>
                <w:color w:val="auto"/>
                <w:szCs w:val="21"/>
              </w:rPr>
            </w:pPr>
            <w:r>
              <w:rPr>
                <w:rFonts w:hint="eastAsia" w:ascii="宋体" w:hAnsi="宋体"/>
                <w:color w:val="auto"/>
                <w:szCs w:val="21"/>
              </w:rPr>
              <w:t>完全响应《用户需求书》要求，得</w:t>
            </w:r>
            <w:r>
              <w:rPr>
                <w:rFonts w:ascii="宋体" w:hAnsi="宋体"/>
                <w:color w:val="auto"/>
                <w:szCs w:val="21"/>
              </w:rPr>
              <w:t>3</w:t>
            </w:r>
            <w:r>
              <w:rPr>
                <w:rFonts w:hint="eastAsia" w:ascii="宋体" w:hAnsi="宋体"/>
                <w:color w:val="auto"/>
                <w:szCs w:val="21"/>
              </w:rPr>
              <w:t>分</w:t>
            </w:r>
            <w:r>
              <w:rPr>
                <w:rFonts w:hint="eastAsia" w:ascii="宋体" w:hAnsi="宋体" w:cs="Arial Unicode MS"/>
                <w:color w:val="auto"/>
                <w:szCs w:val="21"/>
              </w:rPr>
              <w:t>；</w:t>
            </w:r>
          </w:p>
          <w:p>
            <w:pPr>
              <w:adjustRightInd w:val="0"/>
              <w:snapToGrid w:val="0"/>
              <w:rPr>
                <w:rFonts w:ascii="宋体" w:hAnsi="宋体" w:cs="Arial Unicode MS"/>
                <w:color w:val="auto"/>
                <w:szCs w:val="21"/>
              </w:rPr>
            </w:pPr>
            <w:r>
              <w:rPr>
                <w:rFonts w:hint="eastAsia" w:ascii="宋体" w:hAnsi="宋体" w:cs="Arial Unicode MS"/>
                <w:color w:val="auto"/>
                <w:szCs w:val="21"/>
              </w:rPr>
              <w:t>部分响应</w:t>
            </w:r>
            <w:r>
              <w:rPr>
                <w:rFonts w:hint="eastAsia" w:ascii="宋体" w:hAnsi="宋体"/>
                <w:color w:val="auto"/>
                <w:szCs w:val="21"/>
              </w:rPr>
              <w:t>《用户需求书》要求，得</w:t>
            </w:r>
            <w:r>
              <w:rPr>
                <w:rFonts w:ascii="宋体" w:hAnsi="宋体"/>
                <w:color w:val="auto"/>
                <w:szCs w:val="21"/>
              </w:rPr>
              <w:t>1</w:t>
            </w:r>
            <w:r>
              <w:rPr>
                <w:rFonts w:hint="eastAsia" w:ascii="宋体" w:hAnsi="宋体"/>
                <w:color w:val="auto"/>
                <w:szCs w:val="21"/>
              </w:rPr>
              <w:t>分；</w:t>
            </w:r>
          </w:p>
          <w:p>
            <w:pPr>
              <w:pStyle w:val="121"/>
              <w:adjustRightInd w:val="0"/>
              <w:snapToGrid w:val="0"/>
              <w:spacing w:before="0" w:beforeAutospacing="0" w:after="0" w:afterAutospacing="0"/>
              <w:rPr>
                <w:color w:val="auto"/>
                <w:sz w:val="21"/>
                <w:szCs w:val="21"/>
              </w:rPr>
            </w:pPr>
            <w:r>
              <w:rPr>
                <w:rFonts w:hint="eastAsia"/>
                <w:color w:val="auto"/>
                <w:sz w:val="21"/>
                <w:szCs w:val="21"/>
              </w:rPr>
              <w:t>完全不响应《用户需求书》要求，得0分</w:t>
            </w:r>
            <w:r>
              <w:rPr>
                <w:rFonts w:hint="eastAsia" w:cs="Arial Unicode MS"/>
                <w:color w:val="auto"/>
                <w:sz w:val="21"/>
                <w:szCs w:val="21"/>
              </w:rPr>
              <w:t>。</w:t>
            </w:r>
          </w:p>
        </w:tc>
        <w:tc>
          <w:tcPr>
            <w:tcW w:w="708" w:type="dxa"/>
            <w:tcBorders>
              <w:right w:val="single" w:color="auto" w:sz="4" w:space="0"/>
            </w:tcBorders>
            <w:vAlign w:val="center"/>
          </w:tcPr>
          <w:p>
            <w:pPr>
              <w:adjustRightInd w:val="0"/>
              <w:snapToGrid w:val="0"/>
              <w:jc w:val="center"/>
              <w:rPr>
                <w:rFonts w:ascii="宋体" w:hAnsi="宋体" w:cs="宋体"/>
                <w:color w:val="auto"/>
                <w:szCs w:val="21"/>
              </w:rPr>
            </w:pPr>
            <w:r>
              <w:rPr>
                <w:rFonts w:ascii="宋体" w:hAnsi="宋体" w:cs="宋体"/>
                <w:color w:val="auto"/>
                <w:szCs w:val="21"/>
              </w:rPr>
              <w:t>5</w:t>
            </w:r>
            <w:r>
              <w:rPr>
                <w:rFonts w:hint="eastAsia" w:ascii="宋体" w:hAnsi="宋体" w:cs="宋体"/>
                <w:color w:val="auto"/>
                <w:szCs w:val="21"/>
              </w:rPr>
              <w:t>%</w:t>
            </w:r>
          </w:p>
        </w:tc>
        <w:tc>
          <w:tcPr>
            <w:tcW w:w="797" w:type="dxa"/>
            <w:tcBorders>
              <w:left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5</w:t>
            </w:r>
            <w:r>
              <w:rPr>
                <w:rFonts w:hint="eastAsia" w:ascii="宋体" w:hAnsi="宋体" w:cs="宋体"/>
                <w:color w:val="auto"/>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83" w:hRule="atLeast"/>
        </w:trPr>
        <w:tc>
          <w:tcPr>
            <w:tcW w:w="747" w:type="dxa"/>
            <w:tcBorders>
              <w:left w:val="single" w:color="auto" w:sz="12" w:space="0"/>
            </w:tcBorders>
            <w:vAlign w:val="center"/>
          </w:tcPr>
          <w:p>
            <w:pPr>
              <w:pStyle w:val="90"/>
              <w:numPr>
                <w:ilvl w:val="0"/>
                <w:numId w:val="11"/>
              </w:numPr>
              <w:adjustRightInd w:val="0"/>
              <w:snapToGrid w:val="0"/>
              <w:ind w:firstLineChars="0"/>
              <w:jc w:val="center"/>
              <w:rPr>
                <w:rFonts w:ascii="宋体" w:hAnsi="宋体"/>
                <w:color w:val="auto"/>
                <w:szCs w:val="21"/>
              </w:rPr>
            </w:pPr>
          </w:p>
        </w:tc>
        <w:tc>
          <w:tcPr>
            <w:tcW w:w="1606" w:type="dxa"/>
            <w:vMerge w:val="restart"/>
            <w:vAlign w:val="center"/>
          </w:tcPr>
          <w:p>
            <w:pPr>
              <w:adjustRightInd w:val="0"/>
              <w:snapToGrid w:val="0"/>
              <w:jc w:val="center"/>
              <w:rPr>
                <w:rFonts w:ascii="宋体" w:hAnsi="宋体"/>
                <w:bCs/>
                <w:color w:val="auto"/>
                <w:szCs w:val="21"/>
              </w:rPr>
            </w:pPr>
            <w:r>
              <w:rPr>
                <w:rFonts w:hint="eastAsia" w:ascii="宋体" w:hAnsi="宋体" w:cs="宋体"/>
                <w:color w:val="auto"/>
                <w:szCs w:val="21"/>
              </w:rPr>
              <w:t>运营维护方案</w:t>
            </w:r>
          </w:p>
        </w:tc>
        <w:tc>
          <w:tcPr>
            <w:tcW w:w="5996" w:type="dxa"/>
            <w:vAlign w:val="center"/>
          </w:tcPr>
          <w:p>
            <w:pPr>
              <w:pStyle w:val="121"/>
              <w:adjustRightInd w:val="0"/>
              <w:snapToGrid w:val="0"/>
              <w:spacing w:before="0" w:beforeAutospacing="0" w:after="0" w:afterAutospacing="0"/>
              <w:rPr>
                <w:color w:val="auto"/>
                <w:sz w:val="21"/>
                <w:szCs w:val="21"/>
              </w:rPr>
            </w:pPr>
            <w:r>
              <w:rPr>
                <w:rFonts w:hint="eastAsia"/>
                <w:color w:val="auto"/>
                <w:sz w:val="21"/>
                <w:szCs w:val="21"/>
              </w:rPr>
              <w:t>管理运行维护方案完全满足日常运行养护，管理运行工作制度合理性，可靠性，满足24小时值班需要；防洪渡汛、突发事件处理预案完善，各项指标投标人横向同比：完全满足得</w:t>
            </w:r>
            <w:r>
              <w:rPr>
                <w:color w:val="auto"/>
                <w:sz w:val="21"/>
                <w:szCs w:val="21"/>
              </w:rPr>
              <w:t>5</w:t>
            </w:r>
            <w:r>
              <w:rPr>
                <w:rFonts w:hint="eastAsia"/>
                <w:color w:val="auto"/>
                <w:sz w:val="21"/>
                <w:szCs w:val="21"/>
              </w:rPr>
              <w:t>分，相对满足得</w:t>
            </w:r>
            <w:r>
              <w:rPr>
                <w:color w:val="auto"/>
                <w:sz w:val="21"/>
                <w:szCs w:val="21"/>
              </w:rPr>
              <w:t>3</w:t>
            </w:r>
            <w:r>
              <w:rPr>
                <w:rFonts w:hint="eastAsia"/>
                <w:color w:val="auto"/>
                <w:sz w:val="21"/>
                <w:szCs w:val="21"/>
              </w:rPr>
              <w:t>分，基本满足得1分，未提供不得分。</w:t>
            </w:r>
          </w:p>
        </w:tc>
        <w:tc>
          <w:tcPr>
            <w:tcW w:w="708" w:type="dxa"/>
            <w:tcBorders>
              <w:right w:val="single" w:color="auto" w:sz="4" w:space="0"/>
            </w:tcBorders>
            <w:vAlign w:val="center"/>
          </w:tcPr>
          <w:p>
            <w:pPr>
              <w:adjustRightInd w:val="0"/>
              <w:snapToGrid w:val="0"/>
              <w:jc w:val="center"/>
              <w:rPr>
                <w:rFonts w:ascii="宋体" w:hAnsi="宋体" w:cs="宋体"/>
                <w:color w:val="auto"/>
                <w:szCs w:val="21"/>
              </w:rPr>
            </w:pPr>
            <w:r>
              <w:rPr>
                <w:rFonts w:ascii="宋体" w:hAnsi="宋体" w:cs="宋体"/>
                <w:color w:val="auto"/>
                <w:szCs w:val="21"/>
              </w:rPr>
              <w:t>5</w:t>
            </w:r>
            <w:r>
              <w:rPr>
                <w:rFonts w:hint="eastAsia" w:ascii="宋体" w:hAnsi="宋体" w:cs="宋体"/>
                <w:color w:val="auto"/>
                <w:szCs w:val="21"/>
              </w:rPr>
              <w:t>%</w:t>
            </w:r>
          </w:p>
        </w:tc>
        <w:tc>
          <w:tcPr>
            <w:tcW w:w="797" w:type="dxa"/>
            <w:tcBorders>
              <w:left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5</w:t>
            </w:r>
            <w:r>
              <w:rPr>
                <w:rFonts w:hint="eastAsia" w:ascii="宋体" w:hAnsi="宋体" w:cs="宋体"/>
                <w:color w:val="auto"/>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83" w:hRule="atLeast"/>
        </w:trPr>
        <w:tc>
          <w:tcPr>
            <w:tcW w:w="747" w:type="dxa"/>
            <w:tcBorders>
              <w:left w:val="single" w:color="auto" w:sz="12" w:space="0"/>
            </w:tcBorders>
            <w:vAlign w:val="center"/>
          </w:tcPr>
          <w:p>
            <w:pPr>
              <w:pStyle w:val="90"/>
              <w:numPr>
                <w:ilvl w:val="0"/>
                <w:numId w:val="11"/>
              </w:numPr>
              <w:adjustRightInd w:val="0"/>
              <w:snapToGrid w:val="0"/>
              <w:ind w:firstLineChars="0"/>
              <w:jc w:val="center"/>
              <w:rPr>
                <w:rFonts w:ascii="宋体" w:hAnsi="宋体"/>
                <w:color w:val="auto"/>
                <w:szCs w:val="21"/>
              </w:rPr>
            </w:pPr>
          </w:p>
        </w:tc>
        <w:tc>
          <w:tcPr>
            <w:tcW w:w="1606" w:type="dxa"/>
            <w:vMerge w:val="continue"/>
            <w:vAlign w:val="center"/>
          </w:tcPr>
          <w:p>
            <w:pPr>
              <w:adjustRightInd w:val="0"/>
              <w:snapToGrid w:val="0"/>
              <w:jc w:val="center"/>
              <w:rPr>
                <w:rFonts w:ascii="宋体" w:hAnsi="宋体"/>
                <w:bCs/>
                <w:color w:val="auto"/>
                <w:szCs w:val="21"/>
              </w:rPr>
            </w:pPr>
          </w:p>
        </w:tc>
        <w:tc>
          <w:tcPr>
            <w:tcW w:w="5996" w:type="dxa"/>
            <w:vAlign w:val="center"/>
          </w:tcPr>
          <w:p>
            <w:pPr>
              <w:pStyle w:val="121"/>
              <w:adjustRightInd w:val="0"/>
              <w:snapToGrid w:val="0"/>
              <w:spacing w:before="0" w:beforeAutospacing="0" w:after="0" w:afterAutospacing="0"/>
              <w:rPr>
                <w:color w:val="auto"/>
                <w:sz w:val="21"/>
                <w:szCs w:val="21"/>
              </w:rPr>
            </w:pPr>
            <w:r>
              <w:rPr>
                <w:rFonts w:hint="eastAsia"/>
                <w:color w:val="auto"/>
                <w:sz w:val="21"/>
                <w:szCs w:val="21"/>
              </w:rPr>
              <w:t>投标人应对临时性任务、防洪度汛、突发事件处理预案完善（含检查、突击整治、重大活动等）：</w:t>
            </w:r>
          </w:p>
          <w:p>
            <w:pPr>
              <w:pStyle w:val="121"/>
              <w:adjustRightInd w:val="0"/>
              <w:snapToGrid w:val="0"/>
              <w:spacing w:before="0" w:beforeAutospacing="0" w:after="0" w:afterAutospacing="0"/>
              <w:rPr>
                <w:color w:val="auto"/>
                <w:sz w:val="21"/>
                <w:szCs w:val="21"/>
              </w:rPr>
            </w:pPr>
            <w:r>
              <w:rPr>
                <w:rFonts w:hint="eastAsia"/>
                <w:color w:val="auto"/>
                <w:sz w:val="21"/>
                <w:szCs w:val="21"/>
              </w:rPr>
              <w:t>应急设备和应急处理措施详细完整，切实可行得</w:t>
            </w:r>
            <w:r>
              <w:rPr>
                <w:color w:val="auto"/>
                <w:sz w:val="21"/>
                <w:szCs w:val="21"/>
              </w:rPr>
              <w:t>10</w:t>
            </w:r>
            <w:r>
              <w:rPr>
                <w:rFonts w:hint="eastAsia"/>
                <w:color w:val="auto"/>
                <w:sz w:val="21"/>
                <w:szCs w:val="21"/>
              </w:rPr>
              <w:t>分；</w:t>
            </w:r>
          </w:p>
          <w:p>
            <w:pPr>
              <w:pStyle w:val="121"/>
              <w:adjustRightInd w:val="0"/>
              <w:snapToGrid w:val="0"/>
              <w:spacing w:before="0" w:beforeAutospacing="0" w:after="0" w:afterAutospacing="0"/>
              <w:rPr>
                <w:color w:val="auto"/>
                <w:sz w:val="21"/>
                <w:szCs w:val="21"/>
              </w:rPr>
            </w:pPr>
            <w:r>
              <w:rPr>
                <w:rFonts w:hint="eastAsia"/>
                <w:color w:val="auto"/>
                <w:sz w:val="21"/>
                <w:szCs w:val="21"/>
              </w:rPr>
              <w:t>应急设备和应急处理措施较详细，相对可行得</w:t>
            </w:r>
            <w:r>
              <w:rPr>
                <w:color w:val="auto"/>
                <w:sz w:val="21"/>
                <w:szCs w:val="21"/>
              </w:rPr>
              <w:t>6</w:t>
            </w:r>
            <w:r>
              <w:rPr>
                <w:rFonts w:hint="eastAsia"/>
                <w:color w:val="auto"/>
                <w:sz w:val="21"/>
                <w:szCs w:val="21"/>
              </w:rPr>
              <w:t>分；</w:t>
            </w:r>
          </w:p>
          <w:p>
            <w:pPr>
              <w:pStyle w:val="121"/>
              <w:adjustRightInd w:val="0"/>
              <w:snapToGrid w:val="0"/>
              <w:spacing w:before="0" w:beforeAutospacing="0" w:after="0" w:afterAutospacing="0"/>
              <w:rPr>
                <w:color w:val="auto"/>
                <w:sz w:val="21"/>
                <w:szCs w:val="21"/>
              </w:rPr>
            </w:pPr>
            <w:r>
              <w:rPr>
                <w:rFonts w:hint="eastAsia"/>
                <w:color w:val="auto"/>
                <w:sz w:val="21"/>
                <w:szCs w:val="21"/>
              </w:rPr>
              <w:t>应急设备和应急处理措施简单，得</w:t>
            </w:r>
            <w:r>
              <w:rPr>
                <w:color w:val="auto"/>
                <w:sz w:val="21"/>
                <w:szCs w:val="21"/>
              </w:rPr>
              <w:t>2</w:t>
            </w:r>
            <w:r>
              <w:rPr>
                <w:rFonts w:hint="eastAsia"/>
                <w:color w:val="auto"/>
                <w:sz w:val="21"/>
                <w:szCs w:val="21"/>
              </w:rPr>
              <w:t>分；</w:t>
            </w:r>
          </w:p>
          <w:p>
            <w:pPr>
              <w:pStyle w:val="121"/>
              <w:adjustRightInd w:val="0"/>
              <w:snapToGrid w:val="0"/>
              <w:spacing w:before="0" w:beforeAutospacing="0" w:after="0" w:afterAutospacing="0"/>
              <w:rPr>
                <w:color w:val="auto"/>
                <w:sz w:val="21"/>
                <w:szCs w:val="21"/>
              </w:rPr>
            </w:pPr>
            <w:r>
              <w:rPr>
                <w:rFonts w:hint="eastAsia"/>
                <w:color w:val="auto"/>
                <w:sz w:val="21"/>
                <w:szCs w:val="21"/>
              </w:rPr>
              <w:t>应急设备和应急处理措施</w:t>
            </w:r>
            <w:r>
              <w:rPr>
                <w:rFonts w:hint="eastAsia" w:cs="Arial"/>
                <w:color w:val="auto"/>
                <w:sz w:val="21"/>
                <w:szCs w:val="21"/>
              </w:rPr>
              <w:t>较差，不适用本项目得0分。</w:t>
            </w:r>
          </w:p>
        </w:tc>
        <w:tc>
          <w:tcPr>
            <w:tcW w:w="708" w:type="dxa"/>
            <w:tcBorders>
              <w:right w:val="single" w:color="auto" w:sz="4" w:space="0"/>
            </w:tcBorders>
            <w:vAlign w:val="center"/>
          </w:tcPr>
          <w:p>
            <w:pPr>
              <w:adjustRightInd w:val="0"/>
              <w:snapToGrid w:val="0"/>
              <w:jc w:val="center"/>
              <w:rPr>
                <w:rFonts w:ascii="宋体" w:hAnsi="宋体" w:cs="宋体"/>
                <w:color w:val="auto"/>
                <w:szCs w:val="21"/>
              </w:rPr>
            </w:pPr>
            <w:r>
              <w:rPr>
                <w:rFonts w:ascii="宋体" w:hAnsi="宋体" w:cs="宋体"/>
                <w:color w:val="auto"/>
                <w:szCs w:val="21"/>
              </w:rPr>
              <w:t>10</w:t>
            </w:r>
            <w:r>
              <w:rPr>
                <w:rFonts w:hint="eastAsia" w:ascii="宋体" w:hAnsi="宋体" w:cs="宋体"/>
                <w:color w:val="auto"/>
                <w:szCs w:val="21"/>
              </w:rPr>
              <w:t>%</w:t>
            </w:r>
          </w:p>
        </w:tc>
        <w:tc>
          <w:tcPr>
            <w:tcW w:w="797" w:type="dxa"/>
            <w:tcBorders>
              <w:left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1</w:t>
            </w:r>
            <w:r>
              <w:rPr>
                <w:rFonts w:ascii="宋体" w:hAnsi="宋体"/>
                <w:color w:val="auto"/>
                <w:szCs w:val="21"/>
              </w:rPr>
              <w:t>0</w:t>
            </w:r>
            <w:r>
              <w:rPr>
                <w:rFonts w:hint="eastAsia" w:ascii="宋体" w:hAnsi="宋体" w:cs="宋体"/>
                <w:color w:val="auto"/>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83" w:hRule="atLeast"/>
        </w:trPr>
        <w:tc>
          <w:tcPr>
            <w:tcW w:w="747" w:type="dxa"/>
            <w:tcBorders>
              <w:left w:val="single" w:color="auto" w:sz="12" w:space="0"/>
            </w:tcBorders>
            <w:vAlign w:val="center"/>
          </w:tcPr>
          <w:p>
            <w:pPr>
              <w:pStyle w:val="90"/>
              <w:numPr>
                <w:ilvl w:val="0"/>
                <w:numId w:val="11"/>
              </w:numPr>
              <w:adjustRightInd w:val="0"/>
              <w:snapToGrid w:val="0"/>
              <w:ind w:firstLineChars="0"/>
              <w:jc w:val="center"/>
              <w:rPr>
                <w:rFonts w:ascii="宋体" w:hAnsi="宋体"/>
                <w:color w:val="auto"/>
                <w:szCs w:val="21"/>
              </w:rPr>
            </w:pPr>
          </w:p>
        </w:tc>
        <w:tc>
          <w:tcPr>
            <w:tcW w:w="1606" w:type="dxa"/>
            <w:vAlign w:val="center"/>
          </w:tcPr>
          <w:p>
            <w:pPr>
              <w:adjustRightInd w:val="0"/>
              <w:snapToGrid w:val="0"/>
              <w:jc w:val="center"/>
              <w:rPr>
                <w:rFonts w:ascii="宋体" w:hAnsi="宋体"/>
                <w:bCs/>
                <w:color w:val="auto"/>
                <w:szCs w:val="21"/>
              </w:rPr>
            </w:pPr>
            <w:r>
              <w:rPr>
                <w:rFonts w:hint="eastAsia" w:ascii="宋体" w:hAnsi="宋体" w:cs="宋体"/>
                <w:color w:val="auto"/>
                <w:szCs w:val="21"/>
              </w:rPr>
              <w:t>拟投入设备设施情况</w:t>
            </w:r>
          </w:p>
        </w:tc>
        <w:tc>
          <w:tcPr>
            <w:tcW w:w="5996" w:type="dxa"/>
            <w:vAlign w:val="center"/>
          </w:tcPr>
          <w:p>
            <w:pPr>
              <w:autoSpaceDE w:val="0"/>
              <w:autoSpaceDN w:val="0"/>
              <w:adjustRightInd w:val="0"/>
              <w:snapToGrid w:val="0"/>
              <w:rPr>
                <w:rFonts w:ascii="宋体" w:hAnsi="宋体" w:cs="宋体"/>
                <w:color w:val="auto"/>
                <w:szCs w:val="21"/>
              </w:rPr>
            </w:pPr>
            <w:r>
              <w:rPr>
                <w:rFonts w:hint="eastAsia" w:ascii="宋体" w:hAnsi="宋体" w:cs="宋体"/>
                <w:color w:val="auto"/>
                <w:kern w:val="0"/>
                <w:szCs w:val="21"/>
              </w:rPr>
              <w:t>提供具有日常维护任务的维修养护设备、检测设备：</w:t>
            </w:r>
          </w:p>
          <w:p>
            <w:pPr>
              <w:autoSpaceDE w:val="0"/>
              <w:autoSpaceDN w:val="0"/>
              <w:adjustRightInd w:val="0"/>
              <w:snapToGrid w:val="0"/>
              <w:rPr>
                <w:rFonts w:ascii="宋体" w:hAnsi="宋体" w:cs="宋体"/>
                <w:color w:val="auto"/>
                <w:szCs w:val="21"/>
              </w:rPr>
            </w:pPr>
            <w:r>
              <w:rPr>
                <w:rFonts w:hint="eastAsia" w:ascii="宋体" w:hAnsi="宋体" w:cs="宋体"/>
                <w:color w:val="auto"/>
                <w:kern w:val="0"/>
                <w:szCs w:val="21"/>
              </w:rPr>
              <w:t>1、自有</w:t>
            </w:r>
            <w:r>
              <w:rPr>
                <w:rFonts w:hint="eastAsia" w:ascii="宋体" w:hAnsi="宋体" w:cs="宋体"/>
                <w:color w:val="auto"/>
                <w:kern w:val="0"/>
                <w:szCs w:val="21"/>
              </w:rPr>
              <w:t>或租赁有</w:t>
            </w:r>
            <w:r>
              <w:rPr>
                <w:rFonts w:hint="eastAsia" w:ascii="宋体" w:hAnsi="宋体" w:cs="宋体"/>
                <w:color w:val="auto"/>
                <w:kern w:val="0"/>
                <w:szCs w:val="21"/>
              </w:rPr>
              <w:t>不少于8寸的潜水泵4台，全部满足得</w:t>
            </w:r>
            <w:r>
              <w:rPr>
                <w:rFonts w:hint="eastAsia" w:ascii="宋体" w:hAnsi="宋体" w:cs="宋体"/>
                <w:color w:val="auto"/>
                <w:kern w:val="0"/>
                <w:szCs w:val="21"/>
              </w:rPr>
              <w:t>2</w:t>
            </w:r>
            <w:r>
              <w:rPr>
                <w:rFonts w:hint="eastAsia" w:ascii="宋体" w:hAnsi="宋体" w:cs="宋体"/>
                <w:color w:val="auto"/>
                <w:kern w:val="0"/>
                <w:szCs w:val="21"/>
              </w:rPr>
              <w:t>分；</w:t>
            </w:r>
          </w:p>
          <w:p>
            <w:pPr>
              <w:autoSpaceDE w:val="0"/>
              <w:autoSpaceDN w:val="0"/>
              <w:adjustRightInd w:val="0"/>
              <w:snapToGrid w:val="0"/>
              <w:rPr>
                <w:rFonts w:ascii="宋体" w:hAnsi="宋体" w:cs="宋体"/>
                <w:color w:val="auto"/>
                <w:szCs w:val="21"/>
              </w:rPr>
            </w:pPr>
            <w:r>
              <w:rPr>
                <w:rFonts w:hint="eastAsia" w:ascii="宋体" w:hAnsi="宋体" w:cs="宋体"/>
                <w:color w:val="auto"/>
                <w:kern w:val="0"/>
                <w:szCs w:val="21"/>
              </w:rPr>
              <w:t>2、自有</w:t>
            </w:r>
            <w:r>
              <w:rPr>
                <w:rFonts w:hint="eastAsia" w:ascii="宋体" w:hAnsi="宋体" w:cs="宋体"/>
                <w:color w:val="auto"/>
                <w:kern w:val="0"/>
                <w:szCs w:val="21"/>
              </w:rPr>
              <w:t>或租赁有</w:t>
            </w:r>
            <w:r>
              <w:rPr>
                <w:rFonts w:hint="eastAsia" w:ascii="宋体" w:hAnsi="宋体" w:cs="宋体"/>
                <w:color w:val="auto"/>
                <w:kern w:val="0"/>
                <w:szCs w:val="21"/>
              </w:rPr>
              <w:t>不少于50KW的发电机1台，巡查工作车1辆，抢修专用车1辆，维修小艇1艘，全部满足得</w:t>
            </w:r>
            <w:r>
              <w:rPr>
                <w:rFonts w:hint="eastAsia" w:ascii="宋体" w:hAnsi="宋体" w:cs="宋体"/>
                <w:color w:val="auto"/>
                <w:kern w:val="0"/>
                <w:szCs w:val="21"/>
              </w:rPr>
              <w:t>2</w:t>
            </w:r>
            <w:r>
              <w:rPr>
                <w:rFonts w:hint="eastAsia" w:ascii="宋体" w:hAnsi="宋体" w:cs="宋体"/>
                <w:color w:val="auto"/>
                <w:kern w:val="0"/>
                <w:szCs w:val="21"/>
              </w:rPr>
              <w:t>分；</w:t>
            </w:r>
          </w:p>
          <w:p>
            <w:pPr>
              <w:autoSpaceDE w:val="0"/>
              <w:autoSpaceDN w:val="0"/>
              <w:adjustRightInd w:val="0"/>
              <w:snapToGrid w:val="0"/>
              <w:rPr>
                <w:rFonts w:ascii="宋体" w:hAnsi="宋体" w:cs="宋体"/>
                <w:color w:val="auto"/>
                <w:szCs w:val="21"/>
              </w:rPr>
            </w:pPr>
            <w:r>
              <w:rPr>
                <w:rFonts w:hint="eastAsia" w:ascii="宋体" w:hAnsi="宋体" w:cs="宋体"/>
                <w:color w:val="auto"/>
                <w:kern w:val="0"/>
                <w:szCs w:val="21"/>
              </w:rPr>
              <w:t>3、自有</w:t>
            </w:r>
            <w:r>
              <w:rPr>
                <w:rFonts w:hint="eastAsia" w:ascii="宋体" w:hAnsi="宋体" w:cs="宋体"/>
                <w:color w:val="auto"/>
                <w:kern w:val="0"/>
                <w:szCs w:val="21"/>
              </w:rPr>
              <w:t>或租赁有</w:t>
            </w:r>
            <w:r>
              <w:rPr>
                <w:rFonts w:hint="eastAsia" w:ascii="宋体" w:hAnsi="宋体" w:cs="宋体"/>
                <w:color w:val="auto"/>
                <w:kern w:val="0"/>
                <w:szCs w:val="21"/>
              </w:rPr>
              <w:t>电焊机、砂轮机、氧割机、水准仪、经纬仪、高压测试仪、继电保护测试仪、开关特性测试仪、接地电阻测试仪、剪草机、喷药机、高空修剪机各一台，全部满足得</w:t>
            </w:r>
            <w:r>
              <w:rPr>
                <w:rFonts w:hint="eastAsia" w:ascii="宋体" w:hAnsi="宋体" w:cs="宋体"/>
                <w:color w:val="auto"/>
                <w:kern w:val="0"/>
                <w:szCs w:val="21"/>
              </w:rPr>
              <w:t>2</w:t>
            </w:r>
            <w:r>
              <w:rPr>
                <w:rFonts w:hint="eastAsia" w:ascii="宋体" w:hAnsi="宋体" w:cs="宋体"/>
                <w:color w:val="auto"/>
                <w:kern w:val="0"/>
                <w:szCs w:val="21"/>
              </w:rPr>
              <w:t>分。</w:t>
            </w:r>
          </w:p>
          <w:p>
            <w:pPr>
              <w:pStyle w:val="121"/>
              <w:adjustRightInd w:val="0"/>
              <w:snapToGrid w:val="0"/>
              <w:spacing w:before="0" w:beforeAutospacing="0" w:after="0" w:afterAutospacing="0"/>
              <w:rPr>
                <w:color w:val="auto"/>
                <w:sz w:val="21"/>
                <w:szCs w:val="21"/>
              </w:rPr>
            </w:pPr>
            <w:r>
              <w:rPr>
                <w:rFonts w:hint="eastAsia"/>
                <w:color w:val="auto"/>
                <w:kern w:val="0"/>
                <w:sz w:val="21"/>
                <w:szCs w:val="21"/>
              </w:rPr>
              <w:t>注：</w:t>
            </w:r>
            <w:r>
              <w:rPr>
                <w:rFonts w:hint="eastAsia"/>
                <w:color w:val="auto"/>
                <w:kern w:val="0"/>
                <w:sz w:val="21"/>
                <w:szCs w:val="21"/>
              </w:rPr>
              <w:t>设备属自有的，提供发票或其他证明文件复印件；属租赁的，提供租赁合同复印件，否则不得分。</w:t>
            </w:r>
          </w:p>
        </w:tc>
        <w:tc>
          <w:tcPr>
            <w:tcW w:w="708" w:type="dxa"/>
            <w:tcBorders>
              <w:right w:val="single" w:color="auto" w:sz="4" w:space="0"/>
            </w:tcBorders>
            <w:vAlign w:val="center"/>
          </w:tcPr>
          <w:p>
            <w:pPr>
              <w:adjustRightInd w:val="0"/>
              <w:snapToGrid w:val="0"/>
              <w:jc w:val="center"/>
              <w:rPr>
                <w:rFonts w:ascii="宋体" w:hAnsi="宋体" w:cs="宋体"/>
                <w:color w:val="auto"/>
                <w:szCs w:val="21"/>
              </w:rPr>
            </w:pPr>
            <w:r>
              <w:rPr>
                <w:rFonts w:hint="eastAsia" w:ascii="宋体" w:hAnsi="宋体" w:cs="宋体"/>
                <w:color w:val="auto"/>
                <w:szCs w:val="21"/>
              </w:rPr>
              <w:t>6</w:t>
            </w:r>
            <w:r>
              <w:rPr>
                <w:rFonts w:hint="eastAsia" w:ascii="宋体" w:hAnsi="宋体" w:cs="宋体"/>
                <w:color w:val="auto"/>
                <w:szCs w:val="21"/>
              </w:rPr>
              <w:t>%</w:t>
            </w:r>
          </w:p>
        </w:tc>
        <w:tc>
          <w:tcPr>
            <w:tcW w:w="797" w:type="dxa"/>
            <w:tcBorders>
              <w:left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6</w:t>
            </w:r>
            <w:r>
              <w:rPr>
                <w:rFonts w:hint="eastAsia" w:ascii="宋体" w:hAnsi="宋体" w:cs="宋体"/>
                <w:color w:val="auto"/>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83" w:hRule="atLeast"/>
        </w:trPr>
        <w:tc>
          <w:tcPr>
            <w:tcW w:w="747" w:type="dxa"/>
            <w:tcBorders>
              <w:left w:val="single" w:color="auto" w:sz="12" w:space="0"/>
            </w:tcBorders>
            <w:vAlign w:val="center"/>
          </w:tcPr>
          <w:p>
            <w:pPr>
              <w:pStyle w:val="90"/>
              <w:numPr>
                <w:ilvl w:val="0"/>
                <w:numId w:val="11"/>
              </w:numPr>
              <w:adjustRightInd w:val="0"/>
              <w:snapToGrid w:val="0"/>
              <w:ind w:firstLineChars="0"/>
              <w:jc w:val="center"/>
              <w:rPr>
                <w:rFonts w:ascii="宋体" w:hAnsi="宋体"/>
                <w:color w:val="auto"/>
                <w:szCs w:val="21"/>
              </w:rPr>
            </w:pPr>
          </w:p>
        </w:tc>
        <w:tc>
          <w:tcPr>
            <w:tcW w:w="1606" w:type="dxa"/>
            <w:vMerge w:val="restart"/>
            <w:vAlign w:val="center"/>
          </w:tcPr>
          <w:p>
            <w:pPr>
              <w:adjustRightInd w:val="0"/>
              <w:snapToGrid w:val="0"/>
              <w:jc w:val="center"/>
              <w:rPr>
                <w:rFonts w:ascii="宋体" w:hAnsi="宋体" w:cs="宋体"/>
                <w:color w:val="auto"/>
                <w:szCs w:val="21"/>
              </w:rPr>
            </w:pPr>
            <w:r>
              <w:rPr>
                <w:rFonts w:hint="eastAsia" w:ascii="宋体" w:hAnsi="宋体" w:cs="宋体"/>
                <w:color w:val="auto"/>
                <w:szCs w:val="21"/>
              </w:rPr>
              <w:t>拟投入人员情况</w:t>
            </w:r>
          </w:p>
        </w:tc>
        <w:tc>
          <w:tcPr>
            <w:tcW w:w="5996" w:type="dxa"/>
            <w:vAlign w:val="center"/>
          </w:tcPr>
          <w:p>
            <w:pPr>
              <w:adjustRightInd w:val="0"/>
              <w:snapToGrid w:val="0"/>
              <w:jc w:val="left"/>
              <w:rPr>
                <w:rFonts w:ascii="宋体" w:hAnsi="宋体" w:cs="宋体"/>
                <w:color w:val="auto"/>
                <w:szCs w:val="21"/>
              </w:rPr>
            </w:pPr>
            <w:r>
              <w:rPr>
                <w:rFonts w:hint="eastAsia" w:ascii="宋体" w:hAnsi="宋体" w:cs="宋体"/>
                <w:color w:val="auto"/>
                <w:szCs w:val="21"/>
              </w:rPr>
              <w:t>日常管养人员配备：</w:t>
            </w:r>
          </w:p>
          <w:p>
            <w:pPr>
              <w:adjustRightInd w:val="0"/>
              <w:snapToGrid w:val="0"/>
              <w:jc w:val="left"/>
              <w:rPr>
                <w:rFonts w:ascii="宋体" w:hAnsi="宋体" w:cs="宋体"/>
                <w:color w:val="auto"/>
                <w:szCs w:val="21"/>
              </w:rPr>
            </w:pPr>
            <w:r>
              <w:rPr>
                <w:rFonts w:hint="eastAsia" w:ascii="宋体" w:hAnsi="宋体" w:cs="宋体"/>
                <w:color w:val="auto"/>
                <w:szCs w:val="21"/>
              </w:rPr>
              <w:t>1、拟投入本项目项目经理为水利水电类专业工程师且2017年1月1日至今完成过同类排涝站设备检修、维修等管养服务项目经验，得</w:t>
            </w:r>
            <w:r>
              <w:rPr>
                <w:rFonts w:hint="eastAsia" w:ascii="宋体" w:hAnsi="宋体" w:cs="宋体"/>
                <w:color w:val="auto"/>
                <w:szCs w:val="21"/>
              </w:rPr>
              <w:t>3</w:t>
            </w:r>
            <w:r>
              <w:rPr>
                <w:rFonts w:hint="eastAsia" w:ascii="宋体" w:hAnsi="宋体" w:cs="宋体"/>
                <w:color w:val="auto"/>
                <w:szCs w:val="21"/>
              </w:rPr>
              <w:t>分，否则得0分；</w:t>
            </w:r>
          </w:p>
          <w:p>
            <w:pPr>
              <w:adjustRightInd w:val="0"/>
              <w:snapToGrid w:val="0"/>
              <w:jc w:val="left"/>
              <w:rPr>
                <w:rFonts w:ascii="宋体" w:hAnsi="宋体" w:cs="宋体"/>
                <w:color w:val="auto"/>
                <w:szCs w:val="21"/>
              </w:rPr>
            </w:pPr>
            <w:r>
              <w:rPr>
                <w:rFonts w:hint="eastAsia" w:ascii="宋体" w:hAnsi="宋体" w:cs="宋体"/>
                <w:color w:val="auto"/>
                <w:szCs w:val="21"/>
              </w:rPr>
              <w:t>2、拟投入本项目安全员1名，持有安全培训考核合格证（C类），得</w:t>
            </w:r>
            <w:r>
              <w:rPr>
                <w:rFonts w:hint="eastAsia" w:ascii="宋体" w:hAnsi="宋体" w:cs="宋体"/>
                <w:color w:val="auto"/>
                <w:szCs w:val="21"/>
              </w:rPr>
              <w:t>2</w:t>
            </w:r>
            <w:r>
              <w:rPr>
                <w:rFonts w:hint="eastAsia" w:ascii="宋体" w:hAnsi="宋体" w:cs="宋体"/>
                <w:color w:val="auto"/>
                <w:szCs w:val="21"/>
              </w:rPr>
              <w:t>分，否则得0分；</w:t>
            </w:r>
          </w:p>
          <w:p>
            <w:pPr>
              <w:adjustRightInd w:val="0"/>
              <w:snapToGrid w:val="0"/>
              <w:jc w:val="left"/>
              <w:rPr>
                <w:rFonts w:ascii="宋体" w:hAnsi="宋体" w:cs="宋体"/>
                <w:color w:val="auto"/>
                <w:kern w:val="0"/>
                <w:szCs w:val="21"/>
              </w:rPr>
            </w:pPr>
            <w:r>
              <w:rPr>
                <w:rFonts w:hint="eastAsia" w:ascii="宋体" w:hAnsi="宋体" w:cs="宋体"/>
                <w:color w:val="auto"/>
                <w:szCs w:val="21"/>
              </w:rPr>
              <w:t>备注：以上人员必须提供职称证书、安全培训考核合格证（安全员）、项目经理业绩证明材料（提供项目经理的项目经验清单，包括项目名称、服务时间，职务等）、提供投标截止前三个月缴纳社会保险缴纳凭证复印件，未提供不得分）。</w:t>
            </w:r>
          </w:p>
        </w:tc>
        <w:tc>
          <w:tcPr>
            <w:tcW w:w="708" w:type="dxa"/>
            <w:tcBorders>
              <w:right w:val="single" w:color="auto" w:sz="4" w:space="0"/>
            </w:tcBorders>
            <w:vAlign w:val="center"/>
          </w:tcPr>
          <w:p>
            <w:pPr>
              <w:adjustRightInd w:val="0"/>
              <w:snapToGrid w:val="0"/>
              <w:jc w:val="center"/>
              <w:rPr>
                <w:rFonts w:ascii="宋体" w:hAnsi="宋体" w:cs="宋体"/>
                <w:color w:val="auto"/>
                <w:szCs w:val="21"/>
              </w:rPr>
            </w:pPr>
            <w:r>
              <w:rPr>
                <w:rFonts w:ascii="宋体" w:hAnsi="宋体" w:cs="宋体"/>
                <w:color w:val="auto"/>
                <w:szCs w:val="21"/>
              </w:rPr>
              <w:t>5</w:t>
            </w:r>
            <w:r>
              <w:rPr>
                <w:rFonts w:hint="eastAsia" w:ascii="宋体" w:hAnsi="宋体" w:cs="宋体"/>
                <w:color w:val="auto"/>
                <w:szCs w:val="21"/>
              </w:rPr>
              <w:t>%</w:t>
            </w:r>
          </w:p>
        </w:tc>
        <w:tc>
          <w:tcPr>
            <w:tcW w:w="797" w:type="dxa"/>
            <w:tcBorders>
              <w:left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5</w:t>
            </w:r>
            <w:r>
              <w:rPr>
                <w:rFonts w:hint="eastAsia" w:ascii="宋体" w:hAnsi="宋体" w:cs="宋体"/>
                <w:color w:val="auto"/>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3" w:hRule="atLeast"/>
        </w:trPr>
        <w:tc>
          <w:tcPr>
            <w:tcW w:w="747" w:type="dxa"/>
            <w:tcBorders>
              <w:left w:val="single" w:color="auto" w:sz="12" w:space="0"/>
            </w:tcBorders>
            <w:vAlign w:val="center"/>
          </w:tcPr>
          <w:p>
            <w:pPr>
              <w:pStyle w:val="90"/>
              <w:numPr>
                <w:ilvl w:val="0"/>
                <w:numId w:val="11"/>
              </w:numPr>
              <w:adjustRightInd w:val="0"/>
              <w:snapToGrid w:val="0"/>
              <w:ind w:firstLineChars="0"/>
              <w:jc w:val="center"/>
              <w:rPr>
                <w:rFonts w:ascii="宋体" w:hAnsi="宋体"/>
                <w:color w:val="auto"/>
                <w:szCs w:val="21"/>
              </w:rPr>
            </w:pPr>
          </w:p>
        </w:tc>
        <w:tc>
          <w:tcPr>
            <w:tcW w:w="1606" w:type="dxa"/>
            <w:vMerge w:val="continue"/>
            <w:vAlign w:val="center"/>
          </w:tcPr>
          <w:p>
            <w:pPr>
              <w:adjustRightInd w:val="0"/>
              <w:snapToGrid w:val="0"/>
              <w:jc w:val="center"/>
              <w:rPr>
                <w:rFonts w:ascii="宋体" w:hAnsi="宋体"/>
                <w:bCs/>
                <w:color w:val="auto"/>
                <w:szCs w:val="21"/>
              </w:rPr>
            </w:pPr>
          </w:p>
        </w:tc>
        <w:tc>
          <w:tcPr>
            <w:tcW w:w="5996" w:type="dxa"/>
            <w:vAlign w:val="center"/>
          </w:tcPr>
          <w:p>
            <w:pPr>
              <w:adjustRightInd w:val="0"/>
              <w:snapToGrid w:val="0"/>
              <w:jc w:val="left"/>
              <w:rPr>
                <w:rFonts w:ascii="宋体" w:hAnsi="宋体" w:cs="宋体"/>
                <w:color w:val="auto"/>
                <w:szCs w:val="21"/>
              </w:rPr>
            </w:pPr>
            <w:r>
              <w:rPr>
                <w:rFonts w:hint="eastAsia" w:ascii="宋体" w:hAnsi="宋体" w:cs="宋体"/>
                <w:color w:val="auto"/>
                <w:szCs w:val="21"/>
              </w:rPr>
              <w:t>应急抢修组配备：</w:t>
            </w:r>
          </w:p>
          <w:p>
            <w:pPr>
              <w:adjustRightInd w:val="0"/>
              <w:snapToGrid w:val="0"/>
              <w:jc w:val="left"/>
              <w:rPr>
                <w:rFonts w:ascii="宋体" w:hAnsi="宋体" w:cs="宋体"/>
                <w:color w:val="auto"/>
                <w:szCs w:val="21"/>
              </w:rPr>
            </w:pPr>
            <w:r>
              <w:rPr>
                <w:rFonts w:ascii="宋体" w:hAnsi="宋体" w:cs="宋体"/>
                <w:color w:val="auto"/>
                <w:szCs w:val="21"/>
              </w:rPr>
              <w:t>1</w:t>
            </w:r>
            <w:r>
              <w:rPr>
                <w:rFonts w:hint="eastAsia" w:ascii="宋体" w:hAnsi="宋体" w:cs="宋体"/>
                <w:color w:val="auto"/>
                <w:szCs w:val="21"/>
              </w:rPr>
              <w:t>）人员：不少于</w:t>
            </w:r>
            <w:r>
              <w:rPr>
                <w:rFonts w:ascii="宋体" w:hAnsi="宋体" w:cs="宋体"/>
                <w:color w:val="auto"/>
                <w:szCs w:val="21"/>
              </w:rPr>
              <w:t>5</w:t>
            </w:r>
            <w:r>
              <w:rPr>
                <w:rFonts w:hint="eastAsia" w:ascii="宋体" w:hAnsi="宋体" w:cs="宋体"/>
                <w:color w:val="auto"/>
                <w:szCs w:val="21"/>
              </w:rPr>
              <w:t>人（组长、副组长各</w:t>
            </w:r>
            <w:r>
              <w:rPr>
                <w:rFonts w:ascii="宋体" w:hAnsi="宋体" w:cs="宋体"/>
                <w:color w:val="auto"/>
                <w:szCs w:val="21"/>
              </w:rPr>
              <w:t>1</w:t>
            </w:r>
            <w:r>
              <w:rPr>
                <w:rFonts w:hint="eastAsia" w:ascii="宋体" w:hAnsi="宋体" w:cs="宋体"/>
                <w:color w:val="auto"/>
                <w:szCs w:val="21"/>
              </w:rPr>
              <w:t>名），每增加</w:t>
            </w:r>
            <w:r>
              <w:rPr>
                <w:rFonts w:ascii="宋体" w:hAnsi="宋体" w:cs="宋体"/>
                <w:color w:val="auto"/>
                <w:szCs w:val="21"/>
              </w:rPr>
              <w:t>1</w:t>
            </w:r>
            <w:r>
              <w:rPr>
                <w:rFonts w:hint="eastAsia" w:ascii="宋体" w:hAnsi="宋体" w:cs="宋体"/>
                <w:color w:val="auto"/>
                <w:szCs w:val="21"/>
              </w:rPr>
              <w:t>人，得</w:t>
            </w:r>
            <w:r>
              <w:rPr>
                <w:rFonts w:hint="eastAsia" w:ascii="宋体" w:hAnsi="宋体" w:cs="宋体"/>
                <w:color w:val="auto"/>
                <w:szCs w:val="21"/>
              </w:rPr>
              <w:t>1</w:t>
            </w:r>
            <w:r>
              <w:rPr>
                <w:rFonts w:hint="eastAsia" w:ascii="宋体" w:hAnsi="宋体" w:cs="宋体"/>
                <w:color w:val="auto"/>
                <w:szCs w:val="21"/>
              </w:rPr>
              <w:t>分，最高</w:t>
            </w:r>
            <w:r>
              <w:rPr>
                <w:rFonts w:hint="eastAsia" w:ascii="宋体" w:hAnsi="宋体" w:cs="宋体"/>
                <w:color w:val="auto"/>
                <w:szCs w:val="21"/>
              </w:rPr>
              <w:t>5</w:t>
            </w:r>
            <w:r>
              <w:rPr>
                <w:rFonts w:hint="eastAsia" w:ascii="宋体" w:hAnsi="宋体" w:cs="宋体"/>
                <w:color w:val="auto"/>
                <w:szCs w:val="21"/>
              </w:rPr>
              <w:t>分。</w:t>
            </w:r>
          </w:p>
          <w:p>
            <w:pPr>
              <w:pStyle w:val="121"/>
              <w:adjustRightInd w:val="0"/>
              <w:snapToGrid w:val="0"/>
              <w:spacing w:before="0" w:beforeAutospacing="0" w:after="0" w:afterAutospacing="0"/>
              <w:rPr>
                <w:color w:val="auto"/>
                <w:sz w:val="21"/>
                <w:szCs w:val="21"/>
              </w:rPr>
            </w:pPr>
            <w:r>
              <w:rPr>
                <w:rFonts w:hint="eastAsia"/>
                <w:color w:val="auto"/>
                <w:sz w:val="21"/>
                <w:szCs w:val="21"/>
              </w:rPr>
              <w:t>备注：以上人员必须提供社保机构或税务部门出具的社保缴费证明复印件（需提供投标截止前</w:t>
            </w:r>
            <w:r>
              <w:rPr>
                <w:rFonts w:hint="eastAsia"/>
                <w:color w:val="auto"/>
                <w:kern w:val="0"/>
                <w:sz w:val="21"/>
                <w:szCs w:val="21"/>
              </w:rPr>
              <w:t>三</w:t>
            </w:r>
            <w:r>
              <w:rPr>
                <w:rFonts w:hint="eastAsia"/>
                <w:color w:val="auto"/>
                <w:sz w:val="21"/>
                <w:szCs w:val="21"/>
              </w:rPr>
              <w:t>个月缴纳社会保险缴纳凭证复印件，否则不得分。</w:t>
            </w:r>
          </w:p>
        </w:tc>
        <w:tc>
          <w:tcPr>
            <w:tcW w:w="708" w:type="dxa"/>
            <w:tcBorders>
              <w:right w:val="single" w:color="auto" w:sz="4" w:space="0"/>
            </w:tcBorders>
            <w:vAlign w:val="center"/>
          </w:tcPr>
          <w:p>
            <w:pPr>
              <w:adjustRightInd w:val="0"/>
              <w:snapToGrid w:val="0"/>
              <w:jc w:val="center"/>
              <w:rPr>
                <w:rFonts w:ascii="宋体" w:hAnsi="宋体" w:cs="宋体"/>
                <w:color w:val="auto"/>
                <w:szCs w:val="21"/>
              </w:rPr>
            </w:pPr>
            <w:r>
              <w:rPr>
                <w:rFonts w:hint="eastAsia" w:ascii="宋体" w:hAnsi="宋体" w:cs="宋体"/>
                <w:color w:val="auto"/>
                <w:szCs w:val="21"/>
              </w:rPr>
              <w:t>5</w:t>
            </w:r>
            <w:r>
              <w:rPr>
                <w:rFonts w:hint="eastAsia" w:ascii="宋体" w:hAnsi="宋体" w:cs="宋体"/>
                <w:color w:val="auto"/>
                <w:szCs w:val="21"/>
              </w:rPr>
              <w:t>%</w:t>
            </w:r>
          </w:p>
        </w:tc>
        <w:tc>
          <w:tcPr>
            <w:tcW w:w="797" w:type="dxa"/>
            <w:tcBorders>
              <w:left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5</w:t>
            </w:r>
            <w:r>
              <w:rPr>
                <w:rFonts w:hint="eastAsia" w:ascii="宋体" w:hAnsi="宋体" w:cs="宋体"/>
                <w:color w:val="auto"/>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23" w:hRule="atLeast"/>
        </w:trPr>
        <w:tc>
          <w:tcPr>
            <w:tcW w:w="747" w:type="dxa"/>
            <w:tcBorders>
              <w:left w:val="single" w:color="auto" w:sz="12" w:space="0"/>
            </w:tcBorders>
            <w:vAlign w:val="center"/>
          </w:tcPr>
          <w:p>
            <w:pPr>
              <w:pStyle w:val="90"/>
              <w:numPr>
                <w:ilvl w:val="0"/>
                <w:numId w:val="11"/>
              </w:numPr>
              <w:adjustRightInd w:val="0"/>
              <w:snapToGrid w:val="0"/>
              <w:ind w:firstLineChars="0"/>
              <w:jc w:val="center"/>
              <w:rPr>
                <w:rFonts w:ascii="宋体" w:hAnsi="宋体"/>
                <w:color w:val="auto"/>
                <w:szCs w:val="21"/>
              </w:rPr>
            </w:pPr>
          </w:p>
        </w:tc>
        <w:tc>
          <w:tcPr>
            <w:tcW w:w="1606" w:type="dxa"/>
            <w:vAlign w:val="center"/>
          </w:tcPr>
          <w:p>
            <w:pPr>
              <w:adjustRightInd w:val="0"/>
              <w:snapToGrid w:val="0"/>
              <w:jc w:val="center"/>
              <w:rPr>
                <w:rFonts w:ascii="宋体" w:hAnsi="宋体"/>
                <w:color w:val="auto"/>
                <w:szCs w:val="21"/>
              </w:rPr>
            </w:pPr>
            <w:r>
              <w:rPr>
                <w:rFonts w:hint="eastAsia" w:ascii="宋体" w:hAnsi="宋体"/>
                <w:color w:val="auto"/>
                <w:szCs w:val="21"/>
              </w:rPr>
              <w:t>项目理解</w:t>
            </w:r>
          </w:p>
        </w:tc>
        <w:tc>
          <w:tcPr>
            <w:tcW w:w="5996" w:type="dxa"/>
            <w:vAlign w:val="center"/>
          </w:tcPr>
          <w:p>
            <w:pPr>
              <w:adjustRightInd w:val="0"/>
              <w:snapToGrid w:val="0"/>
              <w:ind w:left="-78" w:leftChars="-37" w:right="-73" w:rightChars="-35"/>
              <w:jc w:val="left"/>
              <w:rPr>
                <w:rFonts w:ascii="宋体" w:hAnsi="宋体" w:cs="宋体"/>
                <w:color w:val="auto"/>
                <w:szCs w:val="21"/>
              </w:rPr>
            </w:pPr>
            <w:r>
              <w:rPr>
                <w:rFonts w:hint="eastAsia" w:ascii="宋体" w:hAnsi="宋体" w:cs="宋体"/>
                <w:color w:val="auto"/>
                <w:szCs w:val="21"/>
              </w:rPr>
              <w:t>非常熟悉、了解本项目情况，对重点难点问题提出了建设性的意见，并提供具有针对性的解决措施为优，得9分；</w:t>
            </w:r>
          </w:p>
          <w:p>
            <w:pPr>
              <w:adjustRightInd w:val="0"/>
              <w:snapToGrid w:val="0"/>
              <w:ind w:left="-78" w:leftChars="-37" w:right="-73" w:rightChars="-35"/>
              <w:jc w:val="left"/>
              <w:rPr>
                <w:rFonts w:ascii="宋体" w:hAnsi="宋体" w:cs="宋体"/>
                <w:color w:val="auto"/>
                <w:szCs w:val="21"/>
              </w:rPr>
            </w:pPr>
            <w:r>
              <w:rPr>
                <w:rFonts w:hint="eastAsia" w:ascii="宋体" w:hAnsi="宋体" w:cs="宋体"/>
                <w:color w:val="auto"/>
                <w:szCs w:val="21"/>
              </w:rPr>
              <w:t>基本了解本项目情况，对重点难点问题提出了一般性意见，并提供了基本的应对措施为良，得6分；</w:t>
            </w:r>
          </w:p>
          <w:p>
            <w:pPr>
              <w:adjustRightInd w:val="0"/>
              <w:snapToGrid w:val="0"/>
              <w:ind w:left="-78" w:leftChars="-37" w:right="-73" w:rightChars="-35"/>
              <w:jc w:val="left"/>
              <w:rPr>
                <w:rFonts w:ascii="宋体" w:hAnsi="宋体" w:cs="宋体"/>
                <w:color w:val="auto"/>
                <w:szCs w:val="21"/>
              </w:rPr>
            </w:pPr>
            <w:r>
              <w:rPr>
                <w:rFonts w:hint="eastAsia" w:ascii="宋体" w:hAnsi="宋体" w:cs="宋体"/>
                <w:color w:val="auto"/>
                <w:szCs w:val="21"/>
              </w:rPr>
              <w:t>不完全了解本项目情况，对重点难点问题提出了简易的意见及应对措施的，为一般，得3分；</w:t>
            </w:r>
          </w:p>
          <w:p>
            <w:pPr>
              <w:adjustRightInd w:val="0"/>
              <w:snapToGrid w:val="0"/>
              <w:ind w:left="-78" w:leftChars="-37" w:right="-73" w:rightChars="-35"/>
              <w:jc w:val="left"/>
              <w:rPr>
                <w:rFonts w:ascii="宋体" w:hAnsi="宋体" w:cs="宋体"/>
                <w:color w:val="auto"/>
                <w:szCs w:val="21"/>
              </w:rPr>
            </w:pPr>
            <w:r>
              <w:rPr>
                <w:rFonts w:hint="eastAsia" w:ascii="宋体" w:hAnsi="宋体" w:cs="宋体"/>
                <w:color w:val="auto"/>
                <w:szCs w:val="21"/>
              </w:rPr>
              <w:t>对本项目情况、重点难点问题不了解，未提供解决措施的为差，得1分。</w:t>
            </w:r>
          </w:p>
        </w:tc>
        <w:tc>
          <w:tcPr>
            <w:tcW w:w="708" w:type="dxa"/>
            <w:tcBorders>
              <w:right w:val="single" w:color="auto" w:sz="4" w:space="0"/>
            </w:tcBorders>
            <w:vAlign w:val="center"/>
          </w:tcPr>
          <w:p>
            <w:pPr>
              <w:adjustRightInd w:val="0"/>
              <w:snapToGrid w:val="0"/>
              <w:jc w:val="center"/>
              <w:rPr>
                <w:rFonts w:ascii="宋体" w:hAnsi="宋体" w:cs="宋体"/>
                <w:color w:val="auto"/>
                <w:szCs w:val="21"/>
              </w:rPr>
            </w:pPr>
            <w:r>
              <w:rPr>
                <w:rFonts w:hint="eastAsia" w:ascii="宋体" w:hAnsi="宋体" w:cs="宋体"/>
                <w:color w:val="auto"/>
                <w:szCs w:val="21"/>
              </w:rPr>
              <w:t>9%</w:t>
            </w:r>
          </w:p>
        </w:tc>
        <w:tc>
          <w:tcPr>
            <w:tcW w:w="797" w:type="dxa"/>
            <w:tcBorders>
              <w:left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9分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77" w:hRule="atLeast"/>
        </w:trPr>
        <w:tc>
          <w:tcPr>
            <w:tcW w:w="747" w:type="dxa"/>
            <w:tcBorders>
              <w:top w:val="single" w:color="auto" w:sz="4" w:space="0"/>
              <w:left w:val="single" w:color="auto" w:sz="12" w:space="0"/>
            </w:tcBorders>
            <w:vAlign w:val="center"/>
          </w:tcPr>
          <w:p>
            <w:pPr>
              <w:widowControl/>
              <w:adjustRightInd w:val="0"/>
              <w:snapToGrid w:val="0"/>
              <w:jc w:val="center"/>
              <w:rPr>
                <w:rFonts w:ascii="宋体" w:hAnsi="宋体" w:cs="宋体"/>
                <w:b/>
                <w:color w:val="auto"/>
                <w:szCs w:val="21"/>
              </w:rPr>
            </w:pPr>
            <w:r>
              <w:rPr>
                <w:rFonts w:hint="eastAsia" w:ascii="宋体" w:hAnsi="宋体" w:cs="宋体"/>
                <w:b/>
                <w:color w:val="auto"/>
                <w:szCs w:val="21"/>
              </w:rPr>
              <w:t>二</w:t>
            </w:r>
          </w:p>
        </w:tc>
        <w:tc>
          <w:tcPr>
            <w:tcW w:w="9107" w:type="dxa"/>
            <w:gridSpan w:val="4"/>
            <w:tcBorders>
              <w:right w:val="single" w:color="auto" w:sz="12" w:space="0"/>
            </w:tcBorders>
            <w:vAlign w:val="center"/>
          </w:tcPr>
          <w:p>
            <w:pPr>
              <w:widowControl/>
              <w:adjustRightInd w:val="0"/>
              <w:snapToGrid w:val="0"/>
              <w:ind w:left="-78" w:leftChars="-37" w:right="-73" w:rightChars="-35"/>
              <w:jc w:val="center"/>
              <w:rPr>
                <w:rFonts w:ascii="宋体" w:hAnsi="宋体" w:cs="宋体"/>
                <w:b/>
                <w:color w:val="auto"/>
                <w:szCs w:val="21"/>
              </w:rPr>
            </w:pPr>
            <w:r>
              <w:rPr>
                <w:rFonts w:hint="eastAsia" w:ascii="宋体" w:hAnsi="宋体" w:cs="宋体"/>
                <w:b/>
                <w:color w:val="auto"/>
                <w:szCs w:val="21"/>
              </w:rPr>
              <w:t>商务部分(合计</w:t>
            </w:r>
            <w:r>
              <w:rPr>
                <w:rFonts w:hint="eastAsia" w:ascii="宋体" w:hAnsi="宋体" w:cs="宋体"/>
                <w:b/>
                <w:color w:val="auto"/>
                <w:szCs w:val="21"/>
              </w:rPr>
              <w:t>30</w:t>
            </w:r>
            <w:r>
              <w:rPr>
                <w:rFonts w:hint="eastAsia" w:ascii="宋体" w:hAnsi="宋体" w:cs="宋体"/>
                <w:b/>
                <w:color w:val="auto"/>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61" w:hRule="atLeast"/>
        </w:trPr>
        <w:tc>
          <w:tcPr>
            <w:tcW w:w="747" w:type="dxa"/>
            <w:tcBorders>
              <w:left w:val="single" w:color="auto" w:sz="12" w:space="0"/>
              <w:bottom w:val="single" w:color="auto" w:sz="4" w:space="0"/>
            </w:tcBorders>
            <w:vAlign w:val="center"/>
          </w:tcPr>
          <w:p>
            <w:pPr>
              <w:pStyle w:val="90"/>
              <w:numPr>
                <w:ilvl w:val="0"/>
                <w:numId w:val="12"/>
              </w:numPr>
              <w:tabs>
                <w:tab w:val="clear" w:pos="420"/>
              </w:tabs>
              <w:adjustRightInd w:val="0"/>
              <w:snapToGrid w:val="0"/>
              <w:ind w:firstLineChars="0"/>
              <w:jc w:val="center"/>
              <w:rPr>
                <w:rFonts w:ascii="宋体" w:hAnsi="宋体"/>
                <w:color w:val="auto"/>
                <w:szCs w:val="21"/>
              </w:rPr>
            </w:pPr>
          </w:p>
        </w:tc>
        <w:tc>
          <w:tcPr>
            <w:tcW w:w="1606" w:type="dxa"/>
            <w:vAlign w:val="center"/>
          </w:tcPr>
          <w:p>
            <w:pPr>
              <w:adjustRightInd w:val="0"/>
              <w:snapToGrid w:val="0"/>
              <w:ind w:left="-63" w:leftChars="-30" w:right="-88" w:rightChars="-42"/>
              <w:jc w:val="center"/>
              <w:rPr>
                <w:rFonts w:ascii="宋体" w:hAnsi="宋体" w:cs="宋体"/>
                <w:color w:val="auto"/>
                <w:szCs w:val="21"/>
              </w:rPr>
            </w:pPr>
            <w:bookmarkStart w:id="17" w:name="_Hlk55814925"/>
            <w:r>
              <w:rPr>
                <w:rFonts w:hint="eastAsia" w:ascii="宋体" w:hAnsi="宋体" w:cs="宋体"/>
                <w:color w:val="auto"/>
                <w:szCs w:val="21"/>
              </w:rPr>
              <w:t>项目业绩情况</w:t>
            </w:r>
            <w:bookmarkEnd w:id="17"/>
          </w:p>
        </w:tc>
        <w:tc>
          <w:tcPr>
            <w:tcW w:w="5996" w:type="dxa"/>
            <w:vAlign w:val="center"/>
          </w:tcPr>
          <w:p>
            <w:pPr>
              <w:adjustRightInd w:val="0"/>
              <w:snapToGrid w:val="0"/>
              <w:ind w:right="-88" w:rightChars="-42"/>
              <w:jc w:val="left"/>
              <w:rPr>
                <w:rFonts w:ascii="宋体" w:hAnsi="宋体"/>
                <w:color w:val="auto"/>
                <w:szCs w:val="21"/>
              </w:rPr>
            </w:pPr>
            <w:r>
              <w:rPr>
                <w:rFonts w:hint="eastAsia" w:ascii="宋体" w:hAnsi="宋体"/>
                <w:color w:val="auto"/>
                <w:szCs w:val="21"/>
              </w:rPr>
              <w:t>根据投标人20</w:t>
            </w:r>
            <w:r>
              <w:rPr>
                <w:rFonts w:ascii="宋体" w:hAnsi="宋体"/>
                <w:color w:val="auto"/>
                <w:szCs w:val="21"/>
              </w:rPr>
              <w:t>17</w:t>
            </w:r>
            <w:r>
              <w:rPr>
                <w:rFonts w:hint="eastAsia" w:ascii="宋体" w:hAnsi="宋体"/>
                <w:color w:val="auto"/>
                <w:szCs w:val="21"/>
              </w:rPr>
              <w:t>年1月1日至今，承接过同类项目（水利设施养护项目）业绩情况进行评分：每提供一份业绩得</w:t>
            </w:r>
            <w:r>
              <w:rPr>
                <w:rFonts w:hint="eastAsia" w:ascii="宋体" w:hAnsi="宋体"/>
                <w:color w:val="auto"/>
                <w:szCs w:val="21"/>
                <w:lang w:val="en-US" w:eastAsia="zh-CN"/>
              </w:rPr>
              <w:t>2</w:t>
            </w:r>
            <w:r>
              <w:rPr>
                <w:rFonts w:hint="eastAsia" w:ascii="宋体" w:hAnsi="宋体"/>
                <w:color w:val="auto"/>
                <w:szCs w:val="21"/>
              </w:rPr>
              <w:t>分，本项最高得</w:t>
            </w:r>
            <w:r>
              <w:rPr>
                <w:rFonts w:hint="eastAsia" w:ascii="宋体" w:hAnsi="宋体"/>
                <w:color w:val="auto"/>
                <w:szCs w:val="21"/>
                <w:lang w:val="en-US" w:eastAsia="zh-CN"/>
              </w:rPr>
              <w:t>10</w:t>
            </w:r>
            <w:r>
              <w:rPr>
                <w:rFonts w:hint="eastAsia" w:ascii="宋体" w:hAnsi="宋体"/>
                <w:color w:val="auto"/>
                <w:szCs w:val="21"/>
              </w:rPr>
              <w:t>分。</w:t>
            </w:r>
          </w:p>
          <w:p>
            <w:pPr>
              <w:adjustRightInd w:val="0"/>
              <w:snapToGrid w:val="0"/>
              <w:ind w:right="-88" w:rightChars="-42"/>
              <w:jc w:val="left"/>
              <w:rPr>
                <w:rFonts w:ascii="宋体" w:hAnsi="宋体" w:cs="宋体"/>
                <w:color w:val="auto"/>
                <w:szCs w:val="21"/>
              </w:rPr>
            </w:pPr>
            <w:r>
              <w:rPr>
                <w:rFonts w:hint="eastAsia" w:ascii="宋体" w:hAnsi="宋体" w:cs="宋体"/>
                <w:color w:val="auto"/>
                <w:szCs w:val="21"/>
              </w:rPr>
              <w:t>备注：投标人提供合同关键页（含签订合同双方的单位名称、合同项目名称、签订合同双方的落款盖章、签订日期的关键页）复印件</w:t>
            </w:r>
            <w:r>
              <w:rPr>
                <w:rFonts w:hint="eastAsia"/>
                <w:color w:val="auto"/>
                <w:szCs w:val="21"/>
              </w:rPr>
              <w:t>，未提供不得分</w:t>
            </w:r>
            <w:r>
              <w:rPr>
                <w:rFonts w:hint="eastAsia" w:ascii="宋体" w:hAnsi="宋体" w:cs="宋体"/>
                <w:color w:val="auto"/>
                <w:szCs w:val="21"/>
              </w:rPr>
              <w:t>。</w:t>
            </w:r>
          </w:p>
        </w:tc>
        <w:tc>
          <w:tcPr>
            <w:tcW w:w="708" w:type="dxa"/>
            <w:tcBorders>
              <w:right w:val="single" w:color="auto" w:sz="4" w:space="0"/>
            </w:tcBorders>
            <w:vAlign w:val="center"/>
          </w:tcPr>
          <w:p>
            <w:pPr>
              <w:adjustRightInd w:val="0"/>
              <w:snapToGrid w:val="0"/>
              <w:ind w:left="-78" w:leftChars="-37" w:right="-73" w:rightChars="-35"/>
              <w:jc w:val="center"/>
              <w:rPr>
                <w:rFonts w:ascii="宋体" w:hAnsi="宋体" w:cs="宋体"/>
                <w:color w:val="auto"/>
                <w:szCs w:val="21"/>
              </w:rPr>
            </w:pPr>
            <w:r>
              <w:rPr>
                <w:rFonts w:hint="eastAsia" w:ascii="宋体" w:hAnsi="宋体" w:cs="宋体"/>
                <w:color w:val="auto"/>
                <w:szCs w:val="21"/>
                <w:lang w:val="en-US" w:eastAsia="zh-CN"/>
              </w:rPr>
              <w:t>10</w:t>
            </w:r>
            <w:r>
              <w:rPr>
                <w:rFonts w:hint="eastAsia" w:ascii="宋体" w:hAnsi="宋体" w:cs="宋体"/>
                <w:color w:val="auto"/>
                <w:szCs w:val="21"/>
              </w:rPr>
              <w:t>%</w:t>
            </w:r>
          </w:p>
        </w:tc>
        <w:tc>
          <w:tcPr>
            <w:tcW w:w="797" w:type="dxa"/>
            <w:tcBorders>
              <w:left w:val="single" w:color="auto" w:sz="4" w:space="0"/>
              <w:right w:val="single" w:color="auto" w:sz="12" w:space="0"/>
            </w:tcBorders>
            <w:vAlign w:val="center"/>
          </w:tcPr>
          <w:p>
            <w:pPr>
              <w:adjustRightInd w:val="0"/>
              <w:snapToGrid w:val="0"/>
              <w:ind w:left="-78" w:leftChars="-37" w:right="-73" w:rightChars="-35"/>
              <w:jc w:val="center"/>
              <w:rPr>
                <w:rFonts w:ascii="宋体" w:hAnsi="宋体" w:cs="宋体"/>
                <w:color w:val="auto"/>
                <w:szCs w:val="21"/>
              </w:rPr>
            </w:pPr>
            <w:r>
              <w:rPr>
                <w:rFonts w:hint="eastAsia" w:ascii="宋体" w:hAnsi="宋体" w:cs="宋体"/>
                <w:color w:val="auto"/>
                <w:szCs w:val="21"/>
                <w:lang w:val="en-US" w:eastAsia="zh-CN"/>
              </w:rPr>
              <w:t>10</w:t>
            </w:r>
            <w:r>
              <w:rPr>
                <w:rFonts w:hint="eastAsia" w:ascii="宋体" w:hAnsi="宋体" w:cs="宋体"/>
                <w:color w:val="auto"/>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61" w:hRule="atLeast"/>
        </w:trPr>
        <w:tc>
          <w:tcPr>
            <w:tcW w:w="747" w:type="dxa"/>
            <w:tcBorders>
              <w:left w:val="single" w:color="auto" w:sz="12" w:space="0"/>
              <w:bottom w:val="single" w:color="auto" w:sz="4" w:space="0"/>
            </w:tcBorders>
            <w:vAlign w:val="center"/>
          </w:tcPr>
          <w:p>
            <w:pPr>
              <w:pStyle w:val="90"/>
              <w:numPr>
                <w:ilvl w:val="0"/>
                <w:numId w:val="12"/>
              </w:numPr>
              <w:tabs>
                <w:tab w:val="clear" w:pos="420"/>
              </w:tabs>
              <w:adjustRightInd w:val="0"/>
              <w:snapToGrid w:val="0"/>
              <w:ind w:firstLineChars="0"/>
              <w:jc w:val="center"/>
              <w:rPr>
                <w:rFonts w:ascii="宋体" w:hAnsi="宋体"/>
                <w:color w:val="auto"/>
                <w:szCs w:val="21"/>
              </w:rPr>
            </w:pPr>
          </w:p>
        </w:tc>
        <w:tc>
          <w:tcPr>
            <w:tcW w:w="1606" w:type="dxa"/>
            <w:vAlign w:val="center"/>
          </w:tcPr>
          <w:p>
            <w:pPr>
              <w:adjustRightInd w:val="0"/>
              <w:snapToGrid w:val="0"/>
              <w:ind w:left="-63" w:leftChars="-30" w:right="-88" w:rightChars="-42"/>
              <w:jc w:val="center"/>
              <w:rPr>
                <w:rFonts w:ascii="宋体" w:hAnsi="宋体" w:cs="宋体"/>
                <w:color w:val="auto"/>
                <w:szCs w:val="21"/>
              </w:rPr>
            </w:pPr>
            <w:r>
              <w:rPr>
                <w:rFonts w:ascii="宋体" w:hAnsi="宋体"/>
                <w:color w:val="auto"/>
                <w:szCs w:val="21"/>
              </w:rPr>
              <w:t>综合实力情况</w:t>
            </w:r>
          </w:p>
        </w:tc>
        <w:tc>
          <w:tcPr>
            <w:tcW w:w="5996" w:type="dxa"/>
            <w:vAlign w:val="center"/>
          </w:tcPr>
          <w:p>
            <w:pPr>
              <w:pStyle w:val="18"/>
              <w:adjustRightInd w:val="0"/>
              <w:snapToGrid w:val="0"/>
              <w:rPr>
                <w:rFonts w:ascii="宋体" w:hAnsi="宋体"/>
                <w:color w:val="auto"/>
                <w:szCs w:val="21"/>
              </w:rPr>
            </w:pPr>
            <w:r>
              <w:rPr>
                <w:rFonts w:ascii="宋体" w:hAnsi="宋体"/>
                <w:color w:val="auto"/>
                <w:szCs w:val="21"/>
              </w:rPr>
              <w:t>公司架构、管理制度全面完善，运作流程具体科学的，得</w:t>
            </w:r>
            <w:r>
              <w:rPr>
                <w:rFonts w:hint="eastAsia" w:ascii="宋体" w:hAnsi="宋体"/>
                <w:color w:val="auto"/>
                <w:szCs w:val="21"/>
                <w:lang w:val="en-US" w:eastAsia="zh-CN"/>
              </w:rPr>
              <w:t>15</w:t>
            </w:r>
            <w:r>
              <w:rPr>
                <w:rFonts w:ascii="宋体" w:hAnsi="宋体"/>
                <w:color w:val="auto"/>
                <w:szCs w:val="21"/>
              </w:rPr>
              <w:t>分；</w:t>
            </w:r>
          </w:p>
          <w:p>
            <w:pPr>
              <w:adjustRightInd w:val="0"/>
              <w:snapToGrid w:val="0"/>
              <w:spacing w:beforeLines="20" w:afterLines="20"/>
              <w:rPr>
                <w:rFonts w:ascii="宋体" w:hAnsi="宋体"/>
                <w:color w:val="auto"/>
                <w:szCs w:val="21"/>
              </w:rPr>
            </w:pPr>
            <w:r>
              <w:rPr>
                <w:rFonts w:ascii="宋体" w:hAnsi="宋体"/>
                <w:color w:val="auto"/>
                <w:szCs w:val="21"/>
              </w:rPr>
              <w:t>公司架构、管理制度基本完善，运作流程基本合理可行的，得</w:t>
            </w:r>
            <w:r>
              <w:rPr>
                <w:rFonts w:hint="eastAsia" w:ascii="宋体" w:hAnsi="宋体"/>
                <w:color w:val="auto"/>
                <w:szCs w:val="21"/>
                <w:lang w:val="en-US" w:eastAsia="zh-CN"/>
              </w:rPr>
              <w:t>8</w:t>
            </w:r>
            <w:r>
              <w:rPr>
                <w:rFonts w:ascii="宋体" w:hAnsi="宋体"/>
                <w:color w:val="auto"/>
                <w:szCs w:val="21"/>
              </w:rPr>
              <w:t>分；</w:t>
            </w:r>
          </w:p>
          <w:p>
            <w:pPr>
              <w:adjustRightInd w:val="0"/>
              <w:snapToGrid w:val="0"/>
              <w:ind w:left="-63" w:leftChars="-30" w:right="-88" w:rightChars="-42"/>
              <w:rPr>
                <w:rFonts w:ascii="宋体" w:hAnsi="宋体"/>
                <w:color w:val="auto"/>
                <w:szCs w:val="21"/>
              </w:rPr>
            </w:pPr>
            <w:r>
              <w:rPr>
                <w:rFonts w:ascii="宋体" w:hAnsi="宋体"/>
                <w:color w:val="auto"/>
                <w:szCs w:val="21"/>
              </w:rPr>
              <w:t>公司架构、管理制度不完善，运作流程不合理的为差，得</w:t>
            </w:r>
            <w:r>
              <w:rPr>
                <w:rFonts w:hint="eastAsia" w:ascii="宋体" w:hAnsi="宋体"/>
                <w:color w:val="auto"/>
                <w:szCs w:val="21"/>
                <w:lang w:val="en-US" w:eastAsia="zh-CN"/>
              </w:rPr>
              <w:t>2</w:t>
            </w:r>
            <w:r>
              <w:rPr>
                <w:rFonts w:ascii="宋体" w:hAnsi="宋体"/>
                <w:color w:val="auto"/>
                <w:szCs w:val="21"/>
              </w:rPr>
              <w:t>分</w:t>
            </w:r>
            <w:r>
              <w:rPr>
                <w:rFonts w:hint="eastAsia" w:ascii="宋体" w:hAnsi="宋体"/>
                <w:color w:val="auto"/>
                <w:szCs w:val="21"/>
              </w:rPr>
              <w:t>；</w:t>
            </w:r>
          </w:p>
          <w:p>
            <w:pPr>
              <w:pStyle w:val="18"/>
              <w:adjustRightInd w:val="0"/>
              <w:snapToGrid w:val="0"/>
              <w:rPr>
                <w:rFonts w:ascii="宋体" w:hAnsi="宋体"/>
                <w:color w:val="auto"/>
                <w:szCs w:val="21"/>
              </w:rPr>
            </w:pPr>
            <w:r>
              <w:rPr>
                <w:rFonts w:hint="eastAsia" w:ascii="宋体" w:hAnsi="宋体"/>
                <w:color w:val="auto"/>
                <w:szCs w:val="21"/>
              </w:rPr>
              <w:t>无或其他不得分。</w:t>
            </w:r>
          </w:p>
        </w:tc>
        <w:tc>
          <w:tcPr>
            <w:tcW w:w="708" w:type="dxa"/>
            <w:tcBorders>
              <w:right w:val="single" w:color="auto" w:sz="4" w:space="0"/>
            </w:tcBorders>
            <w:vAlign w:val="center"/>
          </w:tcPr>
          <w:p>
            <w:pPr>
              <w:adjustRightInd w:val="0"/>
              <w:snapToGrid w:val="0"/>
              <w:ind w:left="-78" w:leftChars="-37" w:right="-73" w:rightChars="-35"/>
              <w:jc w:val="center"/>
              <w:rPr>
                <w:rFonts w:ascii="宋体" w:hAnsi="宋体" w:cs="宋体"/>
                <w:color w:val="auto"/>
                <w:szCs w:val="21"/>
              </w:rPr>
            </w:pPr>
            <w:r>
              <w:rPr>
                <w:rFonts w:hint="eastAsia" w:ascii="宋体" w:hAnsi="宋体" w:cs="宋体"/>
                <w:color w:val="auto"/>
                <w:szCs w:val="21"/>
                <w:lang w:val="en-US" w:eastAsia="zh-CN"/>
              </w:rPr>
              <w:t>15</w:t>
            </w:r>
            <w:r>
              <w:rPr>
                <w:rFonts w:hint="eastAsia" w:ascii="宋体" w:hAnsi="宋体" w:cs="宋体"/>
                <w:color w:val="auto"/>
                <w:szCs w:val="21"/>
              </w:rPr>
              <w:t>%</w:t>
            </w:r>
          </w:p>
        </w:tc>
        <w:tc>
          <w:tcPr>
            <w:tcW w:w="797" w:type="dxa"/>
            <w:tcBorders>
              <w:left w:val="single" w:color="auto" w:sz="4" w:space="0"/>
              <w:right w:val="single" w:color="auto" w:sz="12" w:space="0"/>
            </w:tcBorders>
            <w:vAlign w:val="center"/>
          </w:tcPr>
          <w:p>
            <w:pPr>
              <w:adjustRightInd w:val="0"/>
              <w:snapToGrid w:val="0"/>
              <w:ind w:left="-78" w:leftChars="-37" w:right="-73" w:rightChars="-35"/>
              <w:jc w:val="center"/>
              <w:rPr>
                <w:rFonts w:ascii="宋体" w:hAnsi="宋体" w:cs="宋体"/>
                <w:color w:val="auto"/>
                <w:szCs w:val="21"/>
              </w:rPr>
            </w:pPr>
            <w:r>
              <w:rPr>
                <w:rFonts w:hint="eastAsia" w:ascii="宋体" w:hAnsi="宋体" w:cs="宋体"/>
                <w:color w:val="auto"/>
                <w:szCs w:val="21"/>
                <w:lang w:val="en-US" w:eastAsia="zh-CN"/>
              </w:rPr>
              <w:t>15</w:t>
            </w:r>
            <w:r>
              <w:rPr>
                <w:rFonts w:hint="eastAsia" w:ascii="宋体" w:hAnsi="宋体" w:cs="宋体"/>
                <w:color w:val="auto"/>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9" w:hRule="atLeast"/>
        </w:trPr>
        <w:tc>
          <w:tcPr>
            <w:tcW w:w="747" w:type="dxa"/>
            <w:tcBorders>
              <w:top w:val="single" w:color="auto" w:sz="4" w:space="0"/>
              <w:left w:val="single" w:color="auto" w:sz="12" w:space="0"/>
              <w:bottom w:val="single" w:color="auto" w:sz="4" w:space="0"/>
            </w:tcBorders>
            <w:vAlign w:val="center"/>
          </w:tcPr>
          <w:p>
            <w:pPr>
              <w:pStyle w:val="90"/>
              <w:numPr>
                <w:ilvl w:val="0"/>
                <w:numId w:val="12"/>
              </w:numPr>
              <w:tabs>
                <w:tab w:val="clear" w:pos="420"/>
              </w:tabs>
              <w:adjustRightInd w:val="0"/>
              <w:snapToGrid w:val="0"/>
              <w:ind w:firstLineChars="0"/>
              <w:jc w:val="center"/>
              <w:rPr>
                <w:rFonts w:ascii="宋体" w:hAnsi="宋体"/>
                <w:color w:val="auto"/>
                <w:szCs w:val="21"/>
              </w:rPr>
            </w:pPr>
          </w:p>
        </w:tc>
        <w:tc>
          <w:tcPr>
            <w:tcW w:w="1606" w:type="dxa"/>
            <w:vAlign w:val="center"/>
          </w:tcPr>
          <w:p>
            <w:pPr>
              <w:adjustRightInd w:val="0"/>
              <w:snapToGrid w:val="0"/>
              <w:ind w:left="-63" w:leftChars="-30" w:right="-88" w:rightChars="-42"/>
              <w:jc w:val="center"/>
              <w:rPr>
                <w:rFonts w:ascii="宋体" w:hAnsi="宋体" w:cs="宋体"/>
                <w:color w:val="auto"/>
                <w:szCs w:val="21"/>
              </w:rPr>
            </w:pPr>
            <w:r>
              <w:rPr>
                <w:rFonts w:hint="eastAsia" w:ascii="宋体" w:hAnsi="宋体" w:cs="宋体"/>
                <w:color w:val="auto"/>
                <w:szCs w:val="21"/>
              </w:rPr>
              <w:t>ISO体系证书</w:t>
            </w:r>
          </w:p>
        </w:tc>
        <w:tc>
          <w:tcPr>
            <w:tcW w:w="5996" w:type="dxa"/>
            <w:vAlign w:val="center"/>
          </w:tcPr>
          <w:p>
            <w:pPr>
              <w:autoSpaceDE w:val="0"/>
              <w:autoSpaceDN w:val="0"/>
              <w:adjustRightInd w:val="0"/>
              <w:snapToGrid w:val="0"/>
              <w:rPr>
                <w:rFonts w:ascii="宋体" w:hAnsi="宋体" w:cs="宋体"/>
                <w:color w:val="auto"/>
                <w:szCs w:val="21"/>
              </w:rPr>
            </w:pPr>
            <w:r>
              <w:rPr>
                <w:rFonts w:hint="eastAsia" w:ascii="宋体" w:hAnsi="宋体" w:cs="宋体"/>
                <w:color w:val="auto"/>
                <w:szCs w:val="21"/>
              </w:rPr>
              <w:t>①有效期内的质量管理体系认证②有效期内的环境管理体系认证③有效期内的职业健康安全体系证书。</w:t>
            </w:r>
          </w:p>
          <w:p>
            <w:pPr>
              <w:autoSpaceDE w:val="0"/>
              <w:autoSpaceDN w:val="0"/>
              <w:adjustRightInd w:val="0"/>
              <w:snapToGrid w:val="0"/>
              <w:rPr>
                <w:rFonts w:ascii="宋体" w:hAnsi="宋体" w:cs="宋体"/>
                <w:color w:val="auto"/>
                <w:szCs w:val="21"/>
              </w:rPr>
            </w:pPr>
            <w:r>
              <w:rPr>
                <w:rFonts w:hint="eastAsia" w:ascii="宋体" w:hAnsi="宋体" w:cs="宋体"/>
                <w:color w:val="auto"/>
                <w:szCs w:val="21"/>
              </w:rPr>
              <w:t>具有3项得</w:t>
            </w:r>
            <w:r>
              <w:rPr>
                <w:rFonts w:hint="eastAsia" w:ascii="宋体" w:hAnsi="宋体" w:cs="宋体"/>
                <w:color w:val="auto"/>
                <w:szCs w:val="21"/>
                <w:lang w:val="en-US" w:eastAsia="zh-CN"/>
              </w:rPr>
              <w:t>5</w:t>
            </w:r>
            <w:r>
              <w:rPr>
                <w:rFonts w:hint="eastAsia" w:ascii="宋体" w:hAnsi="宋体" w:cs="宋体"/>
                <w:color w:val="auto"/>
                <w:szCs w:val="21"/>
              </w:rPr>
              <w:t>分，具有2项得</w:t>
            </w:r>
            <w:r>
              <w:rPr>
                <w:rFonts w:hint="eastAsia" w:ascii="宋体" w:hAnsi="宋体" w:cs="宋体"/>
                <w:color w:val="auto"/>
                <w:szCs w:val="21"/>
                <w:lang w:val="en-US" w:eastAsia="zh-CN"/>
              </w:rPr>
              <w:t>3</w:t>
            </w:r>
            <w:r>
              <w:rPr>
                <w:rFonts w:hint="eastAsia" w:ascii="宋体" w:hAnsi="宋体" w:cs="宋体"/>
                <w:color w:val="auto"/>
                <w:szCs w:val="21"/>
              </w:rPr>
              <w:t>分，具有1项得</w:t>
            </w:r>
            <w:r>
              <w:rPr>
                <w:rFonts w:hint="eastAsia" w:ascii="宋体" w:hAnsi="宋体" w:cs="宋体"/>
                <w:color w:val="auto"/>
                <w:szCs w:val="21"/>
                <w:lang w:val="en-US" w:eastAsia="zh-CN"/>
              </w:rPr>
              <w:t>1</w:t>
            </w:r>
            <w:r>
              <w:rPr>
                <w:rFonts w:hint="eastAsia" w:ascii="宋体" w:hAnsi="宋体" w:cs="宋体"/>
                <w:color w:val="auto"/>
                <w:szCs w:val="21"/>
              </w:rPr>
              <w:t>分，无不得分。</w:t>
            </w:r>
          </w:p>
          <w:p>
            <w:pPr>
              <w:widowControl/>
              <w:adjustRightInd w:val="0"/>
              <w:snapToGrid w:val="0"/>
              <w:rPr>
                <w:rFonts w:ascii="宋体" w:hAnsi="宋体"/>
                <w:color w:val="auto"/>
                <w:szCs w:val="21"/>
              </w:rPr>
            </w:pPr>
            <w:r>
              <w:rPr>
                <w:rFonts w:hint="eastAsia" w:ascii="宋体" w:hAnsi="宋体" w:cs="宋体"/>
                <w:color w:val="auto"/>
                <w:szCs w:val="21"/>
              </w:rPr>
              <w:t>备注：提供认证证书复印件加盖公章，</w:t>
            </w:r>
            <w:r>
              <w:rPr>
                <w:rFonts w:hint="eastAsia" w:ascii="宋体" w:hAnsi="宋体" w:cs="宋体"/>
                <w:color w:val="auto"/>
                <w:szCs w:val="21"/>
                <w:lang w:eastAsia="zh-CN"/>
              </w:rPr>
              <w:t>未提供不得分。证书</w:t>
            </w:r>
            <w:r>
              <w:rPr>
                <w:rFonts w:hint="eastAsia" w:ascii="宋体" w:hAnsi="宋体" w:cs="宋体"/>
                <w:color w:val="auto"/>
                <w:szCs w:val="21"/>
              </w:rPr>
              <w:t>原件备查。</w:t>
            </w:r>
          </w:p>
        </w:tc>
        <w:tc>
          <w:tcPr>
            <w:tcW w:w="708" w:type="dxa"/>
            <w:tcBorders>
              <w:right w:val="single" w:color="auto" w:sz="4" w:space="0"/>
            </w:tcBorders>
            <w:vAlign w:val="center"/>
          </w:tcPr>
          <w:p>
            <w:pPr>
              <w:adjustRightInd w:val="0"/>
              <w:snapToGrid w:val="0"/>
              <w:ind w:left="-78" w:leftChars="-37" w:right="-73" w:rightChars="-35"/>
              <w:jc w:val="center"/>
              <w:rPr>
                <w:rFonts w:ascii="宋体" w:hAnsi="宋体" w:cs="宋体"/>
                <w:color w:val="auto"/>
                <w:szCs w:val="21"/>
              </w:rPr>
            </w:pPr>
            <w:r>
              <w:rPr>
                <w:rFonts w:hint="eastAsia" w:ascii="宋体" w:hAnsi="宋体" w:cs="宋体"/>
                <w:color w:val="auto"/>
                <w:szCs w:val="21"/>
                <w:lang w:val="en-US" w:eastAsia="zh-CN"/>
              </w:rPr>
              <w:t>5</w:t>
            </w:r>
            <w:r>
              <w:rPr>
                <w:rFonts w:hint="eastAsia" w:ascii="宋体" w:hAnsi="宋体" w:cs="宋体"/>
                <w:color w:val="auto"/>
                <w:szCs w:val="21"/>
              </w:rPr>
              <w:t>%</w:t>
            </w:r>
          </w:p>
        </w:tc>
        <w:tc>
          <w:tcPr>
            <w:tcW w:w="797" w:type="dxa"/>
            <w:tcBorders>
              <w:left w:val="single" w:color="auto" w:sz="4" w:space="0"/>
              <w:right w:val="single" w:color="auto" w:sz="12" w:space="0"/>
            </w:tcBorders>
            <w:vAlign w:val="center"/>
          </w:tcPr>
          <w:p>
            <w:pPr>
              <w:adjustRightInd w:val="0"/>
              <w:snapToGrid w:val="0"/>
              <w:ind w:left="-78" w:leftChars="-37" w:right="-73" w:rightChars="-35"/>
              <w:jc w:val="center"/>
              <w:rPr>
                <w:rFonts w:ascii="宋体" w:hAnsi="宋体" w:cs="宋体"/>
                <w:color w:val="auto"/>
                <w:szCs w:val="21"/>
              </w:rPr>
            </w:pPr>
            <w:r>
              <w:rPr>
                <w:rFonts w:hint="eastAsia" w:ascii="宋体" w:hAnsi="宋体" w:cs="宋体"/>
                <w:color w:val="auto"/>
                <w:szCs w:val="21"/>
                <w:lang w:val="en-US" w:eastAsia="zh-CN"/>
              </w:rPr>
              <w:t>5</w:t>
            </w:r>
            <w:r>
              <w:rPr>
                <w:rFonts w:hint="eastAsia" w:ascii="宋体" w:hAnsi="宋体" w:cs="宋体"/>
                <w:color w:val="auto"/>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3" w:hRule="atLeast"/>
        </w:trPr>
        <w:tc>
          <w:tcPr>
            <w:tcW w:w="747" w:type="dxa"/>
            <w:tcBorders>
              <w:top w:val="single" w:color="auto" w:sz="4" w:space="0"/>
              <w:left w:val="single" w:color="auto" w:sz="12" w:space="0"/>
            </w:tcBorders>
            <w:vAlign w:val="center"/>
          </w:tcPr>
          <w:p>
            <w:pPr>
              <w:widowControl/>
              <w:adjustRightInd w:val="0"/>
              <w:snapToGrid w:val="0"/>
              <w:jc w:val="center"/>
              <w:rPr>
                <w:rFonts w:ascii="宋体" w:hAnsi="宋体" w:cs="宋体"/>
                <w:b/>
                <w:color w:val="auto"/>
                <w:szCs w:val="21"/>
              </w:rPr>
            </w:pPr>
            <w:r>
              <w:rPr>
                <w:rFonts w:hint="eastAsia" w:ascii="宋体" w:hAnsi="宋体" w:cs="宋体"/>
                <w:b/>
                <w:color w:val="auto"/>
                <w:szCs w:val="21"/>
              </w:rPr>
              <w:t>三</w:t>
            </w:r>
          </w:p>
        </w:tc>
        <w:tc>
          <w:tcPr>
            <w:tcW w:w="9107" w:type="dxa"/>
            <w:gridSpan w:val="4"/>
            <w:tcBorders>
              <w:right w:val="single" w:color="auto" w:sz="12" w:space="0"/>
            </w:tcBorders>
            <w:vAlign w:val="center"/>
          </w:tcPr>
          <w:p>
            <w:pPr>
              <w:widowControl/>
              <w:adjustRightInd w:val="0"/>
              <w:snapToGrid w:val="0"/>
              <w:ind w:left="-78" w:leftChars="-37" w:right="-73" w:rightChars="-35"/>
              <w:jc w:val="center"/>
              <w:rPr>
                <w:rFonts w:ascii="宋体" w:hAnsi="宋体" w:cs="宋体"/>
                <w:b/>
                <w:color w:val="auto"/>
                <w:szCs w:val="21"/>
              </w:rPr>
            </w:pPr>
            <w:r>
              <w:rPr>
                <w:rFonts w:hint="eastAsia" w:ascii="宋体" w:hAnsi="宋体" w:cs="宋体"/>
                <w:b/>
                <w:color w:val="auto"/>
                <w:szCs w:val="21"/>
              </w:rPr>
              <w:t>价格部分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61" w:hRule="atLeast"/>
        </w:trPr>
        <w:tc>
          <w:tcPr>
            <w:tcW w:w="747" w:type="dxa"/>
            <w:tcBorders>
              <w:lef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1</w:t>
            </w:r>
          </w:p>
        </w:tc>
        <w:tc>
          <w:tcPr>
            <w:tcW w:w="1606" w:type="dxa"/>
            <w:vAlign w:val="center"/>
          </w:tcPr>
          <w:p>
            <w:pPr>
              <w:adjustRightInd w:val="0"/>
              <w:snapToGrid w:val="0"/>
              <w:jc w:val="center"/>
              <w:rPr>
                <w:rFonts w:ascii="宋体" w:hAnsi="宋体"/>
                <w:color w:val="auto"/>
                <w:szCs w:val="21"/>
              </w:rPr>
            </w:pPr>
            <w:r>
              <w:rPr>
                <w:rFonts w:hint="eastAsia" w:ascii="宋体" w:hAnsi="宋体"/>
                <w:color w:val="auto"/>
                <w:szCs w:val="21"/>
              </w:rPr>
              <w:t>投标报价</w:t>
            </w:r>
          </w:p>
        </w:tc>
        <w:tc>
          <w:tcPr>
            <w:tcW w:w="5996" w:type="dxa"/>
            <w:vAlign w:val="center"/>
          </w:tcPr>
          <w:p>
            <w:pPr>
              <w:autoSpaceDE w:val="0"/>
              <w:autoSpaceDN w:val="0"/>
              <w:adjustRightInd w:val="0"/>
              <w:snapToGrid w:val="0"/>
              <w:rPr>
                <w:rFonts w:ascii="宋体" w:hAnsi="宋体" w:cs="宋体"/>
                <w:color w:val="auto"/>
                <w:kern w:val="0"/>
                <w:szCs w:val="21"/>
              </w:rPr>
            </w:pPr>
            <w:r>
              <w:rPr>
                <w:rFonts w:ascii="宋体" w:hAnsi="宋体" w:cs="宋体"/>
                <w:color w:val="auto"/>
                <w:kern w:val="0"/>
                <w:szCs w:val="21"/>
              </w:rPr>
              <w:t>价格分</w:t>
            </w:r>
            <w:r>
              <w:rPr>
                <w:rFonts w:hint="eastAsia" w:ascii="宋体" w:hAnsi="宋体" w:cs="宋体"/>
                <w:color w:val="auto"/>
                <w:kern w:val="0"/>
                <w:szCs w:val="21"/>
              </w:rPr>
              <w:t>应当采用低价优先法计算，即满足招标文件要求且投标价格最低的投标报价为评标基准价，其价格分为满分。其他投标人的价格分统一按照下列公式计算：</w:t>
            </w:r>
          </w:p>
          <w:p>
            <w:pPr>
              <w:widowControl/>
              <w:adjustRightInd w:val="0"/>
              <w:snapToGrid w:val="0"/>
              <w:jc w:val="left"/>
              <w:rPr>
                <w:rFonts w:ascii="宋体" w:hAnsi="宋体" w:cs="宋体"/>
                <w:b/>
                <w:color w:val="auto"/>
                <w:kern w:val="0"/>
                <w:szCs w:val="21"/>
              </w:rPr>
            </w:pPr>
            <w:r>
              <w:rPr>
                <w:rFonts w:hint="eastAsia" w:ascii="宋体" w:hAnsi="宋体" w:cs="宋体"/>
                <w:b/>
                <w:color w:val="auto"/>
                <w:kern w:val="0"/>
                <w:szCs w:val="21"/>
              </w:rPr>
              <w:t>投标报价得分=(评标基准价／投标报价)×100×价格权重。</w:t>
            </w:r>
          </w:p>
          <w:p>
            <w:pPr>
              <w:widowControl/>
              <w:adjustRightInd w:val="0"/>
              <w:snapToGrid w:val="0"/>
              <w:jc w:val="left"/>
              <w:rPr>
                <w:rFonts w:ascii="宋体" w:hAnsi="宋体"/>
                <w:bCs/>
                <w:color w:val="auto"/>
                <w:szCs w:val="21"/>
              </w:rPr>
            </w:pPr>
            <w:r>
              <w:rPr>
                <w:rFonts w:hint="eastAsia" w:ascii="宋体" w:hAnsi="宋体"/>
                <w:bCs/>
                <w:color w:val="auto"/>
                <w:szCs w:val="21"/>
              </w:rPr>
              <w:t>备注：</w:t>
            </w:r>
          </w:p>
          <w:p>
            <w:pPr>
              <w:widowControl/>
              <w:numPr>
                <w:ilvl w:val="0"/>
                <w:numId w:val="13"/>
              </w:numPr>
              <w:adjustRightInd w:val="0"/>
              <w:snapToGrid w:val="0"/>
              <w:jc w:val="left"/>
              <w:rPr>
                <w:rFonts w:ascii="宋体" w:hAnsi="宋体"/>
                <w:bCs/>
                <w:color w:val="auto"/>
                <w:szCs w:val="21"/>
              </w:rPr>
            </w:pPr>
            <w:r>
              <w:rPr>
                <w:rFonts w:hint="eastAsia" w:ascii="宋体" w:hAnsi="宋体"/>
                <w:bCs/>
                <w:color w:val="auto"/>
                <w:szCs w:val="21"/>
              </w:rPr>
              <w:t>因落实政府采购政策进行价格调整的，以调整后的价格计算评标基准价和投标报价,详见《政府采购政策说明》；</w:t>
            </w:r>
          </w:p>
          <w:p>
            <w:pPr>
              <w:widowControl/>
              <w:numPr>
                <w:ilvl w:val="0"/>
                <w:numId w:val="13"/>
              </w:numPr>
              <w:adjustRightInd w:val="0"/>
              <w:snapToGrid w:val="0"/>
              <w:jc w:val="left"/>
              <w:rPr>
                <w:rFonts w:ascii="宋体" w:hAnsi="宋体" w:cs="宋体"/>
                <w:color w:val="auto"/>
                <w:szCs w:val="21"/>
              </w:rPr>
            </w:pPr>
            <w:r>
              <w:rPr>
                <w:rFonts w:hint="eastAsia" w:ascii="宋体" w:hAnsi="宋体"/>
                <w:bCs/>
                <w:color w:val="auto"/>
                <w:szCs w:val="21"/>
              </w:rPr>
              <w:t>投标报价得分四舍五入后，</w:t>
            </w:r>
            <w:r>
              <w:rPr>
                <w:rFonts w:hint="eastAsia" w:ascii="宋体" w:hAnsi="宋体" w:cs="Arial"/>
                <w:color w:val="auto"/>
                <w:szCs w:val="21"/>
              </w:rPr>
              <w:t>小数点后保留两位有效数</w:t>
            </w:r>
            <w:r>
              <w:rPr>
                <w:rFonts w:hint="eastAsia" w:ascii="宋体" w:hAnsi="宋体"/>
                <w:bCs/>
                <w:color w:val="auto"/>
                <w:szCs w:val="21"/>
              </w:rPr>
              <w:t>。</w:t>
            </w:r>
          </w:p>
        </w:tc>
        <w:tc>
          <w:tcPr>
            <w:tcW w:w="708" w:type="dxa"/>
            <w:tcBorders>
              <w:right w:val="single" w:color="auto" w:sz="4" w:space="0"/>
            </w:tcBorders>
            <w:vAlign w:val="center"/>
          </w:tcPr>
          <w:p>
            <w:pPr>
              <w:adjustRightInd w:val="0"/>
              <w:snapToGrid w:val="0"/>
              <w:ind w:left="-78" w:leftChars="-37" w:right="-73" w:rightChars="-35"/>
              <w:jc w:val="center"/>
              <w:rPr>
                <w:rFonts w:ascii="宋体" w:hAnsi="宋体" w:cs="宋体"/>
                <w:color w:val="auto"/>
                <w:szCs w:val="21"/>
              </w:rPr>
            </w:pPr>
            <w:r>
              <w:rPr>
                <w:rFonts w:hint="eastAsia" w:ascii="宋体" w:hAnsi="宋体" w:cs="宋体"/>
                <w:color w:val="auto"/>
                <w:szCs w:val="21"/>
              </w:rPr>
              <w:t>25</w:t>
            </w:r>
            <w:r>
              <w:rPr>
                <w:rFonts w:hint="eastAsia" w:ascii="宋体" w:hAnsi="宋体" w:cs="宋体"/>
                <w:color w:val="auto"/>
                <w:szCs w:val="21"/>
              </w:rPr>
              <w:t>%</w:t>
            </w:r>
          </w:p>
        </w:tc>
        <w:tc>
          <w:tcPr>
            <w:tcW w:w="797" w:type="dxa"/>
            <w:tcBorders>
              <w:left w:val="single" w:color="auto" w:sz="4" w:space="0"/>
              <w:right w:val="single" w:color="auto" w:sz="12" w:space="0"/>
            </w:tcBorders>
            <w:vAlign w:val="center"/>
          </w:tcPr>
          <w:p>
            <w:pPr>
              <w:adjustRightInd w:val="0"/>
              <w:snapToGrid w:val="0"/>
              <w:ind w:left="-78" w:leftChars="-37" w:right="-73" w:rightChars="-35"/>
              <w:jc w:val="center"/>
              <w:rPr>
                <w:rFonts w:ascii="宋体" w:hAnsi="宋体" w:cs="宋体"/>
                <w:color w:val="auto"/>
                <w:szCs w:val="21"/>
              </w:rPr>
            </w:pPr>
            <w:r>
              <w:rPr>
                <w:rFonts w:hint="eastAsia" w:ascii="宋体" w:hAnsi="宋体" w:cs="宋体"/>
                <w:color w:val="auto"/>
                <w:szCs w:val="21"/>
              </w:rPr>
              <w:t>25</w:t>
            </w:r>
            <w:r>
              <w:rPr>
                <w:rFonts w:hint="eastAsia" w:ascii="宋体" w:hAnsi="宋体" w:cs="宋体"/>
                <w:color w:val="auto"/>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3" w:hRule="atLeast"/>
        </w:trPr>
        <w:tc>
          <w:tcPr>
            <w:tcW w:w="8349" w:type="dxa"/>
            <w:gridSpan w:val="3"/>
            <w:tcBorders>
              <w:left w:val="single" w:color="auto" w:sz="12" w:space="0"/>
              <w:bottom w:val="single" w:color="auto" w:sz="12" w:space="0"/>
            </w:tcBorders>
            <w:vAlign w:val="center"/>
          </w:tcPr>
          <w:p>
            <w:pPr>
              <w:adjustRightInd w:val="0"/>
              <w:snapToGrid w:val="0"/>
              <w:ind w:left="-78" w:leftChars="-37" w:right="-73" w:rightChars="-35"/>
              <w:jc w:val="center"/>
              <w:rPr>
                <w:rFonts w:ascii="宋体" w:hAnsi="宋体" w:cs="宋体"/>
                <w:b/>
                <w:color w:val="auto"/>
                <w:szCs w:val="21"/>
              </w:rPr>
            </w:pPr>
            <w:r>
              <w:rPr>
                <w:rFonts w:hint="eastAsia" w:ascii="宋体" w:hAnsi="宋体"/>
                <w:b/>
                <w:color w:val="auto"/>
                <w:szCs w:val="21"/>
              </w:rPr>
              <w:t>合计</w:t>
            </w:r>
          </w:p>
        </w:tc>
        <w:tc>
          <w:tcPr>
            <w:tcW w:w="708" w:type="dxa"/>
            <w:tcBorders>
              <w:bottom w:val="single" w:color="auto" w:sz="12" w:space="0"/>
              <w:right w:val="single" w:color="auto" w:sz="4" w:space="0"/>
            </w:tcBorders>
            <w:vAlign w:val="center"/>
          </w:tcPr>
          <w:p>
            <w:pPr>
              <w:adjustRightInd w:val="0"/>
              <w:snapToGrid w:val="0"/>
              <w:ind w:left="-78" w:leftChars="-37" w:right="-73" w:rightChars="-35"/>
              <w:jc w:val="center"/>
              <w:rPr>
                <w:rFonts w:ascii="宋体" w:hAnsi="宋体" w:cs="宋体"/>
                <w:b/>
                <w:color w:val="auto"/>
                <w:szCs w:val="21"/>
              </w:rPr>
            </w:pPr>
            <w:r>
              <w:rPr>
                <w:rFonts w:hint="eastAsia" w:ascii="宋体" w:hAnsi="宋体" w:cs="宋体"/>
                <w:b/>
                <w:color w:val="auto"/>
                <w:szCs w:val="21"/>
              </w:rPr>
              <w:t>100%</w:t>
            </w:r>
          </w:p>
        </w:tc>
        <w:tc>
          <w:tcPr>
            <w:tcW w:w="797" w:type="dxa"/>
            <w:tcBorders>
              <w:left w:val="single" w:color="auto" w:sz="4" w:space="0"/>
              <w:bottom w:val="single" w:color="auto" w:sz="12" w:space="0"/>
              <w:right w:val="single" w:color="auto" w:sz="12" w:space="0"/>
            </w:tcBorders>
            <w:vAlign w:val="center"/>
          </w:tcPr>
          <w:p>
            <w:pPr>
              <w:adjustRightInd w:val="0"/>
              <w:snapToGrid w:val="0"/>
              <w:ind w:left="-78" w:leftChars="-37" w:right="-73" w:rightChars="-35"/>
              <w:jc w:val="center"/>
              <w:rPr>
                <w:rFonts w:ascii="宋体" w:hAnsi="宋体" w:cs="宋体"/>
                <w:b/>
                <w:color w:val="auto"/>
                <w:szCs w:val="21"/>
              </w:rPr>
            </w:pPr>
            <w:r>
              <w:rPr>
                <w:rFonts w:hint="eastAsia" w:ascii="宋体" w:hAnsi="宋体" w:cs="宋体"/>
                <w:b/>
                <w:color w:val="auto"/>
                <w:szCs w:val="21"/>
              </w:rPr>
              <w:t>100分</w:t>
            </w:r>
          </w:p>
        </w:tc>
      </w:tr>
    </w:tbl>
    <w:p>
      <w:pPr>
        <w:adjustRightInd w:val="0"/>
        <w:snapToGrid w:val="0"/>
        <w:spacing w:line="360" w:lineRule="auto"/>
        <w:jc w:val="center"/>
        <w:outlineLvl w:val="1"/>
        <w:rPr>
          <w:rFonts w:ascii="黑体" w:hAnsi="宋体" w:eastAsia="黑体" w:cs="宋体"/>
          <w:color w:val="auto"/>
          <w:sz w:val="28"/>
          <w:szCs w:val="28"/>
        </w:rPr>
        <w:sectPr>
          <w:pgSz w:w="11906" w:h="16838"/>
          <w:pgMar w:top="1440" w:right="1286" w:bottom="1440" w:left="1440" w:header="851" w:footer="992" w:gutter="0"/>
          <w:cols w:space="720" w:num="1"/>
          <w:docGrid w:type="lines" w:linePitch="312" w:charSpace="0"/>
        </w:sectPr>
      </w:pPr>
    </w:p>
    <w:p>
      <w:pPr>
        <w:jc w:val="center"/>
        <w:outlineLvl w:val="1"/>
        <w:rPr>
          <w:b/>
          <w:color w:val="auto"/>
          <w:sz w:val="28"/>
        </w:rPr>
      </w:pPr>
      <w:r>
        <w:rPr>
          <w:rFonts w:hint="eastAsia"/>
          <w:b/>
          <w:color w:val="auto"/>
          <w:sz w:val="28"/>
        </w:rPr>
        <w:t>政府采购政策说明</w:t>
      </w:r>
    </w:p>
    <w:p>
      <w:pPr>
        <w:pStyle w:val="18"/>
        <w:numPr>
          <w:ilvl w:val="0"/>
          <w:numId w:val="14"/>
        </w:numPr>
        <w:tabs>
          <w:tab w:val="left" w:pos="142"/>
          <w:tab w:val="left" w:pos="567"/>
        </w:tabs>
        <w:adjustRightInd w:val="0"/>
        <w:snapToGrid w:val="0"/>
        <w:spacing w:after="0" w:line="360" w:lineRule="auto"/>
        <w:ind w:left="0" w:firstLine="0"/>
        <w:rPr>
          <w:rFonts w:asciiTheme="minorEastAsia" w:hAnsiTheme="minorEastAsia" w:eastAsiaTheme="minorEastAsia"/>
          <w:color w:val="auto"/>
          <w:szCs w:val="21"/>
        </w:rPr>
      </w:pPr>
      <w:r>
        <w:rPr>
          <w:rFonts w:hint="eastAsia" w:asciiTheme="minorEastAsia" w:hAnsiTheme="minorEastAsia" w:eastAsiaTheme="minorEastAsia"/>
          <w:b/>
          <w:bCs/>
          <w:color w:val="auto"/>
          <w:szCs w:val="21"/>
        </w:rPr>
        <w:t>政策功能说明</w:t>
      </w:r>
    </w:p>
    <w:p>
      <w:pPr>
        <w:pStyle w:val="90"/>
        <w:widowControl/>
        <w:numPr>
          <w:ilvl w:val="1"/>
          <w:numId w:val="15"/>
        </w:numPr>
        <w:adjustRightInd w:val="0"/>
        <w:snapToGrid w:val="0"/>
        <w:spacing w:line="360" w:lineRule="auto"/>
        <w:ind w:left="420" w:hangingChars="200"/>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在政府采购活动中，供应商提供的货物、工程或者服务符合下列情形的，享受《政府采购促进中小企业发展管理办法》规定的中小企业扶持政策：</w:t>
      </w:r>
    </w:p>
    <w:p>
      <w:pPr>
        <w:pStyle w:val="90"/>
        <w:widowControl/>
        <w:numPr>
          <w:ilvl w:val="0"/>
          <w:numId w:val="16"/>
        </w:numPr>
        <w:adjustRightInd w:val="0"/>
        <w:snapToGrid w:val="0"/>
        <w:spacing w:line="360" w:lineRule="auto"/>
        <w:ind w:left="105" w:hanging="105" w:hangingChars="50"/>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在货物采购项目中，货物由中小企业制造，即货物由中小企业生产且使用该中小企业商号或者注册商标；</w:t>
      </w:r>
    </w:p>
    <w:p>
      <w:pPr>
        <w:pStyle w:val="90"/>
        <w:widowControl/>
        <w:numPr>
          <w:ilvl w:val="0"/>
          <w:numId w:val="16"/>
        </w:numPr>
        <w:adjustRightInd w:val="0"/>
        <w:snapToGrid w:val="0"/>
        <w:spacing w:line="360" w:lineRule="auto"/>
        <w:ind w:left="105" w:hanging="105" w:hangingChars="50"/>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在工程采购项目中，工程由中小企业承建，即工程施工单位为中小企业；</w:t>
      </w:r>
    </w:p>
    <w:p>
      <w:pPr>
        <w:pStyle w:val="90"/>
        <w:widowControl/>
        <w:numPr>
          <w:ilvl w:val="0"/>
          <w:numId w:val="16"/>
        </w:numPr>
        <w:adjustRightInd w:val="0"/>
        <w:snapToGrid w:val="0"/>
        <w:spacing w:line="360" w:lineRule="auto"/>
        <w:ind w:left="105" w:hanging="105" w:hangingChars="50"/>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在服务采购项目中，服务由中小企业承接，即提供服务的人员为中小企业依照《中华人民共和国劳动合同法》订立劳动合同的从业人员。</w:t>
      </w:r>
    </w:p>
    <w:p>
      <w:pPr>
        <w:widowControl/>
        <w:adjustRightInd w:val="0"/>
        <w:snapToGrid w:val="0"/>
        <w:spacing w:line="360" w:lineRule="auto"/>
        <w:ind w:firstLine="420" w:firstLineChars="200"/>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在货物采购项目中，供应商提供的货物既有中小企业制造货物，也有大型企业制造货物的，不享受本办法规定的中小企业扶持政策。</w:t>
      </w:r>
    </w:p>
    <w:p>
      <w:pPr>
        <w:widowControl/>
        <w:adjustRightInd w:val="0"/>
        <w:snapToGrid w:val="0"/>
        <w:spacing w:line="360" w:lineRule="auto"/>
        <w:ind w:firstLine="420" w:firstLineChars="200"/>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以联合体形式参加政府采购活动，联合体各方均为中小企业的，联合体视同中小企业。其中，联合体各方均为小微企业的，联合体视同小微企业。</w:t>
      </w:r>
    </w:p>
    <w:p>
      <w:pPr>
        <w:pStyle w:val="90"/>
        <w:widowControl/>
        <w:numPr>
          <w:ilvl w:val="1"/>
          <w:numId w:val="15"/>
        </w:numPr>
        <w:adjustRightInd w:val="0"/>
        <w:snapToGrid w:val="0"/>
        <w:spacing w:line="360" w:lineRule="auto"/>
        <w:ind w:left="425" w:hanging="425" w:firstLineChars="0"/>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参加政府采购活动的中小企业应当提供《中小企业声明函》（格式见第六章投标文件格式）。</w:t>
      </w:r>
    </w:p>
    <w:p>
      <w:pPr>
        <w:pStyle w:val="90"/>
        <w:widowControl/>
        <w:numPr>
          <w:ilvl w:val="1"/>
          <w:numId w:val="15"/>
        </w:numPr>
        <w:adjustRightInd w:val="0"/>
        <w:snapToGrid w:val="0"/>
        <w:spacing w:line="360" w:lineRule="auto"/>
        <w:ind w:left="425" w:hanging="425" w:firstLineChars="0"/>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享受扶持政策获得政府采购合同的，小微企业不得将合同分包给大中型企业，中型企业不得将合同分包给大型企业。</w:t>
      </w:r>
    </w:p>
    <w:p>
      <w:pPr>
        <w:pStyle w:val="90"/>
        <w:widowControl/>
        <w:numPr>
          <w:ilvl w:val="1"/>
          <w:numId w:val="15"/>
        </w:numPr>
        <w:adjustRightInd w:val="0"/>
        <w:snapToGrid w:val="0"/>
        <w:spacing w:line="360" w:lineRule="auto"/>
        <w:ind w:left="422" w:hanging="422" w:hangingChars="200"/>
        <w:jc w:val="left"/>
        <w:rPr>
          <w:rFonts w:cs="宋体" w:asciiTheme="minorEastAsia" w:hAnsiTheme="minorEastAsia" w:eastAsiaTheme="minorEastAsia"/>
          <w:b/>
          <w:color w:val="auto"/>
          <w:kern w:val="0"/>
          <w:szCs w:val="21"/>
        </w:rPr>
      </w:pPr>
      <w:r>
        <w:rPr>
          <w:rFonts w:hint="eastAsia" w:cs="宋体" w:asciiTheme="minorEastAsia" w:hAnsiTheme="minorEastAsia" w:eastAsiaTheme="minorEastAsia"/>
          <w:b/>
          <w:color w:val="auto"/>
          <w:kern w:val="0"/>
          <w:szCs w:val="21"/>
        </w:rPr>
        <w:t>监狱企业</w:t>
      </w:r>
    </w:p>
    <w:p>
      <w:pPr>
        <w:pStyle w:val="90"/>
        <w:widowControl/>
        <w:numPr>
          <w:ilvl w:val="0"/>
          <w:numId w:val="17"/>
        </w:numPr>
        <w:adjustRightInd w:val="0"/>
        <w:snapToGrid w:val="0"/>
        <w:spacing w:line="360" w:lineRule="auto"/>
        <w:ind w:left="210" w:hanging="210" w:hangingChars="100"/>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90"/>
        <w:widowControl/>
        <w:numPr>
          <w:ilvl w:val="0"/>
          <w:numId w:val="17"/>
        </w:numPr>
        <w:adjustRightInd w:val="0"/>
        <w:snapToGrid w:val="0"/>
        <w:spacing w:line="360" w:lineRule="auto"/>
        <w:ind w:left="210" w:hanging="210" w:hangingChars="100"/>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监狱企业参加政府采购活动时，应当提供由省级以上监狱管理局、戒毒管理局（含新疆生产建设兵团）出具的属于监狱企业的证明文件，否则不予认可。</w:t>
      </w:r>
    </w:p>
    <w:p>
      <w:pPr>
        <w:pStyle w:val="90"/>
        <w:widowControl/>
        <w:numPr>
          <w:ilvl w:val="0"/>
          <w:numId w:val="17"/>
        </w:numPr>
        <w:adjustRightInd w:val="0"/>
        <w:snapToGrid w:val="0"/>
        <w:spacing w:line="360" w:lineRule="auto"/>
        <w:ind w:left="210" w:hanging="210" w:hangingChars="100"/>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在政府采购活动中，监狱企业视同小型、微型企业，享受预留份额、评审中价格扣除等政府采购促进中小企业发展的政府采购政策。</w:t>
      </w:r>
    </w:p>
    <w:p>
      <w:pPr>
        <w:pStyle w:val="90"/>
        <w:widowControl/>
        <w:numPr>
          <w:ilvl w:val="1"/>
          <w:numId w:val="15"/>
        </w:numPr>
        <w:adjustRightInd w:val="0"/>
        <w:snapToGrid w:val="0"/>
        <w:spacing w:line="360" w:lineRule="auto"/>
        <w:ind w:left="422" w:hanging="422" w:hangingChars="200"/>
        <w:jc w:val="left"/>
        <w:rPr>
          <w:rFonts w:cs="宋体" w:asciiTheme="minorEastAsia" w:hAnsiTheme="minorEastAsia" w:eastAsiaTheme="minorEastAsia"/>
          <w:b/>
          <w:color w:val="auto"/>
          <w:kern w:val="0"/>
          <w:szCs w:val="21"/>
        </w:rPr>
      </w:pPr>
      <w:r>
        <w:rPr>
          <w:rFonts w:hint="eastAsia" w:cs="宋体" w:asciiTheme="minorEastAsia" w:hAnsiTheme="minorEastAsia" w:eastAsiaTheme="minorEastAsia"/>
          <w:b/>
          <w:color w:val="auto"/>
          <w:kern w:val="0"/>
          <w:szCs w:val="21"/>
        </w:rPr>
        <w:t>残疾人福利性单位</w:t>
      </w:r>
    </w:p>
    <w:p>
      <w:pPr>
        <w:pStyle w:val="90"/>
        <w:widowControl/>
        <w:numPr>
          <w:ilvl w:val="0"/>
          <w:numId w:val="18"/>
        </w:numPr>
        <w:adjustRightInd w:val="0"/>
        <w:snapToGrid w:val="0"/>
        <w:spacing w:line="360" w:lineRule="auto"/>
        <w:ind w:left="210" w:hanging="210" w:hangingChars="100"/>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根据财政部、民政部、中国残疾人联合会印发的《关于促进残疾人就业政府采购政策的通知》（财库〔2017〕141号）的规定，符合条件的残疾人福利性单位在参加政府采购活动时，应当提供该通知规定的《残疾人福利性单位声明函》（格式见第六章投标文件格式），并对声明的真实性负责。一旦中标将在中标公告中公告其声明函，接受社会监督。</w:t>
      </w:r>
    </w:p>
    <w:p>
      <w:pPr>
        <w:pStyle w:val="90"/>
        <w:widowControl/>
        <w:numPr>
          <w:ilvl w:val="0"/>
          <w:numId w:val="18"/>
        </w:numPr>
        <w:adjustRightInd w:val="0"/>
        <w:snapToGrid w:val="0"/>
        <w:spacing w:line="360" w:lineRule="auto"/>
        <w:ind w:left="210" w:hanging="210" w:hangingChars="100"/>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投标人提供的《残疾人福利性单位声明函》与事实不符的，依照《中华人民共和国政府采购法》第七十七条第一款的规定追究法律责任。</w:t>
      </w:r>
    </w:p>
    <w:p>
      <w:pPr>
        <w:pStyle w:val="90"/>
        <w:widowControl/>
        <w:numPr>
          <w:ilvl w:val="0"/>
          <w:numId w:val="18"/>
        </w:numPr>
        <w:adjustRightInd w:val="0"/>
        <w:snapToGrid w:val="0"/>
        <w:spacing w:line="360" w:lineRule="auto"/>
        <w:ind w:left="210" w:hanging="210" w:hangingChars="100"/>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在政府采购活动中，残疾人福利性单位视同小型、微型企业，享受预留份额、评审中价格扣除等促进中小企业发展的政府采购政策。</w:t>
      </w:r>
    </w:p>
    <w:p>
      <w:pPr>
        <w:pStyle w:val="18"/>
        <w:numPr>
          <w:ilvl w:val="0"/>
          <w:numId w:val="14"/>
        </w:numPr>
        <w:tabs>
          <w:tab w:val="left" w:pos="142"/>
          <w:tab w:val="left" w:pos="567"/>
        </w:tabs>
        <w:adjustRightInd w:val="0"/>
        <w:snapToGrid w:val="0"/>
        <w:spacing w:after="0" w:line="360" w:lineRule="auto"/>
        <w:ind w:left="0" w:firstLine="0"/>
        <w:rPr>
          <w:rFonts w:asciiTheme="minorEastAsia" w:hAnsiTheme="minorEastAsia" w:eastAsiaTheme="minorEastAsia"/>
          <w:b/>
          <w:bCs/>
          <w:color w:val="auto"/>
          <w:szCs w:val="21"/>
        </w:rPr>
      </w:pPr>
      <w:r>
        <w:rPr>
          <w:rFonts w:hint="eastAsia" w:asciiTheme="minorEastAsia" w:hAnsiTheme="minorEastAsia" w:eastAsiaTheme="minorEastAsia"/>
          <w:b/>
          <w:bCs/>
          <w:color w:val="auto"/>
          <w:szCs w:val="21"/>
        </w:rPr>
        <w:t>小型和微型企业产品价格扣除</w:t>
      </w:r>
    </w:p>
    <w:p>
      <w:pPr>
        <w:pStyle w:val="90"/>
        <w:widowControl/>
        <w:numPr>
          <w:ilvl w:val="0"/>
          <w:numId w:val="19"/>
        </w:numPr>
        <w:adjustRightInd w:val="0"/>
        <w:snapToGrid w:val="0"/>
        <w:spacing w:line="360" w:lineRule="auto"/>
        <w:ind w:left="630" w:hanging="630" w:hangingChars="300"/>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根据财政部、工业和信息化部印发的《政府采购促进中小企业发展管理办法》（财库〔2020〕46号）的规定，对小型和微型企业产品的价格给予6%的扣除，用扣除后的价格参与评审。</w:t>
      </w:r>
    </w:p>
    <w:p>
      <w:pPr>
        <w:pStyle w:val="90"/>
        <w:widowControl/>
        <w:numPr>
          <w:ilvl w:val="0"/>
          <w:numId w:val="19"/>
        </w:numPr>
        <w:adjustRightInd w:val="0"/>
        <w:snapToGrid w:val="0"/>
        <w:spacing w:line="360" w:lineRule="auto"/>
        <w:ind w:left="630" w:hanging="630" w:hangingChars="300"/>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如允许联合体投标，联合协议书中约定小微企业的合同份额占合同总金额30%以上的，对联合体的有效投标报价给予2%的价格扣除；如联合体各方均为小微企业的，联合体视同为小微企业享受上述第（一）条规定的价格扣除。</w:t>
      </w:r>
    </w:p>
    <w:p>
      <w:pPr>
        <w:pStyle w:val="90"/>
        <w:widowControl/>
        <w:numPr>
          <w:ilvl w:val="0"/>
          <w:numId w:val="19"/>
        </w:numPr>
        <w:adjustRightInd w:val="0"/>
        <w:snapToGrid w:val="0"/>
        <w:spacing w:line="360" w:lineRule="auto"/>
        <w:ind w:left="-420" w:leftChars="-200" w:firstLineChars="0"/>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监狱企业产品价格扣除</w:t>
      </w:r>
    </w:p>
    <w:p>
      <w:pPr>
        <w:pStyle w:val="90"/>
        <w:widowControl/>
        <w:adjustRightInd w:val="0"/>
        <w:snapToGrid w:val="0"/>
        <w:spacing w:line="360" w:lineRule="auto"/>
        <w:ind w:firstLine="630" w:firstLineChars="300"/>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监狱企业视同小微企业，按上述第（一）、（二）条款享受评审中价格扣除。</w:t>
      </w:r>
    </w:p>
    <w:p>
      <w:pPr>
        <w:pStyle w:val="90"/>
        <w:widowControl/>
        <w:numPr>
          <w:ilvl w:val="0"/>
          <w:numId w:val="19"/>
        </w:numPr>
        <w:adjustRightInd w:val="0"/>
        <w:snapToGrid w:val="0"/>
        <w:spacing w:line="360" w:lineRule="auto"/>
        <w:ind w:left="-420" w:leftChars="-200" w:firstLineChars="0"/>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残疾人福利性单位产品价格扣除</w:t>
      </w:r>
    </w:p>
    <w:p>
      <w:pPr>
        <w:pStyle w:val="90"/>
        <w:widowControl/>
        <w:adjustRightInd w:val="0"/>
        <w:snapToGrid w:val="0"/>
        <w:spacing w:line="360" w:lineRule="auto"/>
        <w:ind w:firstLine="630" w:firstLineChars="300"/>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残疾人福利性单位视同小微企业，按上述第（一）、（二）条款享受评审中价格扣除。</w:t>
      </w:r>
    </w:p>
    <w:p>
      <w:pPr>
        <w:rPr>
          <w:rFonts w:ascii="宋体" w:hAnsi="宋体" w:cs="宋体"/>
          <w:color w:val="auto"/>
          <w:kern w:val="0"/>
          <w:szCs w:val="21"/>
        </w:rPr>
      </w:pPr>
      <w:r>
        <w:rPr>
          <w:rFonts w:hint="eastAsia" w:ascii="宋体" w:hAnsi="宋体" w:cs="宋体"/>
          <w:color w:val="auto"/>
          <w:kern w:val="0"/>
          <w:szCs w:val="21"/>
        </w:rPr>
        <w:br w:type="page"/>
      </w:r>
    </w:p>
    <w:p>
      <w:pPr>
        <w:spacing w:beforeLines="50" w:afterLines="50" w:line="360" w:lineRule="auto"/>
        <w:jc w:val="center"/>
        <w:outlineLvl w:val="0"/>
        <w:rPr>
          <w:color w:val="auto"/>
        </w:rPr>
      </w:pPr>
      <w:bookmarkStart w:id="18" w:name="_Toc8844"/>
      <w:r>
        <w:rPr>
          <w:rFonts w:hint="eastAsia"/>
          <w:b/>
          <w:bCs/>
          <w:color w:val="auto"/>
          <w:sz w:val="28"/>
          <w:szCs w:val="28"/>
        </w:rPr>
        <w:t>第四章 用户需求书</w:t>
      </w:r>
      <w:bookmarkEnd w:id="15"/>
      <w:bookmarkEnd w:id="16"/>
      <w:bookmarkEnd w:id="18"/>
    </w:p>
    <w:p>
      <w:pPr>
        <w:adjustRightInd w:val="0"/>
        <w:snapToGrid w:val="0"/>
        <w:spacing w:line="360" w:lineRule="auto"/>
        <w:ind w:firstLine="422" w:firstLineChars="200"/>
        <w:rPr>
          <w:rFonts w:asciiTheme="minorEastAsia" w:hAnsiTheme="minorEastAsia" w:eastAsiaTheme="minorEastAsia"/>
          <w:b/>
          <w:bCs/>
          <w:color w:val="auto"/>
          <w:szCs w:val="21"/>
        </w:rPr>
      </w:pPr>
      <w:r>
        <w:rPr>
          <w:rFonts w:hint="eastAsia" w:asciiTheme="minorEastAsia" w:hAnsiTheme="minorEastAsia" w:eastAsiaTheme="minorEastAsia"/>
          <w:b/>
          <w:bCs/>
          <w:color w:val="auto"/>
          <w:szCs w:val="21"/>
        </w:rPr>
        <w:t>说明</w:t>
      </w:r>
      <w:r>
        <w:rPr>
          <w:rFonts w:asciiTheme="minorEastAsia" w:hAnsiTheme="minorEastAsia" w:eastAsiaTheme="minorEastAsia"/>
          <w:b/>
          <w:bCs/>
          <w:color w:val="auto"/>
          <w:szCs w:val="21"/>
        </w:rPr>
        <w:t>：</w:t>
      </w:r>
      <w:r>
        <w:rPr>
          <w:rFonts w:hint="eastAsia" w:asciiTheme="minorEastAsia" w:hAnsiTheme="minorEastAsia" w:eastAsiaTheme="minorEastAsia"/>
          <w:b/>
          <w:bCs/>
          <w:color w:val="auto"/>
          <w:szCs w:val="21"/>
        </w:rPr>
        <w:t>投标人须对本项目为单位的采购内容进行整体响应，任何只对其中一部分采购内容进行的响应都被视为无效投标。</w:t>
      </w:r>
    </w:p>
    <w:p>
      <w:pPr>
        <w:pStyle w:val="2"/>
        <w:tabs>
          <w:tab w:val="left" w:pos="420"/>
          <w:tab w:val="left" w:pos="540"/>
        </w:tabs>
        <w:adjustRightInd w:val="0"/>
        <w:snapToGrid w:val="0"/>
        <w:spacing w:line="360" w:lineRule="auto"/>
        <w:rPr>
          <w:rFonts w:hint="eastAsia" w:asciiTheme="minorEastAsia" w:hAnsiTheme="minorEastAsia"/>
          <w:b/>
          <w:color w:val="auto"/>
        </w:rPr>
      </w:pPr>
      <w:r>
        <w:rPr>
          <w:rFonts w:hint="eastAsia" w:asciiTheme="minorEastAsia" w:hAnsiTheme="minorEastAsia"/>
          <w:b/>
          <w:color w:val="auto"/>
        </w:rPr>
        <w:t xml:space="preserve">    一、项目概况</w:t>
      </w:r>
    </w:p>
    <w:p>
      <w:pPr>
        <w:pStyle w:val="2"/>
        <w:tabs>
          <w:tab w:val="left" w:pos="420"/>
          <w:tab w:val="left" w:pos="540"/>
        </w:tabs>
        <w:adjustRightInd w:val="0"/>
        <w:snapToGrid w:val="0"/>
        <w:spacing w:line="360" w:lineRule="auto"/>
        <w:ind w:firstLine="424" w:firstLineChars="202"/>
        <w:rPr>
          <w:rFonts w:hint="eastAsia"/>
          <w:bCs/>
          <w:color w:val="auto"/>
          <w:szCs w:val="20"/>
        </w:rPr>
      </w:pPr>
      <w:r>
        <w:rPr>
          <w:rFonts w:hint="eastAsia"/>
          <w:bCs/>
          <w:color w:val="auto"/>
          <w:szCs w:val="20"/>
        </w:rPr>
        <w:t>1、项目名称：珠江街2021年粤港深度合作区（启动区）临时排水设施日常运行管养项目</w:t>
      </w:r>
    </w:p>
    <w:p>
      <w:pPr>
        <w:pStyle w:val="2"/>
        <w:tabs>
          <w:tab w:val="left" w:pos="420"/>
          <w:tab w:val="left" w:pos="540"/>
        </w:tabs>
        <w:adjustRightInd w:val="0"/>
        <w:snapToGrid w:val="0"/>
        <w:spacing w:line="360" w:lineRule="auto"/>
        <w:ind w:firstLine="424" w:firstLineChars="202"/>
        <w:rPr>
          <w:rFonts w:hint="eastAsia" w:hAnsi="宋体"/>
          <w:color w:val="auto"/>
        </w:rPr>
      </w:pPr>
      <w:r>
        <w:rPr>
          <w:rFonts w:hint="eastAsia"/>
          <w:bCs/>
          <w:color w:val="auto"/>
          <w:szCs w:val="20"/>
        </w:rPr>
        <w:t>2、项目招标最高限价：</w:t>
      </w:r>
      <w:r>
        <w:rPr>
          <w:rFonts w:hint="eastAsia" w:hAnsi="宋体"/>
          <w:color w:val="auto"/>
        </w:rPr>
        <w:t>人民币747036.55元。</w:t>
      </w:r>
    </w:p>
    <w:p>
      <w:pPr>
        <w:pStyle w:val="2"/>
        <w:tabs>
          <w:tab w:val="left" w:pos="420"/>
          <w:tab w:val="left" w:pos="540"/>
        </w:tabs>
        <w:adjustRightInd w:val="0"/>
        <w:snapToGrid w:val="0"/>
        <w:spacing w:line="360" w:lineRule="auto"/>
        <w:ind w:firstLine="424" w:firstLineChars="202"/>
        <w:rPr>
          <w:rFonts w:hint="eastAsia" w:hAnsi="宋体"/>
          <w:color w:val="auto"/>
        </w:rPr>
      </w:pPr>
      <w:r>
        <w:rPr>
          <w:rFonts w:hint="eastAsia" w:hAnsi="宋体"/>
          <w:color w:val="auto"/>
        </w:rPr>
        <w:t>3、项目范围：</w:t>
      </w:r>
      <w:r>
        <w:rPr>
          <w:rFonts w:hint="eastAsia" w:asciiTheme="minorEastAsia" w:hAnsiTheme="minorEastAsia"/>
          <w:bCs/>
          <w:color w:val="auto"/>
        </w:rPr>
        <w:t>珠江街粤港深度合作区（启动区）内26座排涝站及其附属设施（详见附件1）。</w:t>
      </w:r>
    </w:p>
    <w:p>
      <w:pPr>
        <w:pStyle w:val="2"/>
        <w:tabs>
          <w:tab w:val="left" w:pos="420"/>
          <w:tab w:val="left" w:pos="540"/>
        </w:tabs>
        <w:adjustRightInd w:val="0"/>
        <w:snapToGrid w:val="0"/>
        <w:spacing w:line="360" w:lineRule="auto"/>
        <w:rPr>
          <w:rFonts w:hint="eastAsia" w:asciiTheme="minorEastAsia" w:hAnsiTheme="minorEastAsia"/>
          <w:b/>
          <w:color w:val="auto"/>
        </w:rPr>
      </w:pPr>
      <w:r>
        <w:rPr>
          <w:rFonts w:hint="eastAsia" w:asciiTheme="minorEastAsia" w:hAnsiTheme="minorEastAsia"/>
          <w:b/>
          <w:color w:val="auto"/>
        </w:rPr>
        <w:t xml:space="preserve">    二、项目服务期限。</w:t>
      </w:r>
    </w:p>
    <w:p>
      <w:pPr>
        <w:pStyle w:val="2"/>
        <w:tabs>
          <w:tab w:val="left" w:pos="420"/>
          <w:tab w:val="left" w:pos="540"/>
        </w:tabs>
        <w:adjustRightInd w:val="0"/>
        <w:snapToGrid w:val="0"/>
        <w:spacing w:line="360" w:lineRule="auto"/>
        <w:rPr>
          <w:rFonts w:asciiTheme="minorEastAsia" w:hAnsiTheme="minorEastAsia"/>
          <w:b/>
          <w:color w:val="auto"/>
        </w:rPr>
      </w:pPr>
      <w:r>
        <w:rPr>
          <w:rFonts w:hint="eastAsia" w:asciiTheme="minorEastAsia" w:hAnsiTheme="minorEastAsia"/>
          <w:b/>
          <w:color w:val="auto"/>
        </w:rPr>
        <w:t xml:space="preserve">   </w:t>
      </w:r>
      <w:r>
        <w:rPr>
          <w:rFonts w:hint="eastAsia"/>
          <w:bCs/>
          <w:color w:val="auto"/>
          <w:szCs w:val="20"/>
        </w:rPr>
        <w:t xml:space="preserve"> 1、服务期限：一年，具体以实际签订合同日期为准。</w:t>
      </w:r>
    </w:p>
    <w:p>
      <w:pPr>
        <w:adjustRightInd w:val="0"/>
        <w:snapToGrid w:val="0"/>
        <w:spacing w:line="360" w:lineRule="auto"/>
        <w:ind w:firstLine="420" w:firstLineChars="200"/>
        <w:rPr>
          <w:rFonts w:ascii="宋体" w:hAnsi="宋体"/>
          <w:bCs/>
          <w:color w:val="auto"/>
        </w:rPr>
      </w:pPr>
      <w:r>
        <w:rPr>
          <w:rFonts w:hint="eastAsia" w:ascii="宋体" w:hAnsi="Courier New" w:cs="Courier New" w:eastAsiaTheme="minorEastAsia"/>
          <w:bCs/>
          <w:color w:val="auto"/>
          <w:szCs w:val="20"/>
        </w:rPr>
        <w:t>2、若在采购人的上级主管部门下达收回本项目运营管养事项或更改外包模式或其他涉及影响本承包合同根本条款履行事项的正式文件时，采购人有权单方面随时终止本合同，中标人需无条件服从，且采购人只需要支付中标人实际产生的承包费，中标人不得以任何理由要求采购人支付其他任何费用。如中标人有包括但不限于不服从或不配合移交等行为的，采购人有权单方面解除合同，并追究中标人</w:t>
      </w:r>
      <w:r>
        <w:rPr>
          <w:rFonts w:hint="eastAsia" w:ascii="宋体" w:hAnsi="宋体"/>
          <w:bCs/>
          <w:color w:val="auto"/>
        </w:rPr>
        <w:t>的违约责任。</w:t>
      </w:r>
    </w:p>
    <w:p>
      <w:pPr>
        <w:pStyle w:val="2"/>
        <w:tabs>
          <w:tab w:val="left" w:pos="540"/>
        </w:tabs>
        <w:adjustRightInd w:val="0"/>
        <w:snapToGrid w:val="0"/>
        <w:spacing w:line="360" w:lineRule="auto"/>
        <w:rPr>
          <w:rFonts w:hint="eastAsia" w:ascii="ˎ̥" w:hAnsi="ˎ̥" w:cs="Arial"/>
          <w:b/>
          <w:color w:val="auto"/>
        </w:rPr>
      </w:pPr>
      <w:r>
        <w:rPr>
          <w:rFonts w:hint="eastAsia" w:ascii="ˎ̥" w:hAnsi="ˎ̥" w:cs="Arial"/>
          <w:b/>
          <w:color w:val="auto"/>
        </w:rPr>
        <w:t xml:space="preserve">     三、项目内容</w:t>
      </w:r>
    </w:p>
    <w:p>
      <w:pPr>
        <w:pStyle w:val="2"/>
        <w:tabs>
          <w:tab w:val="left" w:pos="540"/>
        </w:tabs>
        <w:adjustRightInd w:val="0"/>
        <w:snapToGrid w:val="0"/>
        <w:spacing w:line="360" w:lineRule="auto"/>
        <w:rPr>
          <w:rFonts w:ascii="ˎ̥" w:hAnsi="ˎ̥" w:cs="Arial"/>
          <w:b/>
          <w:color w:val="auto"/>
        </w:rPr>
      </w:pPr>
      <w:r>
        <w:rPr>
          <w:rFonts w:hint="eastAsia" w:hAnsi="宋体"/>
          <w:b/>
          <w:bCs/>
          <w:color w:val="auto"/>
        </w:rPr>
        <w:t xml:space="preserve">    （一）排涝站、水窦的运营管养</w:t>
      </w:r>
    </w:p>
    <w:p>
      <w:pPr>
        <w:pStyle w:val="2"/>
        <w:rPr>
          <w:rFonts w:hAnsi="宋体"/>
          <w:bCs/>
          <w:color w:val="auto"/>
        </w:rPr>
      </w:pPr>
      <w:r>
        <w:rPr>
          <w:rFonts w:hint="eastAsia" w:hAnsi="宋体"/>
          <w:bCs/>
          <w:color w:val="auto"/>
        </w:rPr>
        <w:t xml:space="preserve">     1、中标人负责珠江街粤港深度合作区（启动区）内26座排涝站日常运行的抽水排水及管理工作（含运行柴油费，不含电费）。</w:t>
      </w:r>
    </w:p>
    <w:p>
      <w:pPr>
        <w:adjustRightInd w:val="0"/>
        <w:snapToGrid w:val="0"/>
        <w:spacing w:line="360" w:lineRule="auto"/>
        <w:rPr>
          <w:rFonts w:ascii="宋体" w:hAnsi="宋体"/>
          <w:bCs/>
          <w:color w:val="auto"/>
        </w:rPr>
      </w:pPr>
      <w:r>
        <w:rPr>
          <w:rFonts w:hint="eastAsia" w:ascii="宋体" w:hAnsi="宋体"/>
          <w:bCs/>
          <w:color w:val="auto"/>
        </w:rPr>
        <w:t xml:space="preserve">    2、</w:t>
      </w:r>
      <w:r>
        <w:rPr>
          <w:rFonts w:hint="eastAsia" w:hAnsi="宋体"/>
          <w:bCs/>
          <w:color w:val="auto"/>
        </w:rPr>
        <w:t>中标人</w:t>
      </w:r>
      <w:r>
        <w:rPr>
          <w:rFonts w:hint="eastAsia" w:ascii="宋体" w:hAnsi="宋体"/>
          <w:bCs/>
          <w:color w:val="auto"/>
        </w:rPr>
        <w:t>负责排涝站储水塘水面、溢流孔前集水渠水面及其周边环境卫生清洁保洁工作（包括打捞水面油污、垃圾等漂浮物、清理水浮莲等）及根据排涝站储水塘的水质落实换水工作，确保储水塘日常景观和水质良好。</w:t>
      </w:r>
    </w:p>
    <w:p>
      <w:pPr>
        <w:adjustRightInd w:val="0"/>
        <w:snapToGrid w:val="0"/>
        <w:spacing w:line="360" w:lineRule="auto"/>
        <w:rPr>
          <w:rFonts w:ascii="宋体" w:hAnsi="宋体"/>
          <w:bCs/>
          <w:color w:val="auto"/>
        </w:rPr>
      </w:pPr>
      <w:r>
        <w:rPr>
          <w:rFonts w:hint="eastAsia" w:ascii="宋体" w:hAnsi="宋体"/>
          <w:bCs/>
          <w:color w:val="auto"/>
        </w:rPr>
        <w:t xml:space="preserve">    3、</w:t>
      </w:r>
      <w:r>
        <w:rPr>
          <w:rFonts w:hint="eastAsia" w:hAnsi="宋体"/>
          <w:bCs/>
          <w:color w:val="auto"/>
        </w:rPr>
        <w:t>中标人</w:t>
      </w:r>
      <w:r>
        <w:rPr>
          <w:rFonts w:hint="eastAsia" w:ascii="宋体" w:hAnsi="宋体"/>
          <w:bCs/>
          <w:color w:val="auto"/>
        </w:rPr>
        <w:t>负责珠江街粤港深度合作区（启动区）内26座排涝站现有排涝设施的日常检修、维护保养工作（排涝设施主要是泵房、柴油机、马达、水泵及排涝站内附属的机电等设备、用电设备及线路等）</w:t>
      </w:r>
      <w:r>
        <w:rPr>
          <w:rFonts w:hint="eastAsia" w:ascii="宋体" w:hAnsi="宋体"/>
          <w:bCs/>
          <w:color w:val="auto"/>
          <w:lang w:eastAsia="zh-CN"/>
        </w:rPr>
        <w:t>；</w:t>
      </w:r>
      <w:r>
        <w:rPr>
          <w:rFonts w:hint="eastAsia" w:ascii="宋体" w:hAnsi="宋体"/>
          <w:bCs/>
          <w:color w:val="auto"/>
        </w:rPr>
        <w:t>负责排涝站机械设备的检查，确保排涝站每天能正常运行，发现故障立即报告排涝站所</w:t>
      </w:r>
      <w:r>
        <w:rPr>
          <w:rFonts w:hint="eastAsia" w:ascii="宋体" w:hAnsi="宋体"/>
          <w:bCs/>
          <w:color w:val="auto"/>
          <w:lang w:eastAsia="zh-CN"/>
        </w:rPr>
        <w:t>在</w:t>
      </w:r>
      <w:r>
        <w:rPr>
          <w:rFonts w:hint="eastAsia" w:ascii="宋体" w:hAnsi="宋体"/>
          <w:bCs/>
          <w:color w:val="auto"/>
        </w:rPr>
        <w:t>居委会和街道水利部门，并组织维修。</w:t>
      </w:r>
    </w:p>
    <w:p>
      <w:pPr>
        <w:adjustRightInd w:val="0"/>
        <w:snapToGrid w:val="0"/>
        <w:spacing w:line="360" w:lineRule="auto"/>
        <w:ind w:firstLine="424" w:firstLineChars="202"/>
        <w:rPr>
          <w:rFonts w:ascii="宋体" w:hAnsi="宋体"/>
          <w:bCs/>
          <w:color w:val="auto"/>
        </w:rPr>
      </w:pPr>
      <w:r>
        <w:rPr>
          <w:rFonts w:hint="eastAsia" w:ascii="宋体" w:hAnsi="宋体"/>
          <w:bCs/>
          <w:color w:val="auto"/>
        </w:rPr>
        <w:t>4、根据季节变化、天气预报、各级三防指令和各排涝站储水塘的实际情况，</w:t>
      </w:r>
      <w:r>
        <w:rPr>
          <w:rFonts w:hint="eastAsia" w:hAnsi="宋体"/>
          <w:bCs/>
          <w:color w:val="auto"/>
        </w:rPr>
        <w:t>中标人</w:t>
      </w:r>
      <w:r>
        <w:rPr>
          <w:rFonts w:hint="eastAsia" w:ascii="宋体" w:hAnsi="宋体"/>
          <w:bCs/>
          <w:color w:val="auto"/>
        </w:rPr>
        <w:t>安排好时间及时抽排水，采取有效措施确保外排水无发黑、无恶臭味、无悬浮物等现象；加强与排涝站周边居民沟通，把排涝站运行过程中对周边居民的影响降到最低，有特殊情况及时向所属社区居委会和街道水利部门报告。</w:t>
      </w:r>
    </w:p>
    <w:p>
      <w:pPr>
        <w:adjustRightInd w:val="0"/>
        <w:snapToGrid w:val="0"/>
        <w:spacing w:line="360" w:lineRule="auto"/>
        <w:ind w:firstLine="424" w:firstLineChars="202"/>
        <w:rPr>
          <w:rFonts w:ascii="宋体" w:hAnsi="宋体"/>
          <w:bCs/>
          <w:color w:val="auto"/>
        </w:rPr>
      </w:pPr>
      <w:r>
        <w:rPr>
          <w:rFonts w:hint="eastAsia" w:ascii="宋体" w:hAnsi="宋体"/>
          <w:bCs/>
          <w:color w:val="auto"/>
        </w:rPr>
        <w:t>5、确保各排涝站储水塘保持在较低的水位，遇上特大暴雨，</w:t>
      </w:r>
      <w:r>
        <w:rPr>
          <w:rFonts w:hint="eastAsia" w:hAnsi="宋体"/>
          <w:bCs/>
          <w:color w:val="auto"/>
        </w:rPr>
        <w:t>中标人</w:t>
      </w:r>
      <w:r>
        <w:rPr>
          <w:rFonts w:hint="eastAsia" w:ascii="宋体" w:hAnsi="宋体"/>
          <w:bCs/>
          <w:color w:val="auto"/>
        </w:rPr>
        <w:t>必须对项目承包范围的排涝站进行预排处理，并连续抽水至排除险情为止。若因</w:t>
      </w:r>
      <w:r>
        <w:rPr>
          <w:rFonts w:hint="eastAsia" w:ascii="宋体" w:hAnsi="宋体"/>
          <w:bCs/>
          <w:color w:val="auto"/>
          <w:lang w:eastAsia="zh-CN"/>
        </w:rPr>
        <w:t>中标人</w:t>
      </w:r>
      <w:r>
        <w:rPr>
          <w:rFonts w:hint="eastAsia" w:ascii="宋体" w:hAnsi="宋体"/>
          <w:bCs/>
          <w:color w:val="auto"/>
        </w:rPr>
        <w:t>巡查、管理等工作不到位造成水浸，所导致的一切经济损失由</w:t>
      </w:r>
      <w:r>
        <w:rPr>
          <w:rFonts w:hint="eastAsia" w:hAnsi="宋体"/>
          <w:bCs/>
          <w:color w:val="auto"/>
        </w:rPr>
        <w:t>中标人</w:t>
      </w:r>
      <w:r>
        <w:rPr>
          <w:rFonts w:hint="eastAsia" w:ascii="宋体" w:hAnsi="宋体"/>
          <w:bCs/>
          <w:color w:val="auto"/>
        </w:rPr>
        <w:t>负责，采购人有权追究</w:t>
      </w:r>
      <w:r>
        <w:rPr>
          <w:rFonts w:hint="eastAsia" w:hAnsi="宋体"/>
          <w:bCs/>
          <w:color w:val="auto"/>
        </w:rPr>
        <w:t>中标人</w:t>
      </w:r>
      <w:r>
        <w:rPr>
          <w:rFonts w:hint="eastAsia" w:ascii="宋体" w:hAnsi="宋体"/>
          <w:bCs/>
          <w:color w:val="auto"/>
        </w:rPr>
        <w:t>的相应违约责任和赔偿。</w:t>
      </w:r>
    </w:p>
    <w:p>
      <w:pPr>
        <w:adjustRightInd w:val="0"/>
        <w:snapToGrid w:val="0"/>
        <w:spacing w:line="360" w:lineRule="auto"/>
        <w:ind w:firstLine="424" w:firstLineChars="202"/>
        <w:rPr>
          <w:rFonts w:ascii="宋体" w:hAnsi="宋体"/>
          <w:bCs/>
          <w:color w:val="auto"/>
        </w:rPr>
      </w:pPr>
      <w:r>
        <w:rPr>
          <w:rFonts w:hint="eastAsia" w:ascii="宋体" w:hAnsi="宋体"/>
          <w:bCs/>
          <w:color w:val="auto"/>
        </w:rPr>
        <w:t>6、</w:t>
      </w:r>
      <w:r>
        <w:rPr>
          <w:rFonts w:hint="eastAsia" w:ascii="宋体" w:hAnsi="宋体"/>
          <w:bCs/>
          <w:color w:val="auto"/>
          <w:lang w:eastAsia="zh-CN"/>
        </w:rPr>
        <w:t>中标人</w:t>
      </w:r>
      <w:r>
        <w:rPr>
          <w:rFonts w:hint="eastAsia" w:ascii="宋体" w:hAnsi="宋体"/>
          <w:bCs/>
          <w:color w:val="auto"/>
        </w:rPr>
        <w:t>每天安排人员负责排涝站、水窦的值班巡查工作，以防各排涝站内的抽水设备设施、水窦设施遭受人为损坏或被盗。排涝站内的抽水设备设施、水窦设施受损或被盗的，</w:t>
      </w:r>
      <w:r>
        <w:rPr>
          <w:rFonts w:hint="eastAsia" w:hAnsi="宋体"/>
          <w:bCs/>
          <w:color w:val="auto"/>
        </w:rPr>
        <w:t>中标人</w:t>
      </w:r>
      <w:r>
        <w:rPr>
          <w:rFonts w:hint="eastAsia" w:ascii="宋体" w:hAnsi="宋体"/>
          <w:bCs/>
          <w:color w:val="auto"/>
        </w:rPr>
        <w:t>应及时采取有效措施，确保排涝站的正常运行，同时</w:t>
      </w:r>
      <w:r>
        <w:rPr>
          <w:rFonts w:hint="eastAsia" w:hAnsi="宋体"/>
          <w:bCs/>
          <w:color w:val="auto"/>
        </w:rPr>
        <w:t>中标人</w:t>
      </w:r>
      <w:r>
        <w:rPr>
          <w:rFonts w:hint="eastAsia" w:ascii="宋体" w:hAnsi="宋体"/>
          <w:bCs/>
          <w:color w:val="auto"/>
        </w:rPr>
        <w:t>要承担由此所造成的损失并修复受损的设施设备。</w:t>
      </w:r>
    </w:p>
    <w:p>
      <w:pPr>
        <w:adjustRightInd w:val="0"/>
        <w:snapToGrid w:val="0"/>
        <w:spacing w:line="360" w:lineRule="auto"/>
        <w:ind w:firstLine="424" w:firstLineChars="202"/>
        <w:rPr>
          <w:rFonts w:ascii="宋体" w:hAnsi="宋体"/>
          <w:bCs/>
          <w:color w:val="auto"/>
        </w:rPr>
      </w:pPr>
      <w:r>
        <w:rPr>
          <w:rFonts w:hint="eastAsia" w:ascii="宋体" w:hAnsi="宋体"/>
          <w:bCs/>
          <w:color w:val="auto"/>
        </w:rPr>
        <w:t>7、</w:t>
      </w:r>
      <w:r>
        <w:rPr>
          <w:rFonts w:hint="eastAsia" w:ascii="宋体" w:hAnsi="宋体"/>
          <w:bCs/>
          <w:color w:val="auto"/>
          <w:lang w:eastAsia="zh-CN"/>
        </w:rPr>
        <w:t>中标人</w:t>
      </w:r>
      <w:r>
        <w:rPr>
          <w:rFonts w:hint="eastAsia" w:ascii="宋体" w:hAnsi="宋体"/>
          <w:bCs/>
          <w:color w:val="auto"/>
        </w:rPr>
        <w:t>每天安排人员巡查排涝站储水塘、溢流孔前可见部分集水渠及周边环境卫生，发现垃圾和油污飘浮物应及时清洁干净，以防抽水设备在抽排水过程中被垃圾或油污飘浮物堵塞，导致抽水设备不能正常运转或损坏。若因</w:t>
      </w:r>
      <w:r>
        <w:rPr>
          <w:rFonts w:hint="eastAsia" w:hAnsi="宋体"/>
          <w:bCs/>
          <w:color w:val="auto"/>
        </w:rPr>
        <w:t>中标人</w:t>
      </w:r>
      <w:r>
        <w:rPr>
          <w:rFonts w:hint="eastAsia" w:ascii="宋体" w:hAnsi="宋体"/>
          <w:bCs/>
          <w:color w:val="auto"/>
        </w:rPr>
        <w:t>巡查、清理等工作不到位造成抽水设备损坏，</w:t>
      </w:r>
      <w:r>
        <w:rPr>
          <w:rFonts w:hint="eastAsia" w:hAnsi="宋体"/>
          <w:bCs/>
          <w:color w:val="auto"/>
        </w:rPr>
        <w:t>中标人</w:t>
      </w:r>
      <w:r>
        <w:rPr>
          <w:rFonts w:hint="eastAsia" w:ascii="宋体" w:hAnsi="宋体"/>
          <w:bCs/>
          <w:color w:val="auto"/>
        </w:rPr>
        <w:t>要承担由此造成的经济损失并负责修复受损的设备。</w:t>
      </w:r>
    </w:p>
    <w:p>
      <w:pPr>
        <w:adjustRightInd w:val="0"/>
        <w:snapToGrid w:val="0"/>
        <w:spacing w:line="360" w:lineRule="auto"/>
        <w:rPr>
          <w:rFonts w:ascii="宋体" w:hAnsi="宋体"/>
          <w:bCs/>
          <w:color w:val="auto"/>
        </w:rPr>
      </w:pPr>
      <w:r>
        <w:rPr>
          <w:rFonts w:hint="eastAsia" w:ascii="宋体" w:hAnsi="宋体"/>
          <w:bCs/>
          <w:color w:val="auto"/>
        </w:rPr>
        <w:t xml:space="preserve">    8、若遇上采购人建设排涝站或污水治理设施时，</w:t>
      </w:r>
      <w:r>
        <w:rPr>
          <w:rFonts w:hint="eastAsia" w:hAnsi="宋体"/>
          <w:bCs/>
          <w:color w:val="auto"/>
        </w:rPr>
        <w:t>中标人</w:t>
      </w:r>
      <w:r>
        <w:rPr>
          <w:rFonts w:hint="eastAsia" w:ascii="宋体" w:hAnsi="宋体"/>
          <w:bCs/>
          <w:color w:val="auto"/>
        </w:rPr>
        <w:t>必须无条件配合采购人做好相关建设工作。</w:t>
      </w:r>
    </w:p>
    <w:p>
      <w:pPr>
        <w:adjustRightInd w:val="0"/>
        <w:snapToGrid w:val="0"/>
        <w:spacing w:line="360" w:lineRule="auto"/>
        <w:rPr>
          <w:rFonts w:ascii="宋体" w:hAnsi="宋体"/>
          <w:bCs/>
          <w:color w:val="auto"/>
        </w:rPr>
      </w:pPr>
      <w:r>
        <w:rPr>
          <w:rFonts w:hint="eastAsia" w:ascii="宋体" w:hAnsi="宋体"/>
          <w:bCs/>
          <w:color w:val="auto"/>
        </w:rPr>
        <w:t xml:space="preserve">    9、</w:t>
      </w:r>
      <w:r>
        <w:rPr>
          <w:rFonts w:hint="eastAsia" w:hAnsi="宋体"/>
          <w:bCs/>
          <w:color w:val="auto"/>
        </w:rPr>
        <w:t>中标人</w:t>
      </w:r>
      <w:r>
        <w:rPr>
          <w:rFonts w:hint="eastAsia" w:ascii="宋体" w:hAnsi="宋体"/>
          <w:bCs/>
          <w:color w:val="auto"/>
        </w:rPr>
        <w:t>须接受采购人的职能部门和社区居委会的日常监督检查和考核。</w:t>
      </w:r>
    </w:p>
    <w:p>
      <w:pPr>
        <w:adjustRightInd w:val="0"/>
        <w:snapToGrid w:val="0"/>
        <w:spacing w:line="360" w:lineRule="auto"/>
        <w:ind w:firstLine="424" w:firstLineChars="202"/>
        <w:rPr>
          <w:rFonts w:hint="eastAsia" w:ascii="宋体" w:hAnsi="宋体"/>
          <w:bCs/>
          <w:color w:val="auto"/>
        </w:rPr>
      </w:pPr>
      <w:r>
        <w:rPr>
          <w:rFonts w:hint="eastAsia" w:ascii="宋体" w:hAnsi="宋体"/>
          <w:bCs/>
          <w:color w:val="auto"/>
        </w:rPr>
        <w:t>10、当发布雷雨大风天气和黄色以上等级预警通知时或汛期内，中标人须立即安排岗位操作工到位在岗值守，密切留意排涝站抽排水情况，若发生水浸或紧急状况，中标人立即派出人员现场安装应急移动抽排水设备并操作使用，直至任务完成，所产生的一切费用均由中标人负责。因中标人抽排水不及时而造成其他损失的，由中标人负责赔偿。</w:t>
      </w:r>
    </w:p>
    <w:p>
      <w:pPr>
        <w:adjustRightInd w:val="0"/>
        <w:snapToGrid w:val="0"/>
        <w:spacing w:line="360" w:lineRule="auto"/>
        <w:ind w:firstLine="424" w:firstLineChars="202"/>
        <w:rPr>
          <w:rFonts w:ascii="宋体" w:hAnsi="宋体"/>
          <w:bCs/>
          <w:color w:val="auto"/>
        </w:rPr>
      </w:pPr>
      <w:r>
        <w:rPr>
          <w:rFonts w:hint="eastAsia" w:ascii="宋体" w:hAnsi="宋体"/>
          <w:bCs/>
          <w:color w:val="auto"/>
        </w:rPr>
        <w:t>11、中标人所提供的服务，必须符合国家有关规范和要求及甲方的技术要求，且</w:t>
      </w:r>
      <w:r>
        <w:rPr>
          <w:rFonts w:hint="eastAsia" w:hAnsi="宋体"/>
          <w:bCs/>
          <w:color w:val="auto"/>
        </w:rPr>
        <w:t>中标人</w:t>
      </w:r>
      <w:r>
        <w:rPr>
          <w:rFonts w:hint="eastAsia" w:ascii="宋体" w:hAnsi="宋体"/>
          <w:bCs/>
          <w:color w:val="auto"/>
        </w:rPr>
        <w:t>保证所有与本项目相关的服务不得侵犯第三方版权、专利、税费等。若因</w:t>
      </w:r>
      <w:r>
        <w:rPr>
          <w:rFonts w:hint="eastAsia" w:hAnsi="宋体"/>
          <w:bCs/>
          <w:color w:val="auto"/>
        </w:rPr>
        <w:t>中标人</w:t>
      </w:r>
      <w:r>
        <w:rPr>
          <w:rFonts w:hint="eastAsia" w:ascii="宋体" w:hAnsi="宋体"/>
          <w:bCs/>
          <w:color w:val="auto"/>
        </w:rPr>
        <w:t>原因侵犯第三方版权、专利、税费等，所产生的一切赔偿和责任均由</w:t>
      </w:r>
      <w:r>
        <w:rPr>
          <w:rFonts w:hint="eastAsia" w:hAnsi="宋体"/>
          <w:bCs/>
          <w:color w:val="auto"/>
        </w:rPr>
        <w:t>中标人</w:t>
      </w:r>
      <w:r>
        <w:rPr>
          <w:rFonts w:hint="eastAsia" w:ascii="宋体" w:hAnsi="宋体"/>
          <w:bCs/>
          <w:color w:val="auto"/>
        </w:rPr>
        <w:t>承担。</w:t>
      </w:r>
    </w:p>
    <w:p>
      <w:pPr>
        <w:adjustRightInd w:val="0"/>
        <w:snapToGrid w:val="0"/>
        <w:spacing w:line="360" w:lineRule="auto"/>
        <w:ind w:firstLine="426" w:firstLineChars="202"/>
        <w:rPr>
          <w:b/>
          <w:color w:val="auto"/>
        </w:rPr>
      </w:pPr>
      <w:r>
        <w:rPr>
          <w:rFonts w:hint="eastAsia"/>
          <w:b/>
          <w:color w:val="auto"/>
        </w:rPr>
        <w:t>（二）排涝站、水窦设备配置及维修</w:t>
      </w:r>
    </w:p>
    <w:p>
      <w:pPr>
        <w:adjustRightInd w:val="0"/>
        <w:snapToGrid w:val="0"/>
        <w:spacing w:line="360" w:lineRule="auto"/>
        <w:ind w:firstLine="424" w:firstLineChars="202"/>
        <w:rPr>
          <w:color w:val="auto"/>
        </w:rPr>
      </w:pPr>
      <w:r>
        <w:rPr>
          <w:rFonts w:hint="eastAsia"/>
          <w:color w:val="auto"/>
        </w:rPr>
        <w:t>1、</w:t>
      </w:r>
      <w:r>
        <w:rPr>
          <w:rFonts w:hint="eastAsia" w:hAnsi="宋体"/>
          <w:bCs/>
          <w:color w:val="auto"/>
        </w:rPr>
        <w:t>中标人</w:t>
      </w:r>
      <w:r>
        <w:rPr>
          <w:rFonts w:hint="eastAsia"/>
          <w:color w:val="auto"/>
        </w:rPr>
        <w:t>开展排涝站及其附属设施维修时，若单项设备维修费用等于或小于3000元的由</w:t>
      </w:r>
      <w:r>
        <w:rPr>
          <w:rFonts w:hint="eastAsia" w:hAnsi="宋体"/>
          <w:bCs/>
          <w:color w:val="auto"/>
        </w:rPr>
        <w:t>中标人</w:t>
      </w:r>
      <w:r>
        <w:rPr>
          <w:rFonts w:hint="eastAsia"/>
          <w:color w:val="auto"/>
        </w:rPr>
        <w:t>全额支付；若单项设备维修费用大于3000元但小于30000元的由</w:t>
      </w:r>
      <w:r>
        <w:rPr>
          <w:rFonts w:hint="eastAsia" w:hAnsi="宋体"/>
          <w:bCs/>
          <w:color w:val="auto"/>
        </w:rPr>
        <w:t>中标人</w:t>
      </w:r>
      <w:r>
        <w:rPr>
          <w:rFonts w:hint="eastAsia"/>
          <w:color w:val="auto"/>
        </w:rPr>
        <w:t>支付3000元，剩余部分由</w:t>
      </w:r>
      <w:r>
        <w:rPr>
          <w:rFonts w:hint="eastAsia"/>
          <w:color w:val="auto"/>
          <w:lang w:eastAsia="zh-CN"/>
        </w:rPr>
        <w:t>采购人</w:t>
      </w:r>
      <w:r>
        <w:rPr>
          <w:rFonts w:hint="eastAsia"/>
          <w:color w:val="auto"/>
        </w:rPr>
        <w:t>支付（由</w:t>
      </w:r>
      <w:r>
        <w:rPr>
          <w:rFonts w:hint="eastAsia" w:hAnsi="宋体"/>
          <w:bCs/>
          <w:color w:val="auto"/>
        </w:rPr>
        <w:t>中标人</w:t>
      </w:r>
      <w:r>
        <w:rPr>
          <w:rFonts w:hint="eastAsia"/>
          <w:color w:val="auto"/>
        </w:rPr>
        <w:t>编制预算，并组织实施维修工作、验收合格后，编制项目结算书，经第三方审定，由</w:t>
      </w:r>
      <w:r>
        <w:rPr>
          <w:rFonts w:hint="eastAsia" w:hAnsi="宋体"/>
          <w:bCs/>
          <w:color w:val="auto"/>
        </w:rPr>
        <w:t>中标人</w:t>
      </w:r>
      <w:r>
        <w:rPr>
          <w:rFonts w:hint="eastAsia"/>
          <w:color w:val="auto"/>
        </w:rPr>
        <w:t>按程序报销）。若单项设备维修费用大于30000元的，由</w:t>
      </w:r>
      <w:r>
        <w:rPr>
          <w:rFonts w:hint="eastAsia"/>
          <w:color w:val="auto"/>
          <w:lang w:eastAsia="zh-CN"/>
        </w:rPr>
        <w:t>采购人</w:t>
      </w:r>
      <w:r>
        <w:rPr>
          <w:rFonts w:hint="eastAsia"/>
          <w:color w:val="auto"/>
        </w:rPr>
        <w:t>按程序另行选取维修单位。</w:t>
      </w:r>
    </w:p>
    <w:p>
      <w:pPr>
        <w:adjustRightInd w:val="0"/>
        <w:snapToGrid w:val="0"/>
        <w:spacing w:line="360" w:lineRule="auto"/>
        <w:ind w:firstLine="424" w:firstLineChars="202"/>
        <w:rPr>
          <w:color w:val="auto"/>
        </w:rPr>
      </w:pPr>
      <w:r>
        <w:rPr>
          <w:rFonts w:hint="eastAsia"/>
          <w:color w:val="auto"/>
        </w:rPr>
        <w:t>2、</w:t>
      </w:r>
      <w:r>
        <w:rPr>
          <w:rFonts w:hint="eastAsia" w:hAnsi="宋体"/>
          <w:bCs/>
          <w:color w:val="auto"/>
        </w:rPr>
        <w:t>中标人</w:t>
      </w:r>
      <w:r>
        <w:rPr>
          <w:rFonts w:hint="eastAsia"/>
          <w:color w:val="auto"/>
        </w:rPr>
        <w:t>须进行各排涝站排涝设备的维护、保养工作（包括但不限于对各排涝站的水泵打黄油，机油、机组轴承油、防锈漆等），检查水泵的运转情况，确保所有排涝设施正常运行，建立台账。</w:t>
      </w:r>
    </w:p>
    <w:p>
      <w:pPr>
        <w:adjustRightInd w:val="0"/>
        <w:snapToGrid w:val="0"/>
        <w:spacing w:line="360" w:lineRule="auto"/>
        <w:ind w:firstLine="424" w:firstLineChars="202"/>
        <w:rPr>
          <w:color w:val="auto"/>
        </w:rPr>
      </w:pPr>
      <w:r>
        <w:rPr>
          <w:rFonts w:hint="eastAsia"/>
          <w:color w:val="auto"/>
        </w:rPr>
        <w:t>3、</w:t>
      </w:r>
      <w:r>
        <w:rPr>
          <w:rFonts w:hint="eastAsia" w:hAnsi="宋体"/>
          <w:bCs/>
          <w:color w:val="auto"/>
        </w:rPr>
        <w:t>中标人</w:t>
      </w:r>
      <w:r>
        <w:rPr>
          <w:rFonts w:hint="eastAsia"/>
          <w:color w:val="auto"/>
        </w:rPr>
        <w:t>在开展维护保养工作及紧急排涝时，须与相关社区居委会和街道水利部门保持密切联系，及时以电话或书面形式上报实情。承包期内，</w:t>
      </w:r>
      <w:r>
        <w:rPr>
          <w:rFonts w:hint="eastAsia" w:hAnsi="宋体"/>
          <w:bCs/>
          <w:color w:val="auto"/>
        </w:rPr>
        <w:t>中标人</w:t>
      </w:r>
      <w:r>
        <w:rPr>
          <w:rFonts w:hint="eastAsia"/>
          <w:color w:val="auto"/>
        </w:rPr>
        <w:t>须定期书面汇报养护管理计划及有关措施。</w:t>
      </w:r>
    </w:p>
    <w:p>
      <w:pPr>
        <w:adjustRightInd w:val="0"/>
        <w:snapToGrid w:val="0"/>
        <w:spacing w:line="360" w:lineRule="auto"/>
        <w:ind w:firstLine="420" w:firstLineChars="200"/>
        <w:rPr>
          <w:color w:val="auto"/>
        </w:rPr>
      </w:pPr>
      <w:r>
        <w:rPr>
          <w:rFonts w:hint="eastAsia"/>
          <w:color w:val="auto"/>
        </w:rPr>
        <w:t>4、承担各排涝站排涝设备、水窦设备的日常维修保养工作，所产生的一切费用均由</w:t>
      </w:r>
      <w:r>
        <w:rPr>
          <w:rFonts w:hint="eastAsia" w:hAnsi="宋体"/>
          <w:bCs/>
          <w:color w:val="auto"/>
        </w:rPr>
        <w:t>中标人</w:t>
      </w:r>
      <w:r>
        <w:rPr>
          <w:rFonts w:hint="eastAsia"/>
          <w:color w:val="auto"/>
        </w:rPr>
        <w:t>负责。</w:t>
      </w:r>
    </w:p>
    <w:p>
      <w:pPr>
        <w:adjustRightInd w:val="0"/>
        <w:snapToGrid w:val="0"/>
        <w:spacing w:line="360" w:lineRule="auto"/>
        <w:ind w:firstLine="424" w:firstLineChars="202"/>
        <w:rPr>
          <w:color w:val="auto"/>
        </w:rPr>
      </w:pPr>
      <w:r>
        <w:rPr>
          <w:rFonts w:hint="eastAsia"/>
          <w:color w:val="auto"/>
          <w:lang w:val="en-US" w:eastAsia="zh-CN"/>
        </w:rPr>
        <w:t>5</w:t>
      </w:r>
      <w:r>
        <w:rPr>
          <w:rFonts w:hint="eastAsia"/>
          <w:color w:val="auto"/>
        </w:rPr>
        <w:t>、</w:t>
      </w:r>
      <w:r>
        <w:rPr>
          <w:rFonts w:hint="eastAsia" w:hAnsi="宋体"/>
          <w:bCs/>
          <w:color w:val="auto"/>
        </w:rPr>
        <w:t>中标人</w:t>
      </w:r>
      <w:r>
        <w:rPr>
          <w:rFonts w:hint="eastAsia"/>
          <w:color w:val="auto"/>
        </w:rPr>
        <w:t>对珠江街粤港深度合作区（启动区）内26个水窦设施进行维修管养，定期巡查水窦设施，及时更换水窦配件设施:窦闸板、窦狮利等设施，确保我街水窦设施正常安全运行。</w:t>
      </w:r>
    </w:p>
    <w:p>
      <w:pPr>
        <w:adjustRightInd w:val="0"/>
        <w:snapToGrid w:val="0"/>
        <w:spacing w:line="360" w:lineRule="auto"/>
        <w:ind w:firstLine="426" w:firstLineChars="202"/>
        <w:rPr>
          <w:b/>
          <w:color w:val="auto"/>
        </w:rPr>
      </w:pPr>
      <w:r>
        <w:rPr>
          <w:rFonts w:hint="eastAsia"/>
          <w:b/>
          <w:color w:val="auto"/>
        </w:rPr>
        <w:t>（三）项目人员、巡查车辆及日常管养设备及相关工具等配置数量及要求</w:t>
      </w:r>
    </w:p>
    <w:p>
      <w:pPr>
        <w:adjustRightInd w:val="0"/>
        <w:snapToGrid w:val="0"/>
        <w:spacing w:line="360" w:lineRule="auto"/>
        <w:ind w:firstLine="424" w:firstLineChars="202"/>
        <w:rPr>
          <w:color w:val="auto"/>
        </w:rPr>
      </w:pPr>
      <w:r>
        <w:rPr>
          <w:rFonts w:hint="eastAsia"/>
          <w:color w:val="auto"/>
        </w:rPr>
        <w:t>1、项目人员数量及要求。</w:t>
      </w:r>
      <w:r>
        <w:rPr>
          <w:rFonts w:hint="eastAsia" w:hAnsi="宋体"/>
          <w:bCs/>
          <w:color w:val="auto"/>
        </w:rPr>
        <w:t>中标人</w:t>
      </w:r>
      <w:r>
        <w:rPr>
          <w:rFonts w:hint="eastAsia"/>
          <w:color w:val="auto"/>
        </w:rPr>
        <w:t>须安排1名防汛责任人（即项目经理，需要具有水利水电类专业工程师资质和相应的工作经验）、1名安全员及能满足本项目服务范围内的排涝站及其附属设施管理的岗位操作工投入本项目。项目所投入的安全员及排涝站及其附属设施管理的岗位操作工必须持有电工证。</w:t>
      </w:r>
    </w:p>
    <w:p>
      <w:pPr>
        <w:adjustRightInd w:val="0"/>
        <w:snapToGrid w:val="0"/>
        <w:spacing w:line="360" w:lineRule="auto"/>
        <w:ind w:firstLine="424" w:firstLineChars="202"/>
        <w:rPr>
          <w:color w:val="auto"/>
        </w:rPr>
      </w:pPr>
      <w:r>
        <w:rPr>
          <w:rFonts w:hint="eastAsia"/>
          <w:color w:val="auto"/>
        </w:rPr>
        <w:t xml:space="preserve"> 2、车辆配备。</w:t>
      </w:r>
      <w:r>
        <w:rPr>
          <w:rFonts w:hint="eastAsia" w:hAnsi="宋体"/>
          <w:bCs/>
          <w:color w:val="auto"/>
        </w:rPr>
        <w:t>中标人</w:t>
      </w:r>
      <w:r>
        <w:rPr>
          <w:rFonts w:hint="eastAsia"/>
          <w:color w:val="auto"/>
        </w:rPr>
        <w:t>按要求配备一辆四轮双排座位电动汽车供三防办工作人员日常巡查工作等使用（原始行驶里程不超过2000公里；采购人</w:t>
      </w:r>
      <w:r>
        <w:rPr>
          <w:rFonts w:hint="eastAsia" w:ascii="宋体" w:hAnsi="宋体" w:cs="Courier New" w:eastAsiaTheme="minorEastAsia"/>
          <w:bCs/>
          <w:color w:val="auto"/>
          <w:szCs w:val="21"/>
        </w:rPr>
        <w:t>有权</w:t>
      </w:r>
      <w:r>
        <w:rPr>
          <w:rFonts w:hint="eastAsia" w:ascii="宋体" w:hAnsi="宋体" w:cs="Courier New" w:eastAsiaTheme="minorEastAsia"/>
          <w:bCs/>
          <w:color w:val="auto"/>
          <w:szCs w:val="21"/>
          <w:lang w:eastAsia="zh-CN"/>
        </w:rPr>
        <w:t>要求</w:t>
      </w:r>
      <w:r>
        <w:rPr>
          <w:rFonts w:hint="eastAsia" w:ascii="宋体" w:hAnsi="宋体" w:cs="Courier New" w:eastAsiaTheme="minorEastAsia"/>
          <w:bCs/>
          <w:color w:val="auto"/>
          <w:szCs w:val="21"/>
        </w:rPr>
        <w:t>提供的电动车品牌、型号。</w:t>
      </w:r>
      <w:r>
        <w:rPr>
          <w:rFonts w:hint="eastAsia"/>
          <w:color w:val="auto"/>
        </w:rPr>
        <w:t>）服务期间，电动汽车车辆产生的维修、保险等一切相关费用和安全责任均由乙方负责。</w:t>
      </w:r>
    </w:p>
    <w:p>
      <w:pPr>
        <w:adjustRightInd w:val="0"/>
        <w:snapToGrid w:val="0"/>
        <w:spacing w:line="360" w:lineRule="auto"/>
        <w:ind w:firstLine="424" w:firstLineChars="202"/>
        <w:rPr>
          <w:color w:val="auto"/>
        </w:rPr>
      </w:pPr>
      <w:r>
        <w:rPr>
          <w:rFonts w:hint="eastAsia"/>
          <w:color w:val="auto"/>
        </w:rPr>
        <w:t>3、日常管养设备及相关工具。</w:t>
      </w:r>
      <w:r>
        <w:rPr>
          <w:rFonts w:hint="eastAsia" w:hAnsi="宋体"/>
          <w:bCs/>
          <w:color w:val="auto"/>
        </w:rPr>
        <w:t>中标人</w:t>
      </w:r>
      <w:r>
        <w:rPr>
          <w:rFonts w:hint="eastAsia"/>
          <w:color w:val="auto"/>
        </w:rPr>
        <w:t>进场接管本项目后，必须自行配备能完成本项目日常运行维护管养所需的设备及工具，包含8寸的潜水泵4台、50KW的发电机1台，巡查工作电动汽车1辆，抢修专用车1辆，维修小艇1艘、电焊机、砂轮机、氧割机、水准仪、经纬仪、高压测试仪、继电保护测试仪、开关特性测试仪、接地电阻测试仪、剪草机、喷药机、高空修剪机各一台及其它专用设备及工具。</w:t>
      </w:r>
      <w:r>
        <w:rPr>
          <w:rFonts w:hint="eastAsia" w:hAnsi="宋体"/>
          <w:bCs/>
          <w:color w:val="auto"/>
        </w:rPr>
        <w:t>中标人</w:t>
      </w:r>
      <w:r>
        <w:rPr>
          <w:rFonts w:hint="eastAsia"/>
          <w:color w:val="auto"/>
        </w:rPr>
        <w:t>自行配备的设备及工具产生的相关费用由</w:t>
      </w:r>
      <w:r>
        <w:rPr>
          <w:rFonts w:hint="eastAsia" w:hAnsi="宋体"/>
          <w:bCs/>
          <w:color w:val="auto"/>
        </w:rPr>
        <w:t>中标人</w:t>
      </w:r>
      <w:r>
        <w:rPr>
          <w:rFonts w:hint="eastAsia"/>
          <w:color w:val="auto"/>
        </w:rPr>
        <w:t>负责。</w:t>
      </w:r>
    </w:p>
    <w:p>
      <w:pPr>
        <w:adjustRightInd w:val="0"/>
        <w:snapToGrid w:val="0"/>
        <w:spacing w:line="360" w:lineRule="auto"/>
        <w:rPr>
          <w:b/>
          <w:color w:val="auto"/>
        </w:rPr>
      </w:pPr>
      <w:r>
        <w:rPr>
          <w:rFonts w:hint="eastAsia"/>
          <w:b/>
          <w:color w:val="auto"/>
        </w:rPr>
        <w:t xml:space="preserve">    （四）自建应急抢修队伍要求</w:t>
      </w:r>
    </w:p>
    <w:p>
      <w:pPr>
        <w:adjustRightInd w:val="0"/>
        <w:snapToGrid w:val="0"/>
        <w:spacing w:line="360" w:lineRule="auto"/>
        <w:rPr>
          <w:color w:val="auto"/>
        </w:rPr>
      </w:pPr>
      <w:r>
        <w:rPr>
          <w:rFonts w:hint="eastAsia"/>
          <w:color w:val="auto"/>
        </w:rPr>
        <w:t xml:space="preserve">     1</w:t>
      </w:r>
      <w:r>
        <w:rPr>
          <w:rFonts w:hint="eastAsia"/>
          <w:color w:val="auto"/>
          <w:lang w:eastAsia="zh-CN"/>
        </w:rPr>
        <w:t>、</w:t>
      </w:r>
      <w:r>
        <w:rPr>
          <w:rFonts w:hint="eastAsia" w:hAnsi="宋体"/>
          <w:bCs/>
          <w:color w:val="auto"/>
        </w:rPr>
        <w:t>中标人</w:t>
      </w:r>
      <w:r>
        <w:rPr>
          <w:rFonts w:hint="eastAsia"/>
          <w:color w:val="auto"/>
        </w:rPr>
        <w:t>自进场接管本项目后，建立一支不少于10人应急抢险队伍及安排足够的应急抢险运输车辆（含司机），做好三防应急抢险设备的运输、安装、运行调试以及其他排涝设备的抢修等工作。</w:t>
      </w:r>
    </w:p>
    <w:p>
      <w:pPr>
        <w:adjustRightInd w:val="0"/>
        <w:snapToGrid w:val="0"/>
        <w:spacing w:line="360" w:lineRule="auto"/>
        <w:rPr>
          <w:color w:val="auto"/>
        </w:rPr>
      </w:pPr>
      <w:r>
        <w:rPr>
          <w:rFonts w:hint="eastAsia"/>
          <w:color w:val="auto"/>
        </w:rPr>
        <w:t xml:space="preserve">    2、在汛期或预警响应（汛期或预警响应以通知为准）时，应急抢险队伍及26个岗位操作工必须全部到位，以应对排涝设施应急抢修所需，发生险情能及时做好应急工作。在汛期(汛期以通知为准)必须全部到位，以应对排涝设施应急抢修所需，发生险情能及时做好应急工作。在汛期</w:t>
      </w:r>
      <w:r>
        <w:rPr>
          <w:rFonts w:hint="eastAsia" w:hAnsi="宋体"/>
          <w:bCs/>
          <w:color w:val="auto"/>
        </w:rPr>
        <w:t>中标人</w:t>
      </w:r>
      <w:r>
        <w:rPr>
          <w:rFonts w:hint="eastAsia"/>
          <w:color w:val="auto"/>
        </w:rPr>
        <w:t>必须实行24小时防汛值班，集结待命令时，行动迅速、方案准确、及时抢险，抢险队伍及抢险车辆按实际抢险天数实报实销（抢险人员备勤300元/人/日，人员出动抢险500元/人/日，抢险运输车辆200元/台/日，在抢险过程中抢险人员备勤、人员出动抢险和抢险运输车辆所产生的费用由</w:t>
      </w:r>
      <w:r>
        <w:rPr>
          <w:rFonts w:hint="eastAsia"/>
          <w:color w:val="auto"/>
          <w:lang w:eastAsia="zh-CN"/>
        </w:rPr>
        <w:t>采购人</w:t>
      </w:r>
      <w:r>
        <w:rPr>
          <w:rFonts w:hint="eastAsia"/>
          <w:color w:val="auto"/>
        </w:rPr>
        <w:t>负责）。在抢险工作过程中，除抢险人员备勤、人员出动抢险和抢险运输车辆等费用外，其余费用和抢修队伍的交通、抢险行为等过程中所产生的包括但不限于人身、财产等安全责任均由中标人自行负责。</w:t>
      </w:r>
    </w:p>
    <w:p>
      <w:pPr>
        <w:adjustRightInd w:val="0"/>
        <w:snapToGrid w:val="0"/>
        <w:spacing w:line="360" w:lineRule="auto"/>
        <w:rPr>
          <w:b/>
          <w:color w:val="auto"/>
        </w:rPr>
      </w:pPr>
      <w:r>
        <w:rPr>
          <w:rFonts w:hint="eastAsia"/>
          <w:color w:val="auto"/>
        </w:rPr>
        <w:t xml:space="preserve">    </w:t>
      </w:r>
      <w:r>
        <w:rPr>
          <w:rFonts w:hint="eastAsia"/>
          <w:b/>
          <w:color w:val="auto"/>
        </w:rPr>
        <w:t>（五）其它</w:t>
      </w:r>
    </w:p>
    <w:p>
      <w:pPr>
        <w:adjustRightInd w:val="0"/>
        <w:snapToGrid w:val="0"/>
        <w:spacing w:line="360" w:lineRule="auto"/>
        <w:ind w:firstLine="424" w:firstLineChars="202"/>
        <w:rPr>
          <w:color w:val="auto"/>
        </w:rPr>
      </w:pPr>
      <w:r>
        <w:rPr>
          <w:rFonts w:hint="eastAsia"/>
          <w:color w:val="auto"/>
        </w:rPr>
        <w:t>1、</w:t>
      </w:r>
      <w:r>
        <w:rPr>
          <w:rFonts w:hint="eastAsia" w:hAnsi="宋体"/>
          <w:bCs/>
          <w:color w:val="auto"/>
        </w:rPr>
        <w:t>中标人</w:t>
      </w:r>
      <w:r>
        <w:rPr>
          <w:rFonts w:hint="eastAsia"/>
          <w:color w:val="auto"/>
        </w:rPr>
        <w:t>必须在中标通知书发出15个自然日内在珠江街辖区设置固定办公场所。</w:t>
      </w:r>
    </w:p>
    <w:p>
      <w:pPr>
        <w:adjustRightInd w:val="0"/>
        <w:snapToGrid w:val="0"/>
        <w:spacing w:line="360" w:lineRule="auto"/>
        <w:ind w:firstLine="424" w:firstLineChars="202"/>
        <w:rPr>
          <w:color w:val="auto"/>
        </w:rPr>
      </w:pPr>
      <w:r>
        <w:rPr>
          <w:rFonts w:hint="eastAsia"/>
          <w:color w:val="auto"/>
        </w:rPr>
        <w:t>2、</w:t>
      </w:r>
      <w:r>
        <w:rPr>
          <w:rFonts w:hint="eastAsia" w:hAnsi="宋体"/>
          <w:bCs/>
          <w:color w:val="auto"/>
        </w:rPr>
        <w:t>中标人</w:t>
      </w:r>
      <w:r>
        <w:rPr>
          <w:rFonts w:hint="eastAsia"/>
          <w:color w:val="auto"/>
        </w:rPr>
        <w:t>负责项目投入的所有人员的聘用、上岗培训、技能培训、安全生产培训等相关业务培训。</w:t>
      </w:r>
      <w:r>
        <w:rPr>
          <w:rFonts w:hint="eastAsia" w:hAnsi="宋体"/>
          <w:bCs/>
          <w:color w:val="auto"/>
        </w:rPr>
        <w:t>中标人</w:t>
      </w:r>
      <w:r>
        <w:rPr>
          <w:rFonts w:hint="eastAsia"/>
          <w:color w:val="auto"/>
        </w:rPr>
        <w:t>要按《中华人民共和国劳动法》等相关法律法规的规定与员工签订劳动合同和支付报酬。</w:t>
      </w:r>
    </w:p>
    <w:p>
      <w:pPr>
        <w:adjustRightInd w:val="0"/>
        <w:snapToGrid w:val="0"/>
        <w:spacing w:line="360" w:lineRule="auto"/>
        <w:ind w:firstLine="424" w:firstLineChars="202"/>
        <w:rPr>
          <w:color w:val="auto"/>
        </w:rPr>
      </w:pPr>
      <w:r>
        <w:rPr>
          <w:rFonts w:hint="eastAsia"/>
          <w:color w:val="auto"/>
        </w:rPr>
        <w:t>3、</w:t>
      </w:r>
      <w:r>
        <w:rPr>
          <w:rFonts w:hint="eastAsia" w:hAnsi="宋体"/>
          <w:bCs/>
          <w:color w:val="auto"/>
        </w:rPr>
        <w:t>中标人</w:t>
      </w:r>
      <w:r>
        <w:rPr>
          <w:rFonts w:hint="eastAsia"/>
          <w:color w:val="auto"/>
        </w:rPr>
        <w:t>负责岗位操作规程、运行记录、管理制度、周报月报、应急预案等的编写，建立运行记录等台帐，并定期将相关台账资料上报甲方存档。</w:t>
      </w:r>
    </w:p>
    <w:p>
      <w:pPr>
        <w:adjustRightInd w:val="0"/>
        <w:snapToGrid w:val="0"/>
        <w:spacing w:line="360" w:lineRule="auto"/>
        <w:ind w:firstLine="424" w:firstLineChars="202"/>
        <w:rPr>
          <w:color w:val="auto"/>
        </w:rPr>
      </w:pPr>
      <w:r>
        <w:rPr>
          <w:rFonts w:hint="eastAsia"/>
          <w:color w:val="auto"/>
        </w:rPr>
        <w:t>4、</w:t>
      </w:r>
      <w:r>
        <w:rPr>
          <w:rFonts w:hint="eastAsia" w:hAnsi="宋体"/>
          <w:bCs/>
          <w:color w:val="auto"/>
        </w:rPr>
        <w:t>中标人</w:t>
      </w:r>
      <w:r>
        <w:rPr>
          <w:rFonts w:hint="eastAsia"/>
          <w:color w:val="auto"/>
        </w:rPr>
        <w:t>要按照甲方的要求做好市、区、街布置的临时性任务（含检查、突击整治、重大活动等）以及创文明、创卫作业等。</w:t>
      </w:r>
    </w:p>
    <w:p>
      <w:pPr>
        <w:adjustRightInd w:val="0"/>
        <w:snapToGrid w:val="0"/>
        <w:spacing w:line="360" w:lineRule="auto"/>
        <w:ind w:firstLine="424" w:firstLineChars="202"/>
        <w:rPr>
          <w:rFonts w:hint="eastAsia"/>
          <w:color w:val="auto"/>
        </w:rPr>
      </w:pPr>
      <w:r>
        <w:rPr>
          <w:rFonts w:hint="eastAsia"/>
          <w:color w:val="auto"/>
        </w:rPr>
        <w:t>5、</w:t>
      </w:r>
      <w:r>
        <w:rPr>
          <w:rFonts w:hint="eastAsia" w:hAnsi="宋体"/>
          <w:bCs/>
          <w:color w:val="auto"/>
        </w:rPr>
        <w:t>中标人</w:t>
      </w:r>
      <w:r>
        <w:rPr>
          <w:rFonts w:hint="eastAsia"/>
          <w:color w:val="auto"/>
        </w:rPr>
        <w:t>须自行做好交通、安全、防火等工作，严格按照有关部门的要求，制定有关规章制度，若在合同履行过程中</w:t>
      </w:r>
      <w:r>
        <w:rPr>
          <w:rFonts w:hint="eastAsia" w:hAnsi="宋体"/>
          <w:bCs/>
          <w:color w:val="auto"/>
        </w:rPr>
        <w:t>中标人</w:t>
      </w:r>
      <w:r>
        <w:rPr>
          <w:rFonts w:hint="eastAsia"/>
          <w:color w:val="auto"/>
        </w:rPr>
        <w:t>投入的人员、设备等发生治安、交通、防火、安全生产、计划生育、劳资纠纷等事故，由此产生的一切经济、安全、法律等责任均由</w:t>
      </w:r>
      <w:r>
        <w:rPr>
          <w:rFonts w:hint="eastAsia" w:hAnsi="宋体"/>
          <w:bCs/>
          <w:color w:val="auto"/>
        </w:rPr>
        <w:t>中标人</w:t>
      </w:r>
      <w:r>
        <w:rPr>
          <w:rFonts w:hint="eastAsia"/>
          <w:color w:val="auto"/>
        </w:rPr>
        <w:t>负责；因</w:t>
      </w:r>
      <w:r>
        <w:rPr>
          <w:rFonts w:hint="eastAsia" w:hAnsi="宋体"/>
          <w:bCs/>
          <w:color w:val="auto"/>
        </w:rPr>
        <w:t>中标人</w:t>
      </w:r>
      <w:r>
        <w:rPr>
          <w:rFonts w:hint="eastAsia"/>
          <w:color w:val="auto"/>
        </w:rPr>
        <w:t>工作管养不到位而产生治安、交通、防火、安全生产等问题，一切经济、安全、法律等责任均由</w:t>
      </w:r>
      <w:r>
        <w:rPr>
          <w:rFonts w:hint="eastAsia" w:hAnsi="宋体"/>
          <w:bCs/>
          <w:color w:val="auto"/>
        </w:rPr>
        <w:t>中标人</w:t>
      </w:r>
      <w:r>
        <w:rPr>
          <w:rFonts w:hint="eastAsia"/>
          <w:color w:val="auto"/>
        </w:rPr>
        <w:t>负责，采购人有权单方面解除合同并追究相关违约责任。</w:t>
      </w:r>
    </w:p>
    <w:p>
      <w:pPr>
        <w:adjustRightInd w:val="0"/>
        <w:snapToGrid w:val="0"/>
        <w:spacing w:line="360" w:lineRule="auto"/>
        <w:ind w:firstLine="424" w:firstLineChars="202"/>
        <w:rPr>
          <w:rFonts w:hint="eastAsia"/>
          <w:color w:val="auto"/>
        </w:rPr>
      </w:pPr>
      <w:r>
        <w:rPr>
          <w:rFonts w:hint="eastAsia"/>
          <w:color w:val="auto"/>
        </w:rPr>
        <w:t>6、</w:t>
      </w:r>
      <w:r>
        <w:rPr>
          <w:rFonts w:hint="eastAsia" w:hAnsi="宋体"/>
          <w:bCs/>
          <w:color w:val="auto"/>
        </w:rPr>
        <w:t>中标人</w:t>
      </w:r>
      <w:r>
        <w:rPr>
          <w:rFonts w:hint="eastAsia"/>
          <w:color w:val="auto"/>
        </w:rPr>
        <w:t>必须严格遵守《中华人民共和国安全生产法》及劳动操作规程，采取周密的安全措施，以避免对人身和财产的损害；</w:t>
      </w:r>
      <w:r>
        <w:rPr>
          <w:rFonts w:hint="eastAsia" w:hAnsi="宋体"/>
          <w:bCs/>
          <w:color w:val="auto"/>
        </w:rPr>
        <w:t>中标人</w:t>
      </w:r>
      <w:r>
        <w:rPr>
          <w:rFonts w:hint="eastAsia"/>
          <w:color w:val="auto"/>
        </w:rPr>
        <w:t>在履行本合同过程中造成人身伤害或财产损失的，由</w:t>
      </w:r>
      <w:r>
        <w:rPr>
          <w:rFonts w:hint="eastAsia" w:hAnsi="宋体"/>
          <w:bCs/>
          <w:color w:val="auto"/>
        </w:rPr>
        <w:t>中标人</w:t>
      </w:r>
      <w:r>
        <w:rPr>
          <w:rFonts w:hint="eastAsia"/>
          <w:color w:val="auto"/>
        </w:rPr>
        <w:t xml:space="preserve">自行承担全部责任。 </w:t>
      </w:r>
    </w:p>
    <w:p>
      <w:pPr>
        <w:pStyle w:val="2"/>
        <w:tabs>
          <w:tab w:val="left" w:pos="420"/>
          <w:tab w:val="left" w:pos="540"/>
        </w:tabs>
        <w:adjustRightInd w:val="0"/>
        <w:snapToGrid w:val="0"/>
        <w:spacing w:line="360" w:lineRule="auto"/>
        <w:rPr>
          <w:rFonts w:hAnsi="宋体" w:cs="宋体"/>
          <w:b/>
          <w:color w:val="auto"/>
        </w:rPr>
      </w:pPr>
      <w:r>
        <w:rPr>
          <w:rFonts w:hint="eastAsia" w:hAnsi="宋体" w:cs="宋体"/>
          <w:b/>
          <w:color w:val="auto"/>
        </w:rPr>
        <w:t xml:space="preserve">    四、付款方式</w:t>
      </w:r>
    </w:p>
    <w:p>
      <w:pPr>
        <w:adjustRightInd w:val="0"/>
        <w:snapToGrid w:val="0"/>
        <w:spacing w:line="360" w:lineRule="auto"/>
        <w:jc w:val="left"/>
        <w:rPr>
          <w:rFonts w:ascii="宋体" w:hAnsi="宋体" w:cs="Courier New" w:eastAsiaTheme="minorEastAsia"/>
          <w:bCs/>
          <w:color w:val="auto"/>
          <w:szCs w:val="21"/>
        </w:rPr>
      </w:pPr>
      <w:r>
        <w:rPr>
          <w:rFonts w:hint="eastAsia" w:ascii="宋体" w:hAnsi="宋体"/>
          <w:color w:val="auto"/>
          <w:kern w:val="21"/>
          <w:szCs w:val="21"/>
        </w:rPr>
        <w:t xml:space="preserve">   </w:t>
      </w:r>
      <w:r>
        <w:rPr>
          <w:rFonts w:hint="eastAsia" w:ascii="宋体" w:hAnsi="宋体"/>
          <w:color w:val="auto"/>
          <w:kern w:val="21"/>
          <w:szCs w:val="21"/>
          <w:lang w:val="en-US" w:eastAsia="zh-CN"/>
        </w:rPr>
        <w:t xml:space="preserve">  </w:t>
      </w:r>
      <w:r>
        <w:rPr>
          <w:rFonts w:hint="eastAsia" w:ascii="宋体" w:hAnsi="宋体" w:cs="Courier New" w:eastAsiaTheme="minorEastAsia"/>
          <w:bCs/>
          <w:color w:val="auto"/>
          <w:szCs w:val="21"/>
          <w:lang w:val="en-US" w:eastAsia="zh-CN"/>
        </w:rPr>
        <w:t>(一）</w:t>
      </w:r>
      <w:r>
        <w:rPr>
          <w:rFonts w:hint="eastAsia" w:ascii="宋体" w:hAnsi="宋体" w:cs="Courier New" w:eastAsiaTheme="minorEastAsia"/>
          <w:bCs/>
          <w:color w:val="auto"/>
          <w:szCs w:val="21"/>
        </w:rPr>
        <w:t>付款方式：承包期内，采购人按照月度考评结果并结合本合同的相关约定最终确定每月承包金额，在</w:t>
      </w:r>
      <w:r>
        <w:rPr>
          <w:rFonts w:hint="eastAsia" w:hAnsi="宋体"/>
          <w:bCs/>
          <w:color w:val="auto"/>
        </w:rPr>
        <w:t>中标人</w:t>
      </w:r>
      <w:r>
        <w:rPr>
          <w:rFonts w:hint="eastAsia" w:ascii="宋体" w:hAnsi="宋体" w:cs="Courier New" w:eastAsiaTheme="minorEastAsia"/>
          <w:bCs/>
          <w:color w:val="auto"/>
          <w:szCs w:val="21"/>
        </w:rPr>
        <w:t>向采购人提供相应金额的有效发票和相关报账材料的前提下，按月结算并以转账方式支付上月费用。若</w:t>
      </w:r>
      <w:r>
        <w:rPr>
          <w:rFonts w:hint="eastAsia" w:hAnsi="宋体"/>
          <w:bCs/>
          <w:color w:val="auto"/>
        </w:rPr>
        <w:t>中标人</w:t>
      </w:r>
      <w:r>
        <w:rPr>
          <w:rFonts w:hint="eastAsia" w:ascii="宋体" w:hAnsi="宋体" w:cs="Courier New" w:eastAsiaTheme="minorEastAsia"/>
          <w:bCs/>
          <w:color w:val="auto"/>
          <w:szCs w:val="21"/>
        </w:rPr>
        <w:t>未能按时提供等额有效发票和相关报账材料，采购人有权不予付款，且不承担逾期付款责任及任何违约责任。</w:t>
      </w:r>
    </w:p>
    <w:p>
      <w:pPr>
        <w:adjustRightInd w:val="0"/>
        <w:snapToGrid w:val="0"/>
        <w:spacing w:line="360" w:lineRule="auto"/>
        <w:jc w:val="left"/>
        <w:rPr>
          <w:rFonts w:ascii="宋体" w:hAnsi="宋体"/>
          <w:bCs/>
          <w:color w:val="auto"/>
        </w:rPr>
      </w:pPr>
      <w:r>
        <w:rPr>
          <w:rFonts w:hint="eastAsia" w:ascii="宋体" w:hAnsi="宋体"/>
          <w:bCs/>
          <w:color w:val="auto"/>
        </w:rPr>
        <w:t xml:space="preserve">    （</w:t>
      </w:r>
      <w:r>
        <w:rPr>
          <w:rFonts w:hint="eastAsia" w:ascii="宋体" w:hAnsi="宋体"/>
          <w:bCs/>
          <w:color w:val="auto"/>
          <w:lang w:eastAsia="zh-CN"/>
        </w:rPr>
        <w:t>二</w:t>
      </w:r>
      <w:r>
        <w:rPr>
          <w:rFonts w:hint="eastAsia" w:ascii="宋体" w:hAnsi="宋体"/>
          <w:bCs/>
          <w:color w:val="auto"/>
        </w:rPr>
        <w:t>）</w:t>
      </w:r>
      <w:r>
        <w:rPr>
          <w:rFonts w:hint="eastAsia" w:ascii="宋体" w:hAnsi="宋体"/>
          <w:bCs/>
          <w:color w:val="auto"/>
          <w:lang w:eastAsia="zh-CN"/>
        </w:rPr>
        <w:t>中标人</w:t>
      </w:r>
      <w:r>
        <w:rPr>
          <w:rFonts w:hint="eastAsia" w:ascii="宋体" w:hAnsi="宋体"/>
          <w:bCs/>
          <w:color w:val="auto"/>
        </w:rPr>
        <w:t>确认接收承包费用的账户信息为：</w:t>
      </w:r>
    </w:p>
    <w:p>
      <w:pPr>
        <w:adjustRightInd w:val="0"/>
        <w:snapToGrid w:val="0"/>
        <w:spacing w:line="360" w:lineRule="auto"/>
        <w:jc w:val="left"/>
        <w:rPr>
          <w:rFonts w:ascii="宋体" w:hAnsi="宋体"/>
          <w:bCs/>
          <w:color w:val="auto"/>
        </w:rPr>
      </w:pPr>
      <w:r>
        <w:rPr>
          <w:rFonts w:hint="eastAsia" w:ascii="宋体" w:hAnsi="宋体"/>
          <w:bCs/>
          <w:color w:val="auto"/>
        </w:rPr>
        <w:t xml:space="preserve">     户名:</w:t>
      </w:r>
    </w:p>
    <w:p>
      <w:pPr>
        <w:adjustRightInd w:val="0"/>
        <w:snapToGrid w:val="0"/>
        <w:spacing w:line="360" w:lineRule="auto"/>
        <w:jc w:val="left"/>
        <w:rPr>
          <w:rFonts w:ascii="宋体" w:hAnsi="宋体"/>
          <w:bCs/>
          <w:color w:val="auto"/>
        </w:rPr>
      </w:pPr>
      <w:r>
        <w:rPr>
          <w:rFonts w:hint="eastAsia" w:ascii="宋体" w:hAnsi="宋体"/>
          <w:bCs/>
          <w:color w:val="auto"/>
        </w:rPr>
        <w:t xml:space="preserve">     开户银行：</w:t>
      </w:r>
    </w:p>
    <w:p>
      <w:pPr>
        <w:adjustRightInd w:val="0"/>
        <w:snapToGrid w:val="0"/>
        <w:spacing w:line="360" w:lineRule="auto"/>
        <w:jc w:val="left"/>
        <w:rPr>
          <w:rFonts w:ascii="宋体" w:hAnsi="宋体" w:cs="Courier New" w:eastAsiaTheme="minorEastAsia"/>
          <w:bCs/>
          <w:color w:val="auto"/>
          <w:szCs w:val="21"/>
        </w:rPr>
      </w:pPr>
      <w:r>
        <w:rPr>
          <w:rFonts w:hint="eastAsia" w:ascii="宋体" w:hAnsi="宋体" w:cs="Courier New" w:eastAsiaTheme="minorEastAsia"/>
          <w:bCs/>
          <w:color w:val="auto"/>
          <w:szCs w:val="21"/>
        </w:rPr>
        <w:t xml:space="preserve">     账号：</w:t>
      </w:r>
    </w:p>
    <w:p>
      <w:pPr>
        <w:adjustRightInd w:val="0"/>
        <w:snapToGrid w:val="0"/>
        <w:spacing w:line="360" w:lineRule="auto"/>
        <w:jc w:val="left"/>
        <w:rPr>
          <w:rFonts w:ascii="宋体" w:hAnsi="宋体" w:cs="Courier New" w:eastAsiaTheme="minorEastAsia"/>
          <w:bCs/>
          <w:color w:val="auto"/>
          <w:szCs w:val="21"/>
        </w:rPr>
      </w:pPr>
      <w:r>
        <w:rPr>
          <w:rFonts w:hint="eastAsia" w:ascii="宋体" w:hAnsi="宋体" w:cs="Courier New" w:eastAsiaTheme="minorEastAsia"/>
          <w:bCs/>
          <w:color w:val="auto"/>
          <w:szCs w:val="21"/>
        </w:rPr>
        <w:t xml:space="preserve">    （</w:t>
      </w:r>
      <w:r>
        <w:rPr>
          <w:rFonts w:hint="eastAsia" w:ascii="宋体" w:hAnsi="宋体" w:cs="Courier New" w:eastAsiaTheme="minorEastAsia"/>
          <w:bCs/>
          <w:color w:val="auto"/>
          <w:szCs w:val="21"/>
          <w:lang w:eastAsia="zh-CN"/>
        </w:rPr>
        <w:t>三</w:t>
      </w:r>
      <w:r>
        <w:rPr>
          <w:rFonts w:hint="eastAsia" w:ascii="宋体" w:hAnsi="宋体" w:cs="Courier New" w:eastAsiaTheme="minorEastAsia"/>
          <w:bCs/>
          <w:color w:val="auto"/>
          <w:szCs w:val="21"/>
        </w:rPr>
        <w:t>）因采购人使用财政资金，采购人在规定的付款时间内将承包费用的报账材料递交至采购人财务部门，即视为采购人已履行财务支付手续按期支付。</w:t>
      </w:r>
    </w:p>
    <w:p>
      <w:pPr>
        <w:pStyle w:val="2"/>
        <w:tabs>
          <w:tab w:val="left" w:pos="540"/>
        </w:tabs>
        <w:adjustRightInd w:val="0"/>
        <w:snapToGrid w:val="0"/>
        <w:spacing w:line="360" w:lineRule="auto"/>
        <w:ind w:left="-10" w:firstLine="426" w:firstLineChars="203"/>
        <w:rPr>
          <w:rFonts w:hint="eastAsia" w:ascii="ˎ̥" w:hAnsi="ˎ̥" w:cs="Arial"/>
          <w:bCs/>
          <w:color w:val="auto"/>
        </w:rPr>
      </w:pPr>
      <w:r>
        <w:rPr>
          <w:rFonts w:hint="eastAsia" w:ascii="ˎ̥" w:hAnsi="ˎ̥" w:cs="Arial"/>
          <w:bCs/>
          <w:color w:val="auto"/>
        </w:rPr>
        <w:t>五、履约保证金</w:t>
      </w:r>
    </w:p>
    <w:p>
      <w:pPr>
        <w:pStyle w:val="2"/>
        <w:tabs>
          <w:tab w:val="left" w:pos="540"/>
        </w:tabs>
        <w:adjustRightInd w:val="0"/>
        <w:snapToGrid w:val="0"/>
        <w:spacing w:line="360" w:lineRule="auto"/>
        <w:ind w:left="-10" w:firstLine="426" w:firstLineChars="203"/>
        <w:rPr>
          <w:rFonts w:hAnsi="宋体" w:eastAsia="宋体" w:cs="Times New Roman"/>
          <w:bCs/>
          <w:color w:val="auto"/>
          <w:szCs w:val="24"/>
          <w:u w:val="single"/>
        </w:rPr>
      </w:pPr>
      <w:r>
        <w:rPr>
          <w:rFonts w:hint="eastAsia" w:ascii="ˎ̥" w:hAnsi="ˎ̥" w:cs="Arial"/>
          <w:bCs/>
          <w:color w:val="auto"/>
        </w:rPr>
        <w:t>1、本合同生效当日，中标人必须向采购人提交履约保证金金额为      元（大写金额：     元整，</w:t>
      </w:r>
      <w:r>
        <w:rPr>
          <w:rFonts w:hint="eastAsia" w:hAnsi="宋体"/>
          <w:bCs/>
          <w:color w:val="auto"/>
        </w:rPr>
        <w:t>按合同的10%进行计算</w:t>
      </w:r>
      <w:r>
        <w:rPr>
          <w:rFonts w:hint="eastAsia" w:hAnsi="宋体" w:eastAsia="宋体" w:cs="Times New Roman"/>
          <w:bCs/>
          <w:color w:val="auto"/>
          <w:szCs w:val="24"/>
        </w:rPr>
        <w:t>），履约保证金缴纳方式按照采购人财务部门要求执行。本承包合同期满后且</w:t>
      </w:r>
      <w:r>
        <w:rPr>
          <w:rFonts w:hint="eastAsia" w:hAnsi="宋体"/>
          <w:bCs/>
          <w:color w:val="auto"/>
        </w:rPr>
        <w:t>中标人</w:t>
      </w:r>
      <w:r>
        <w:rPr>
          <w:rFonts w:hint="eastAsia" w:hAnsi="宋体" w:eastAsia="宋体" w:cs="Times New Roman"/>
          <w:bCs/>
          <w:color w:val="auto"/>
          <w:szCs w:val="24"/>
        </w:rPr>
        <w:t>不存在任何违约行为的情况下，采购人应在</w:t>
      </w:r>
      <w:r>
        <w:rPr>
          <w:rFonts w:hint="eastAsia" w:hAnsi="宋体"/>
          <w:bCs/>
          <w:color w:val="auto"/>
        </w:rPr>
        <w:t>中标人</w:t>
      </w:r>
      <w:r>
        <w:rPr>
          <w:rFonts w:hint="eastAsia" w:hAnsi="宋体" w:eastAsia="宋体" w:cs="Times New Roman"/>
          <w:bCs/>
          <w:color w:val="auto"/>
          <w:szCs w:val="24"/>
        </w:rPr>
        <w:t>按照采购人财务部门要求提交相关退还履约保证金资料之日起30个工作日内将履约保证金无息退还给</w:t>
      </w:r>
      <w:r>
        <w:rPr>
          <w:rFonts w:hint="eastAsia" w:hAnsi="宋体"/>
          <w:bCs/>
          <w:color w:val="auto"/>
        </w:rPr>
        <w:t>中标人</w:t>
      </w:r>
      <w:r>
        <w:rPr>
          <w:rFonts w:hint="eastAsia" w:hAnsi="宋体" w:eastAsia="宋体" w:cs="Times New Roman"/>
          <w:bCs/>
          <w:color w:val="auto"/>
          <w:szCs w:val="24"/>
        </w:rPr>
        <w:t>。采购人</w:t>
      </w:r>
      <w:r>
        <w:rPr>
          <w:rFonts w:hint="eastAsia" w:hAnsi="宋体" w:eastAsia="宋体" w:cs="Times New Roman"/>
          <w:bCs/>
          <w:color w:val="auto"/>
          <w:szCs w:val="24"/>
          <w:lang w:eastAsia="zh-CN"/>
        </w:rPr>
        <w:t>水利</w:t>
      </w:r>
      <w:r>
        <w:rPr>
          <w:rFonts w:hint="eastAsia" w:hAnsi="宋体" w:eastAsia="宋体" w:cs="Times New Roman"/>
          <w:bCs/>
          <w:color w:val="auto"/>
          <w:szCs w:val="24"/>
        </w:rPr>
        <w:t>部门将本合同报账材料递交至采购人财务部门，则视为已履行财务支付手续。</w:t>
      </w:r>
    </w:p>
    <w:p>
      <w:pPr>
        <w:adjustRightInd w:val="0"/>
        <w:snapToGrid w:val="0"/>
        <w:spacing w:line="360" w:lineRule="auto"/>
        <w:rPr>
          <w:rFonts w:ascii="宋体" w:hAnsi="宋体"/>
          <w:bCs/>
          <w:color w:val="auto"/>
        </w:rPr>
      </w:pPr>
      <w:r>
        <w:rPr>
          <w:rFonts w:hint="eastAsia" w:ascii="宋体" w:hAnsi="宋体"/>
          <w:bCs/>
          <w:color w:val="auto"/>
        </w:rPr>
        <w:t xml:space="preserve">    2、在承包履行期间，当发生以下任何一种情形，采购人有权不予退还履约保证金外(履约保证金全部归采购人所有），还有权拒绝支付应付未付的服务费用，履约保证金和应付未付的承包费不足以赔偿采购人或其他损失的，</w:t>
      </w:r>
      <w:r>
        <w:rPr>
          <w:rFonts w:hint="eastAsia" w:hAnsi="宋体"/>
          <w:bCs/>
          <w:color w:val="auto"/>
        </w:rPr>
        <w:t>中标人</w:t>
      </w:r>
      <w:r>
        <w:rPr>
          <w:rFonts w:hint="eastAsia" w:ascii="宋体" w:hAnsi="宋体"/>
          <w:bCs/>
          <w:color w:val="auto"/>
        </w:rPr>
        <w:t>应在采购人的损失金额确定后的15日内自行补充支付，且采购人享有继续追偿的权力：（一）有明显证据证明</w:t>
      </w:r>
      <w:r>
        <w:rPr>
          <w:rFonts w:hint="eastAsia" w:hAnsi="宋体"/>
          <w:bCs/>
          <w:color w:val="auto"/>
        </w:rPr>
        <w:t>中标人</w:t>
      </w:r>
      <w:r>
        <w:rPr>
          <w:rFonts w:hint="eastAsia" w:ascii="宋体" w:hAnsi="宋体"/>
          <w:bCs/>
          <w:color w:val="auto"/>
        </w:rPr>
        <w:t>未履行本合同约定的；（二）因</w:t>
      </w:r>
      <w:r>
        <w:rPr>
          <w:rFonts w:hint="eastAsia" w:hAnsi="宋体"/>
          <w:bCs/>
          <w:color w:val="auto"/>
        </w:rPr>
        <w:t>中标人</w:t>
      </w:r>
      <w:r>
        <w:rPr>
          <w:rFonts w:hint="eastAsia" w:ascii="宋体" w:hAnsi="宋体"/>
          <w:bCs/>
          <w:color w:val="auto"/>
        </w:rPr>
        <w:t>存在过错致采购人造成损失的；（三）因</w:t>
      </w:r>
      <w:r>
        <w:rPr>
          <w:rFonts w:hint="eastAsia" w:hAnsi="宋体"/>
          <w:bCs/>
          <w:color w:val="auto"/>
        </w:rPr>
        <w:t>中标人</w:t>
      </w:r>
      <w:r>
        <w:rPr>
          <w:rFonts w:hint="eastAsia" w:ascii="宋体" w:hAnsi="宋体"/>
          <w:bCs/>
          <w:color w:val="auto"/>
        </w:rPr>
        <w:t>向采购人提出解除合同申请但未经采购人书面同意而不履行本合同的；（四）采购人行使单方解除权解除本合同；（五)</w:t>
      </w:r>
      <w:r>
        <w:rPr>
          <w:rFonts w:hint="eastAsia" w:hAnsi="宋体"/>
          <w:bCs/>
          <w:color w:val="auto"/>
        </w:rPr>
        <w:t xml:space="preserve"> 中标人</w:t>
      </w:r>
      <w:r>
        <w:rPr>
          <w:rFonts w:hint="eastAsia" w:ascii="宋体" w:hAnsi="宋体"/>
          <w:bCs/>
          <w:color w:val="auto"/>
        </w:rPr>
        <w:t>不按规定支付项目员工工资福利或履行赔偿损失的；（六）</w:t>
      </w:r>
      <w:r>
        <w:rPr>
          <w:rFonts w:hint="eastAsia" w:hAnsi="宋体"/>
          <w:bCs/>
          <w:color w:val="auto"/>
        </w:rPr>
        <w:t>中标人</w:t>
      </w:r>
      <w:r>
        <w:rPr>
          <w:rFonts w:hint="eastAsia" w:ascii="宋体" w:hAnsi="宋体"/>
          <w:bCs/>
          <w:color w:val="auto"/>
        </w:rPr>
        <w:t>发生安全生产或其他事故，没有履行或没有履行完赔偿义务的。</w:t>
      </w:r>
    </w:p>
    <w:p>
      <w:pPr>
        <w:adjustRightInd w:val="0"/>
        <w:snapToGrid w:val="0"/>
        <w:spacing w:line="360" w:lineRule="auto"/>
        <w:ind w:firstLine="424" w:firstLineChars="202"/>
        <w:rPr>
          <w:rFonts w:ascii="宋体" w:hAnsi="宋体"/>
          <w:bCs/>
          <w:color w:val="auto"/>
        </w:rPr>
      </w:pPr>
      <w:r>
        <w:rPr>
          <w:rFonts w:hint="eastAsia" w:ascii="宋体" w:hAnsi="宋体"/>
          <w:bCs/>
          <w:color w:val="auto"/>
        </w:rPr>
        <w:t xml:space="preserve"> 六、考核</w:t>
      </w:r>
    </w:p>
    <w:p>
      <w:pPr>
        <w:adjustRightInd w:val="0"/>
        <w:snapToGrid w:val="0"/>
        <w:spacing w:line="360" w:lineRule="auto"/>
        <w:ind w:firstLine="424" w:firstLineChars="202"/>
        <w:rPr>
          <w:rFonts w:ascii="宋体" w:hAnsi="宋体"/>
          <w:bCs/>
          <w:color w:val="auto"/>
        </w:rPr>
      </w:pPr>
      <w:r>
        <w:rPr>
          <w:rFonts w:hint="eastAsia" w:ascii="宋体" w:hAnsi="宋体"/>
          <w:bCs/>
          <w:color w:val="auto"/>
        </w:rPr>
        <w:t>（一) 采购人单方面有权对中标人履行合同事项、服务质量等方面制定标准进行考核、检查(考评标准见附件2)，包括但不限于检查的内容、方式、扣减金额等均可由采购人单方面根据实际需要或招投标文件内容进行设定或调整。中标人在采购人街道相关部门组织的月度考核评分中，得分90分（含90分）以上，支付全额当月承包费；得分低于90分的，则每扣一分，相应扣减2000元作为违约金；当连续三个月在街道有关部门组织的月度考核中达不到85分的，采购人有权单方面解除合同并重新选取承包单位。</w:t>
      </w:r>
    </w:p>
    <w:p>
      <w:pPr>
        <w:adjustRightInd w:val="0"/>
        <w:snapToGrid w:val="0"/>
        <w:spacing w:line="360" w:lineRule="auto"/>
        <w:ind w:left="-2" w:leftChars="-1" w:firstLine="424" w:firstLineChars="202"/>
        <w:rPr>
          <w:rFonts w:ascii="宋体" w:hAnsi="宋体"/>
          <w:bCs/>
          <w:color w:val="auto"/>
        </w:rPr>
      </w:pPr>
      <w:r>
        <w:rPr>
          <w:rFonts w:hint="eastAsia" w:ascii="宋体" w:hAnsi="宋体"/>
          <w:bCs/>
          <w:color w:val="auto"/>
        </w:rPr>
        <w:t>（二）若因中标人在合同履行期间发生以下情况，采购人有权单方面解除合同，扣减当月承包费，情况包括：1、因中标人管理不到位或质量较差造成采购人及有关部门被通报批评；2、受到社区居委会或群众投诉或传媒曝光等问题；3、中标人通过整改后仍不合格；4、中标人拒绝或不予整改的。</w:t>
      </w:r>
    </w:p>
    <w:p>
      <w:pPr>
        <w:tabs>
          <w:tab w:val="left" w:pos="425"/>
        </w:tabs>
        <w:autoSpaceDE w:val="0"/>
        <w:autoSpaceDN w:val="0"/>
        <w:adjustRightInd w:val="0"/>
        <w:snapToGrid w:val="0"/>
        <w:spacing w:line="360" w:lineRule="auto"/>
        <w:jc w:val="left"/>
        <w:rPr>
          <w:rFonts w:ascii="宋体" w:hAnsi="宋体" w:cs="宋体"/>
          <w:color w:val="auto"/>
          <w:kern w:val="21"/>
          <w:szCs w:val="21"/>
        </w:rPr>
      </w:pPr>
    </w:p>
    <w:p>
      <w:pPr>
        <w:pStyle w:val="18"/>
        <w:rPr>
          <w:rFonts w:ascii="宋体" w:hAnsi="宋体" w:cs="宋体"/>
          <w:color w:val="auto"/>
          <w:kern w:val="21"/>
          <w:szCs w:val="21"/>
        </w:rPr>
      </w:pPr>
      <w:r>
        <w:rPr>
          <w:rFonts w:hint="eastAsia" w:ascii="宋体" w:hAnsi="宋体" w:cs="宋体"/>
          <w:color w:val="auto"/>
          <w:kern w:val="21"/>
          <w:szCs w:val="21"/>
        </w:rPr>
        <w:t>附件：</w:t>
      </w:r>
    </w:p>
    <w:p>
      <w:pPr>
        <w:pStyle w:val="18"/>
        <w:rPr>
          <w:rFonts w:ascii="宋体" w:hAnsi="宋体" w:cs="宋体"/>
          <w:color w:val="auto"/>
          <w:kern w:val="21"/>
          <w:szCs w:val="21"/>
        </w:rPr>
      </w:pPr>
      <w:r>
        <w:rPr>
          <w:rFonts w:hint="eastAsia" w:ascii="宋体" w:hAnsi="宋体" w:cs="宋体"/>
          <w:color w:val="auto"/>
          <w:kern w:val="21"/>
          <w:szCs w:val="21"/>
        </w:rPr>
        <w:t>1.珠江街2021年粤港深度合作区（启动区）排水设施设备明细表</w:t>
      </w:r>
    </w:p>
    <w:p>
      <w:pPr>
        <w:pStyle w:val="18"/>
        <w:rPr>
          <w:rFonts w:ascii="宋体" w:hAnsi="宋体" w:cs="宋体"/>
          <w:color w:val="auto"/>
          <w:kern w:val="21"/>
          <w:szCs w:val="21"/>
        </w:rPr>
      </w:pPr>
      <w:r>
        <w:rPr>
          <w:rFonts w:hint="eastAsia" w:ascii="宋体" w:hAnsi="宋体" w:cs="宋体"/>
          <w:color w:val="auto"/>
          <w:kern w:val="21"/>
          <w:szCs w:val="21"/>
        </w:rPr>
        <w:t>2.珠江街2021年粤港深度合作区（启动区）临时排水设施日常运行管养项目月度考核评分表</w:t>
      </w:r>
    </w:p>
    <w:p>
      <w:pPr>
        <w:pStyle w:val="2"/>
        <w:rPr>
          <w:color w:val="auto"/>
        </w:rPr>
      </w:pPr>
      <w:r>
        <w:rPr>
          <w:color w:val="auto"/>
        </w:rPr>
        <w:br w:type="page"/>
      </w:r>
    </w:p>
    <w:p>
      <w:pPr>
        <w:pStyle w:val="18"/>
        <w:rPr>
          <w:rFonts w:ascii="宋体" w:hAnsi="宋体" w:cs="宋体"/>
          <w:color w:val="auto"/>
          <w:kern w:val="21"/>
          <w:szCs w:val="21"/>
        </w:rPr>
      </w:pPr>
      <w:r>
        <w:rPr>
          <w:rFonts w:hint="eastAsia" w:ascii="宋体" w:hAnsi="宋体" w:cs="宋体"/>
          <w:color w:val="auto"/>
          <w:kern w:val="21"/>
          <w:szCs w:val="21"/>
        </w:rPr>
        <w:t>附件1</w:t>
      </w:r>
    </w:p>
    <w:p>
      <w:pPr>
        <w:pStyle w:val="18"/>
        <w:jc w:val="center"/>
        <w:rPr>
          <w:rFonts w:ascii="宋体" w:hAnsi="宋体" w:cs="宋体"/>
          <w:b/>
          <w:color w:val="auto"/>
          <w:kern w:val="21"/>
          <w:sz w:val="24"/>
          <w:szCs w:val="21"/>
        </w:rPr>
      </w:pPr>
      <w:r>
        <w:rPr>
          <w:rFonts w:hint="eastAsia" w:ascii="宋体" w:hAnsi="宋体" w:cs="宋体"/>
          <w:b/>
          <w:color w:val="auto"/>
          <w:kern w:val="21"/>
          <w:sz w:val="24"/>
          <w:szCs w:val="21"/>
        </w:rPr>
        <w:t>珠江街2021年粤港深度合作区（启动区）排水设施设备明细表</w:t>
      </w:r>
    </w:p>
    <w:tbl>
      <w:tblPr>
        <w:tblStyle w:val="44"/>
        <w:tblW w:w="9414" w:type="dxa"/>
        <w:tblInd w:w="113" w:type="dxa"/>
        <w:tblLayout w:type="fixed"/>
        <w:tblCellMar>
          <w:top w:w="0" w:type="dxa"/>
          <w:left w:w="108" w:type="dxa"/>
          <w:bottom w:w="0" w:type="dxa"/>
          <w:right w:w="108" w:type="dxa"/>
        </w:tblCellMar>
      </w:tblPr>
      <w:tblGrid>
        <w:gridCol w:w="565"/>
        <w:gridCol w:w="1463"/>
        <w:gridCol w:w="1829"/>
        <w:gridCol w:w="2029"/>
        <w:gridCol w:w="2162"/>
        <w:gridCol w:w="1366"/>
      </w:tblGrid>
      <w:tr>
        <w:tblPrEx>
          <w:tblLayout w:type="fixed"/>
          <w:tblCellMar>
            <w:top w:w="0" w:type="dxa"/>
            <w:left w:w="108" w:type="dxa"/>
            <w:bottom w:w="0" w:type="dxa"/>
            <w:right w:w="108" w:type="dxa"/>
          </w:tblCellMar>
        </w:tblPrEx>
        <w:trPr>
          <w:trHeight w:val="412" w:hRule="atLeast"/>
        </w:trPr>
        <w:tc>
          <w:tcPr>
            <w:tcW w:w="5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序号</w:t>
            </w:r>
          </w:p>
        </w:tc>
        <w:tc>
          <w:tcPr>
            <w:tcW w:w="14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排水设施名称</w:t>
            </w:r>
          </w:p>
        </w:tc>
        <w:tc>
          <w:tcPr>
            <w:tcW w:w="7386" w:type="dxa"/>
            <w:gridSpan w:val="4"/>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管理内容</w:t>
            </w:r>
          </w:p>
        </w:tc>
      </w:tr>
      <w:tr>
        <w:tblPrEx>
          <w:tblLayout w:type="fixed"/>
          <w:tblCellMar>
            <w:top w:w="0" w:type="dxa"/>
            <w:left w:w="108" w:type="dxa"/>
            <w:bottom w:w="0" w:type="dxa"/>
            <w:right w:w="108" w:type="dxa"/>
          </w:tblCellMar>
        </w:tblPrEx>
        <w:trPr>
          <w:trHeight w:val="377" w:hRule="atLeast"/>
        </w:trPr>
        <w:tc>
          <w:tcPr>
            <w:tcW w:w="565"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eastAsiaTheme="minorEastAsia"/>
                <w:color w:val="auto"/>
                <w:kern w:val="0"/>
                <w:szCs w:val="21"/>
              </w:rPr>
            </w:pPr>
          </w:p>
        </w:tc>
        <w:tc>
          <w:tcPr>
            <w:tcW w:w="146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eastAsiaTheme="minorEastAsia"/>
                <w:color w:val="auto"/>
                <w:kern w:val="0"/>
                <w:szCs w:val="21"/>
              </w:rPr>
            </w:pP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柴油机</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电机</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泵型号</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水窦</w:t>
            </w:r>
          </w:p>
        </w:tc>
      </w:tr>
      <w:tr>
        <w:tblPrEx>
          <w:tblLayout w:type="fixed"/>
          <w:tblCellMar>
            <w:top w:w="0" w:type="dxa"/>
            <w:left w:w="108" w:type="dxa"/>
            <w:bottom w:w="0" w:type="dxa"/>
            <w:right w:w="108" w:type="dxa"/>
          </w:tblCellMar>
        </w:tblPrEx>
        <w:trPr>
          <w:trHeight w:val="434" w:hRule="atLeast"/>
        </w:trPr>
        <w:tc>
          <w:tcPr>
            <w:tcW w:w="565"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eastAsiaTheme="minorEastAsia"/>
                <w:color w:val="auto"/>
                <w:kern w:val="0"/>
                <w:szCs w:val="21"/>
              </w:rPr>
            </w:pPr>
          </w:p>
        </w:tc>
        <w:tc>
          <w:tcPr>
            <w:tcW w:w="146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eastAsiaTheme="minorEastAsia"/>
                <w:color w:val="auto"/>
                <w:kern w:val="0"/>
                <w:szCs w:val="21"/>
              </w:rPr>
            </w:pP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数量、功率</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数量、功率</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数量、规格</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数量</w:t>
            </w:r>
          </w:p>
        </w:tc>
      </w:tr>
      <w:tr>
        <w:tblPrEx>
          <w:tblLayout w:type="fixed"/>
          <w:tblCellMar>
            <w:top w:w="0" w:type="dxa"/>
            <w:left w:w="108" w:type="dxa"/>
            <w:bottom w:w="0" w:type="dxa"/>
            <w:right w:w="108" w:type="dxa"/>
          </w:tblCellMar>
        </w:tblPrEx>
        <w:trPr>
          <w:trHeight w:val="451"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泰安2号站</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1台22匹、1台20匹</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1台14寸、1台10寸</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w:t>
            </w:r>
          </w:p>
        </w:tc>
      </w:tr>
      <w:tr>
        <w:tblPrEx>
          <w:tblLayout w:type="fixed"/>
          <w:tblCellMar>
            <w:top w:w="0" w:type="dxa"/>
            <w:left w:w="108" w:type="dxa"/>
            <w:bottom w:w="0" w:type="dxa"/>
            <w:right w:w="108" w:type="dxa"/>
          </w:tblCellMar>
        </w:tblPrEx>
        <w:trPr>
          <w:trHeight w:val="451"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泰安3号站</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2台22匹</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2台14寸</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w:t>
            </w:r>
          </w:p>
        </w:tc>
      </w:tr>
      <w:tr>
        <w:tblPrEx>
          <w:tblLayout w:type="fixed"/>
          <w:tblCellMar>
            <w:top w:w="0" w:type="dxa"/>
            <w:left w:w="108" w:type="dxa"/>
            <w:bottom w:w="0" w:type="dxa"/>
            <w:right w:w="108" w:type="dxa"/>
          </w:tblCellMar>
        </w:tblPrEx>
        <w:trPr>
          <w:trHeight w:val="451"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3</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新宝街1号站</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2台22匹</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2台14寸</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w:t>
            </w:r>
          </w:p>
        </w:tc>
      </w:tr>
      <w:tr>
        <w:tblPrEx>
          <w:tblLayout w:type="fixed"/>
          <w:tblCellMar>
            <w:top w:w="0" w:type="dxa"/>
            <w:left w:w="108" w:type="dxa"/>
            <w:bottom w:w="0" w:type="dxa"/>
            <w:right w:w="108" w:type="dxa"/>
          </w:tblCellMar>
        </w:tblPrEx>
        <w:trPr>
          <w:trHeight w:val="451"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4</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新宝街2号站</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1台22匹</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1台14寸</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w:t>
            </w:r>
          </w:p>
        </w:tc>
      </w:tr>
      <w:tr>
        <w:tblPrEx>
          <w:tblLayout w:type="fixed"/>
          <w:tblCellMar>
            <w:top w:w="0" w:type="dxa"/>
            <w:left w:w="108" w:type="dxa"/>
            <w:bottom w:w="0" w:type="dxa"/>
            <w:right w:w="108" w:type="dxa"/>
          </w:tblCellMar>
        </w:tblPrEx>
        <w:trPr>
          <w:trHeight w:val="451"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5</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新宝街5号站</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3台22匹</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3台14寸</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w:t>
            </w:r>
          </w:p>
        </w:tc>
      </w:tr>
      <w:tr>
        <w:tblPrEx>
          <w:tblLayout w:type="fixed"/>
          <w:tblCellMar>
            <w:top w:w="0" w:type="dxa"/>
            <w:left w:w="108" w:type="dxa"/>
            <w:bottom w:w="0" w:type="dxa"/>
            <w:right w:w="108" w:type="dxa"/>
          </w:tblCellMar>
        </w:tblPrEx>
        <w:trPr>
          <w:trHeight w:val="451"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6</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新宝街6号站</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3台22匹</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3台14寸</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w:t>
            </w:r>
          </w:p>
        </w:tc>
      </w:tr>
      <w:tr>
        <w:tblPrEx>
          <w:tblLayout w:type="fixed"/>
          <w:tblCellMar>
            <w:top w:w="0" w:type="dxa"/>
            <w:left w:w="108" w:type="dxa"/>
            <w:bottom w:w="0" w:type="dxa"/>
            <w:right w:w="108" w:type="dxa"/>
          </w:tblCellMar>
        </w:tblPrEx>
        <w:trPr>
          <w:trHeight w:val="451"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7</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新宝街7号站</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3台22匹</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3台14寸</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w:t>
            </w:r>
          </w:p>
        </w:tc>
      </w:tr>
      <w:tr>
        <w:tblPrEx>
          <w:tblLayout w:type="fixed"/>
          <w:tblCellMar>
            <w:top w:w="0" w:type="dxa"/>
            <w:left w:w="108" w:type="dxa"/>
            <w:bottom w:w="0" w:type="dxa"/>
            <w:right w:w="108" w:type="dxa"/>
          </w:tblCellMar>
        </w:tblPrEx>
        <w:trPr>
          <w:trHeight w:val="451"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8</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新宝街8号站</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3台22匹</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3台14寸</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w:t>
            </w:r>
          </w:p>
        </w:tc>
      </w:tr>
      <w:tr>
        <w:tblPrEx>
          <w:tblLayout w:type="fixed"/>
          <w:tblCellMar>
            <w:top w:w="0" w:type="dxa"/>
            <w:left w:w="108" w:type="dxa"/>
            <w:bottom w:w="0" w:type="dxa"/>
            <w:right w:w="108" w:type="dxa"/>
          </w:tblCellMar>
        </w:tblPrEx>
        <w:trPr>
          <w:trHeight w:val="451"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9</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义隆四冲半站</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2台22匹</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1台11KW</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3台14寸</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w:t>
            </w:r>
          </w:p>
        </w:tc>
      </w:tr>
      <w:tr>
        <w:tblPrEx>
          <w:tblLayout w:type="fixed"/>
          <w:tblCellMar>
            <w:top w:w="0" w:type="dxa"/>
            <w:left w:w="108" w:type="dxa"/>
            <w:bottom w:w="0" w:type="dxa"/>
            <w:right w:w="108" w:type="dxa"/>
          </w:tblCellMar>
        </w:tblPrEx>
        <w:trPr>
          <w:trHeight w:val="451"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10</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宝安街1号站</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3台22匹</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3台14寸</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w:t>
            </w:r>
          </w:p>
        </w:tc>
      </w:tr>
      <w:tr>
        <w:tblPrEx>
          <w:tblLayout w:type="fixed"/>
          <w:tblCellMar>
            <w:top w:w="0" w:type="dxa"/>
            <w:left w:w="108" w:type="dxa"/>
            <w:bottom w:w="0" w:type="dxa"/>
            <w:right w:w="108" w:type="dxa"/>
          </w:tblCellMar>
        </w:tblPrEx>
        <w:trPr>
          <w:trHeight w:val="451"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11</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泰安1号站</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3台22匹</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3台14寸</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w:t>
            </w:r>
          </w:p>
        </w:tc>
      </w:tr>
      <w:tr>
        <w:tblPrEx>
          <w:tblLayout w:type="fixed"/>
          <w:tblCellMar>
            <w:top w:w="0" w:type="dxa"/>
            <w:left w:w="108" w:type="dxa"/>
            <w:bottom w:w="0" w:type="dxa"/>
            <w:right w:w="108" w:type="dxa"/>
          </w:tblCellMar>
        </w:tblPrEx>
        <w:trPr>
          <w:trHeight w:val="451"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12</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中医院站</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1台28匹</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2台15KW</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1台14寸、2台12寸</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w:t>
            </w:r>
          </w:p>
        </w:tc>
      </w:tr>
      <w:tr>
        <w:tblPrEx>
          <w:tblLayout w:type="fixed"/>
          <w:tblCellMar>
            <w:top w:w="0" w:type="dxa"/>
            <w:left w:w="108" w:type="dxa"/>
            <w:bottom w:w="0" w:type="dxa"/>
            <w:right w:w="108" w:type="dxa"/>
          </w:tblCellMar>
        </w:tblPrEx>
        <w:trPr>
          <w:trHeight w:val="451"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13</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珠江北路1号</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3台22匹</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3台14寸</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w:t>
            </w:r>
          </w:p>
        </w:tc>
      </w:tr>
      <w:tr>
        <w:tblPrEx>
          <w:tblLayout w:type="fixed"/>
          <w:tblCellMar>
            <w:top w:w="0" w:type="dxa"/>
            <w:left w:w="108" w:type="dxa"/>
            <w:bottom w:w="0" w:type="dxa"/>
            <w:right w:w="108" w:type="dxa"/>
          </w:tblCellMar>
        </w:tblPrEx>
        <w:trPr>
          <w:trHeight w:val="451"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14</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珠江北路2号</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3台22匹</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1台14寸、2台10寸</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w:t>
            </w:r>
          </w:p>
        </w:tc>
      </w:tr>
      <w:tr>
        <w:tblPrEx>
          <w:tblLayout w:type="fixed"/>
          <w:tblCellMar>
            <w:top w:w="0" w:type="dxa"/>
            <w:left w:w="108" w:type="dxa"/>
            <w:bottom w:w="0" w:type="dxa"/>
            <w:right w:w="108" w:type="dxa"/>
          </w:tblCellMar>
        </w:tblPrEx>
        <w:trPr>
          <w:trHeight w:val="451"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15</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珠江北路3号</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1台22匹</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1台7.5KW、1台15KW</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2台14寸、1台10寸</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w:t>
            </w:r>
          </w:p>
        </w:tc>
      </w:tr>
      <w:tr>
        <w:tblPrEx>
          <w:tblLayout w:type="fixed"/>
          <w:tblCellMar>
            <w:top w:w="0" w:type="dxa"/>
            <w:left w:w="108" w:type="dxa"/>
            <w:bottom w:w="0" w:type="dxa"/>
            <w:right w:w="108" w:type="dxa"/>
          </w:tblCellMar>
        </w:tblPrEx>
        <w:trPr>
          <w:trHeight w:val="451"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16</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广全安站</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2台22KW</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2台14寸</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w:t>
            </w:r>
          </w:p>
        </w:tc>
      </w:tr>
      <w:tr>
        <w:tblPrEx>
          <w:tblLayout w:type="fixed"/>
          <w:tblCellMar>
            <w:top w:w="0" w:type="dxa"/>
            <w:left w:w="108" w:type="dxa"/>
            <w:bottom w:w="0" w:type="dxa"/>
            <w:right w:w="108" w:type="dxa"/>
          </w:tblCellMar>
        </w:tblPrEx>
        <w:trPr>
          <w:trHeight w:val="525"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17</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珠江北路4号</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1台22匹</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2台15KW</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3台14寸</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w:t>
            </w:r>
          </w:p>
        </w:tc>
      </w:tr>
      <w:tr>
        <w:tblPrEx>
          <w:tblLayout w:type="fixed"/>
          <w:tblCellMar>
            <w:top w:w="0" w:type="dxa"/>
            <w:left w:w="108" w:type="dxa"/>
            <w:bottom w:w="0" w:type="dxa"/>
            <w:right w:w="108" w:type="dxa"/>
          </w:tblCellMar>
        </w:tblPrEx>
        <w:trPr>
          <w:trHeight w:val="451"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18</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珠江北路5号</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2台22匹</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1台7.5KW</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2台14寸、1台10寸</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w:t>
            </w:r>
          </w:p>
        </w:tc>
      </w:tr>
      <w:tr>
        <w:tblPrEx>
          <w:tblLayout w:type="fixed"/>
          <w:tblCellMar>
            <w:top w:w="0" w:type="dxa"/>
            <w:left w:w="108" w:type="dxa"/>
            <w:bottom w:w="0" w:type="dxa"/>
            <w:right w:w="108" w:type="dxa"/>
          </w:tblCellMar>
        </w:tblPrEx>
        <w:trPr>
          <w:trHeight w:val="451"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19</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珠江北路6号</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1台22匹</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1台15KW</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2台14寸</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w:t>
            </w:r>
          </w:p>
        </w:tc>
      </w:tr>
      <w:tr>
        <w:tblPrEx>
          <w:tblLayout w:type="fixed"/>
          <w:tblCellMar>
            <w:top w:w="0" w:type="dxa"/>
            <w:left w:w="108" w:type="dxa"/>
            <w:bottom w:w="0" w:type="dxa"/>
            <w:right w:w="108" w:type="dxa"/>
          </w:tblCellMar>
        </w:tblPrEx>
        <w:trPr>
          <w:trHeight w:val="451"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20</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珠江北路7号</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1台22匹</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1台15KW、1台7.5KW</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1台10寸、2台14寸</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w:t>
            </w:r>
          </w:p>
        </w:tc>
      </w:tr>
      <w:tr>
        <w:tblPrEx>
          <w:tblLayout w:type="fixed"/>
          <w:tblCellMar>
            <w:top w:w="0" w:type="dxa"/>
            <w:left w:w="108" w:type="dxa"/>
            <w:bottom w:w="0" w:type="dxa"/>
            <w:right w:w="108" w:type="dxa"/>
          </w:tblCellMar>
        </w:tblPrEx>
        <w:trPr>
          <w:trHeight w:val="451"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21</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红星站</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1台55KW</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1台500毫米</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w:t>
            </w:r>
          </w:p>
        </w:tc>
      </w:tr>
      <w:tr>
        <w:tblPrEx>
          <w:tblLayout w:type="fixed"/>
          <w:tblCellMar>
            <w:top w:w="0" w:type="dxa"/>
            <w:left w:w="108" w:type="dxa"/>
            <w:bottom w:w="0" w:type="dxa"/>
            <w:right w:w="108" w:type="dxa"/>
          </w:tblCellMar>
        </w:tblPrEx>
        <w:trPr>
          <w:trHeight w:val="451"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22</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珠江北路8号</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1台22匹</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2台15KW</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3台14寸</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w:t>
            </w:r>
          </w:p>
        </w:tc>
      </w:tr>
      <w:tr>
        <w:tblPrEx>
          <w:tblLayout w:type="fixed"/>
          <w:tblCellMar>
            <w:top w:w="0" w:type="dxa"/>
            <w:left w:w="108" w:type="dxa"/>
            <w:bottom w:w="0" w:type="dxa"/>
            <w:right w:w="108" w:type="dxa"/>
          </w:tblCellMar>
        </w:tblPrEx>
        <w:trPr>
          <w:trHeight w:val="451"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23</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珠江北路9号</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2台22匹</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1台15KW</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3台14寸</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w:t>
            </w:r>
          </w:p>
        </w:tc>
      </w:tr>
      <w:tr>
        <w:tblPrEx>
          <w:tblLayout w:type="fixed"/>
          <w:tblCellMar>
            <w:top w:w="0" w:type="dxa"/>
            <w:left w:w="108" w:type="dxa"/>
            <w:bottom w:w="0" w:type="dxa"/>
            <w:right w:w="108" w:type="dxa"/>
          </w:tblCellMar>
        </w:tblPrEx>
        <w:trPr>
          <w:trHeight w:val="451"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24</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珠江北路10号</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1台22匹</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2台15KW</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3台14寸</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w:t>
            </w:r>
          </w:p>
        </w:tc>
      </w:tr>
      <w:tr>
        <w:tblPrEx>
          <w:tblLayout w:type="fixed"/>
          <w:tblCellMar>
            <w:top w:w="0" w:type="dxa"/>
            <w:left w:w="108" w:type="dxa"/>
            <w:bottom w:w="0" w:type="dxa"/>
            <w:right w:w="108" w:type="dxa"/>
          </w:tblCellMar>
        </w:tblPrEx>
        <w:trPr>
          <w:trHeight w:val="451"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25</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新宝街3号站</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4台22匹</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4台14寸</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w:t>
            </w:r>
          </w:p>
        </w:tc>
      </w:tr>
      <w:tr>
        <w:tblPrEx>
          <w:tblLayout w:type="fixed"/>
          <w:tblCellMar>
            <w:top w:w="0" w:type="dxa"/>
            <w:left w:w="108" w:type="dxa"/>
            <w:bottom w:w="0" w:type="dxa"/>
            <w:right w:w="108" w:type="dxa"/>
          </w:tblCellMar>
        </w:tblPrEx>
        <w:trPr>
          <w:trHeight w:val="451"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26</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新宝街4号站</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5台22匹</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5台14寸</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3</w:t>
            </w:r>
          </w:p>
        </w:tc>
      </w:tr>
      <w:tr>
        <w:tblPrEx>
          <w:tblLayout w:type="fixed"/>
          <w:tblCellMar>
            <w:top w:w="0" w:type="dxa"/>
            <w:left w:w="108" w:type="dxa"/>
            <w:bottom w:w="0" w:type="dxa"/>
            <w:right w:w="108" w:type="dxa"/>
          </w:tblCellMar>
        </w:tblPrEx>
        <w:trPr>
          <w:trHeight w:val="563"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　</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　</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53</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19</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72</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26</w:t>
            </w:r>
          </w:p>
        </w:tc>
      </w:tr>
    </w:tbl>
    <w:p>
      <w:pPr>
        <w:pStyle w:val="18"/>
        <w:rPr>
          <w:rFonts w:ascii="宋体" w:hAnsi="宋体" w:cs="宋体"/>
          <w:color w:val="auto"/>
          <w:kern w:val="21"/>
          <w:szCs w:val="21"/>
        </w:rPr>
      </w:pPr>
    </w:p>
    <w:p>
      <w:pPr>
        <w:pStyle w:val="2"/>
        <w:rPr>
          <w:color w:val="auto"/>
        </w:rPr>
      </w:pPr>
      <w:r>
        <w:rPr>
          <w:color w:val="auto"/>
        </w:rPr>
        <w:br w:type="page"/>
      </w:r>
    </w:p>
    <w:p>
      <w:pPr>
        <w:pStyle w:val="18"/>
        <w:rPr>
          <w:rFonts w:ascii="宋体" w:hAnsi="宋体" w:cs="宋体"/>
          <w:color w:val="auto"/>
          <w:kern w:val="21"/>
          <w:szCs w:val="21"/>
        </w:rPr>
      </w:pPr>
      <w:r>
        <w:rPr>
          <w:rFonts w:hint="eastAsia" w:ascii="宋体" w:hAnsi="宋体" w:cs="宋体"/>
          <w:color w:val="auto"/>
          <w:kern w:val="21"/>
          <w:szCs w:val="21"/>
        </w:rPr>
        <w:t>附件2</w:t>
      </w:r>
    </w:p>
    <w:p>
      <w:pPr>
        <w:pStyle w:val="18"/>
        <w:jc w:val="center"/>
        <w:rPr>
          <w:rFonts w:ascii="宋体" w:hAnsi="宋体" w:cs="宋体"/>
          <w:b/>
          <w:color w:val="auto"/>
          <w:kern w:val="21"/>
          <w:sz w:val="24"/>
          <w:szCs w:val="21"/>
        </w:rPr>
      </w:pPr>
      <w:r>
        <w:rPr>
          <w:rFonts w:hint="eastAsia" w:ascii="宋体" w:hAnsi="宋体" w:cs="宋体"/>
          <w:b/>
          <w:color w:val="auto"/>
          <w:kern w:val="21"/>
          <w:sz w:val="24"/>
          <w:szCs w:val="21"/>
        </w:rPr>
        <w:t>珠江街2021年粤港深度合作区（启动区）临时排水设施日常运行管养项目月度考核评分表</w:t>
      </w:r>
    </w:p>
    <w:tbl>
      <w:tblPr>
        <w:tblStyle w:val="44"/>
        <w:tblW w:w="9345" w:type="dxa"/>
        <w:tblInd w:w="108" w:type="dxa"/>
        <w:tblLayout w:type="fixed"/>
        <w:tblCellMar>
          <w:top w:w="0" w:type="dxa"/>
          <w:left w:w="108" w:type="dxa"/>
          <w:bottom w:w="0" w:type="dxa"/>
          <w:right w:w="108" w:type="dxa"/>
        </w:tblCellMar>
      </w:tblPr>
      <w:tblGrid>
        <w:gridCol w:w="426"/>
        <w:gridCol w:w="926"/>
        <w:gridCol w:w="4920"/>
        <w:gridCol w:w="1650"/>
        <w:gridCol w:w="1423"/>
      </w:tblGrid>
      <w:tr>
        <w:tblPrEx>
          <w:tblLayout w:type="fixed"/>
          <w:tblCellMar>
            <w:top w:w="0" w:type="dxa"/>
            <w:left w:w="108" w:type="dxa"/>
            <w:bottom w:w="0" w:type="dxa"/>
            <w:right w:w="108" w:type="dxa"/>
          </w:tblCellMar>
        </w:tblPrEx>
        <w:trPr>
          <w:trHeight w:val="292" w:hRule="atLeast"/>
        </w:trPr>
        <w:tc>
          <w:tcPr>
            <w:tcW w:w="9345" w:type="dxa"/>
            <w:gridSpan w:val="5"/>
            <w:tcBorders>
              <w:top w:val="nil"/>
              <w:left w:val="nil"/>
              <w:bottom w:val="nil"/>
              <w:right w:val="nil"/>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评分单位（盖章、签名）：                     受评单位：                考核时间：   年   月    日</w:t>
            </w:r>
          </w:p>
        </w:tc>
      </w:tr>
      <w:tr>
        <w:tblPrEx>
          <w:tblLayout w:type="fixed"/>
          <w:tblCellMar>
            <w:top w:w="0" w:type="dxa"/>
            <w:left w:w="108" w:type="dxa"/>
            <w:bottom w:w="0" w:type="dxa"/>
            <w:right w:w="108" w:type="dxa"/>
          </w:tblCellMar>
        </w:tblPrEx>
        <w:trPr>
          <w:trHeight w:val="550"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序</w:t>
            </w:r>
            <w:r>
              <w:rPr>
                <w:rFonts w:hint="eastAsia" w:cs="宋体" w:asciiTheme="minorEastAsia" w:hAnsiTheme="minorEastAsia" w:eastAsiaTheme="minorEastAsia"/>
                <w:color w:val="auto"/>
                <w:kern w:val="0"/>
                <w:szCs w:val="21"/>
              </w:rPr>
              <w:br w:type="textWrapping"/>
            </w:r>
            <w:r>
              <w:rPr>
                <w:rFonts w:hint="eastAsia" w:cs="宋体" w:asciiTheme="minorEastAsia" w:hAnsiTheme="minorEastAsia" w:eastAsiaTheme="minorEastAsia"/>
                <w:color w:val="auto"/>
                <w:kern w:val="0"/>
                <w:szCs w:val="21"/>
              </w:rPr>
              <w:t>号</w:t>
            </w:r>
          </w:p>
        </w:tc>
        <w:tc>
          <w:tcPr>
            <w:tcW w:w="9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考评内容</w:t>
            </w:r>
          </w:p>
        </w:tc>
        <w:tc>
          <w:tcPr>
            <w:tcW w:w="4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评分标准（扣分标准）</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详细地点、</w:t>
            </w:r>
            <w:r>
              <w:rPr>
                <w:rFonts w:hint="eastAsia" w:cs="宋体" w:asciiTheme="minorEastAsia" w:hAnsiTheme="minorEastAsia" w:eastAsiaTheme="minorEastAsia"/>
                <w:color w:val="auto"/>
                <w:kern w:val="0"/>
                <w:szCs w:val="21"/>
              </w:rPr>
              <w:br w:type="textWrapping"/>
            </w:r>
            <w:r>
              <w:rPr>
                <w:rFonts w:hint="eastAsia" w:cs="宋体" w:asciiTheme="minorEastAsia" w:hAnsiTheme="minorEastAsia" w:eastAsiaTheme="minorEastAsia"/>
                <w:color w:val="auto"/>
                <w:kern w:val="0"/>
                <w:szCs w:val="21"/>
              </w:rPr>
              <w:t>存在问题</w:t>
            </w:r>
          </w:p>
        </w:tc>
        <w:tc>
          <w:tcPr>
            <w:tcW w:w="14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评分</w:t>
            </w:r>
          </w:p>
        </w:tc>
      </w:tr>
      <w:tr>
        <w:tblPrEx>
          <w:tblLayout w:type="fixed"/>
          <w:tblCellMar>
            <w:top w:w="0" w:type="dxa"/>
            <w:left w:w="108" w:type="dxa"/>
            <w:bottom w:w="0" w:type="dxa"/>
            <w:right w:w="108" w:type="dxa"/>
          </w:tblCellMar>
        </w:tblPrEx>
        <w:trPr>
          <w:trHeight w:val="644" w:hRule="atLeast"/>
        </w:trPr>
        <w:tc>
          <w:tcPr>
            <w:tcW w:w="4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w:t>
            </w:r>
          </w:p>
        </w:tc>
        <w:tc>
          <w:tcPr>
            <w:tcW w:w="9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日常工作50分</w:t>
            </w:r>
          </w:p>
        </w:tc>
        <w:tc>
          <w:tcPr>
            <w:tcW w:w="49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①没建立工作制度（含安全操作制度、设备定期保养制度等）的每次扣1分</w:t>
            </w:r>
          </w:p>
        </w:tc>
        <w:tc>
          <w:tcPr>
            <w:tcW w:w="1650" w:type="dxa"/>
            <w:vMerge w:val="restart"/>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　</w:t>
            </w:r>
          </w:p>
        </w:tc>
        <w:tc>
          <w:tcPr>
            <w:tcW w:w="1423" w:type="dxa"/>
            <w:vMerge w:val="restart"/>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　</w:t>
            </w:r>
          </w:p>
        </w:tc>
      </w:tr>
      <w:tr>
        <w:tblPrEx>
          <w:tblLayout w:type="fixed"/>
          <w:tblCellMar>
            <w:top w:w="0" w:type="dxa"/>
            <w:left w:w="108" w:type="dxa"/>
            <w:bottom w:w="0" w:type="dxa"/>
            <w:right w:w="108" w:type="dxa"/>
          </w:tblCellMar>
        </w:tblPrEx>
        <w:trPr>
          <w:trHeight w:val="369" w:hRule="atLeast"/>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9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49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②没填写泵站养护日志每次扣1分；</w:t>
            </w:r>
          </w:p>
        </w:tc>
        <w:tc>
          <w:tcPr>
            <w:tcW w:w="165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r>
      <w:tr>
        <w:tblPrEx>
          <w:tblLayout w:type="fixed"/>
          <w:tblCellMar>
            <w:top w:w="0" w:type="dxa"/>
            <w:left w:w="108" w:type="dxa"/>
            <w:bottom w:w="0" w:type="dxa"/>
            <w:right w:w="108" w:type="dxa"/>
          </w:tblCellMar>
        </w:tblPrEx>
        <w:trPr>
          <w:trHeight w:val="1101" w:hRule="atLeast"/>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9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49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③机房内不整齐、清洁，每次扣0.5分；设备启动前不提前检查和按操作规程启动的每次扣1分；设备运行中有离岗或不定时观察的每次扣1分；设备不按规程关机或关机后不检查的每次扣1分</w:t>
            </w:r>
          </w:p>
        </w:tc>
        <w:tc>
          <w:tcPr>
            <w:tcW w:w="165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r>
      <w:tr>
        <w:tblPrEx>
          <w:tblLayout w:type="fixed"/>
          <w:tblCellMar>
            <w:top w:w="0" w:type="dxa"/>
            <w:left w:w="108" w:type="dxa"/>
            <w:bottom w:w="0" w:type="dxa"/>
            <w:right w:w="108" w:type="dxa"/>
          </w:tblCellMar>
        </w:tblPrEx>
        <w:trPr>
          <w:trHeight w:val="369" w:hRule="atLeast"/>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9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49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④出现财产损失或特殊任务不听从安排，每次扣3分</w:t>
            </w:r>
          </w:p>
        </w:tc>
        <w:tc>
          <w:tcPr>
            <w:tcW w:w="165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r>
      <w:tr>
        <w:tblPrEx>
          <w:tblLayout w:type="fixed"/>
          <w:tblCellMar>
            <w:top w:w="0" w:type="dxa"/>
            <w:left w:w="108" w:type="dxa"/>
            <w:bottom w:w="0" w:type="dxa"/>
            <w:right w:w="108" w:type="dxa"/>
          </w:tblCellMar>
        </w:tblPrEx>
        <w:trPr>
          <w:trHeight w:val="733" w:hRule="atLeast"/>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9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49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⑤储水塘水满（或有人投诉，）无人抽水，暴雨不提前抽水每次扣2分；雨天无人值班抽水，每次扣5分；</w:t>
            </w:r>
          </w:p>
        </w:tc>
        <w:tc>
          <w:tcPr>
            <w:tcW w:w="165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r>
      <w:tr>
        <w:tblPrEx>
          <w:tblLayout w:type="fixed"/>
          <w:tblCellMar>
            <w:top w:w="0" w:type="dxa"/>
            <w:left w:w="108" w:type="dxa"/>
            <w:bottom w:w="0" w:type="dxa"/>
            <w:right w:w="108" w:type="dxa"/>
          </w:tblCellMar>
        </w:tblPrEx>
        <w:trPr>
          <w:trHeight w:val="369" w:hRule="atLeast"/>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9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49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⑥排涝设备不定期保养或带病运行的每处扣1分</w:t>
            </w:r>
          </w:p>
        </w:tc>
        <w:tc>
          <w:tcPr>
            <w:tcW w:w="165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r>
      <w:tr>
        <w:tblPrEx>
          <w:tblLayout w:type="fixed"/>
          <w:tblCellMar>
            <w:top w:w="0" w:type="dxa"/>
            <w:left w:w="108" w:type="dxa"/>
            <w:bottom w:w="0" w:type="dxa"/>
            <w:right w:w="108" w:type="dxa"/>
          </w:tblCellMar>
        </w:tblPrEx>
        <w:trPr>
          <w:trHeight w:val="369" w:hRule="atLeast"/>
        </w:trPr>
        <w:tc>
          <w:tcPr>
            <w:tcW w:w="4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w:t>
            </w:r>
          </w:p>
        </w:tc>
        <w:tc>
          <w:tcPr>
            <w:tcW w:w="9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储水塘10分</w:t>
            </w:r>
          </w:p>
        </w:tc>
        <w:tc>
          <w:tcPr>
            <w:tcW w:w="49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①储水塘内有水浮莲或其它垃圾，每次扣1分</w:t>
            </w:r>
          </w:p>
        </w:tc>
        <w:tc>
          <w:tcPr>
            <w:tcW w:w="1650" w:type="dxa"/>
            <w:vMerge w:val="restart"/>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　</w:t>
            </w:r>
          </w:p>
        </w:tc>
        <w:tc>
          <w:tcPr>
            <w:tcW w:w="1423" w:type="dxa"/>
            <w:vMerge w:val="restart"/>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　</w:t>
            </w:r>
          </w:p>
        </w:tc>
      </w:tr>
      <w:tr>
        <w:tblPrEx>
          <w:tblLayout w:type="fixed"/>
          <w:tblCellMar>
            <w:top w:w="0" w:type="dxa"/>
            <w:left w:w="108" w:type="dxa"/>
            <w:bottom w:w="0" w:type="dxa"/>
            <w:right w:w="108" w:type="dxa"/>
          </w:tblCellMar>
        </w:tblPrEx>
        <w:trPr>
          <w:trHeight w:val="369" w:hRule="atLeast"/>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9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49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②进水格栅没固定或附有垃圾每次扣1分</w:t>
            </w:r>
          </w:p>
        </w:tc>
        <w:tc>
          <w:tcPr>
            <w:tcW w:w="165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r>
      <w:tr>
        <w:tblPrEx>
          <w:tblLayout w:type="fixed"/>
          <w:tblCellMar>
            <w:top w:w="0" w:type="dxa"/>
            <w:left w:w="108" w:type="dxa"/>
            <w:bottom w:w="0" w:type="dxa"/>
            <w:right w:w="108" w:type="dxa"/>
          </w:tblCellMar>
        </w:tblPrEx>
        <w:trPr>
          <w:trHeight w:val="369" w:hRule="atLeast"/>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9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49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③入水渠口10米内有飘浮物每次扣1分</w:t>
            </w:r>
          </w:p>
        </w:tc>
        <w:tc>
          <w:tcPr>
            <w:tcW w:w="165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r>
      <w:tr>
        <w:tblPrEx>
          <w:tblLayout w:type="fixed"/>
          <w:tblCellMar>
            <w:top w:w="0" w:type="dxa"/>
            <w:left w:w="108" w:type="dxa"/>
            <w:bottom w:w="0" w:type="dxa"/>
            <w:right w:w="108" w:type="dxa"/>
          </w:tblCellMar>
        </w:tblPrEx>
        <w:trPr>
          <w:trHeight w:val="369" w:hRule="atLeast"/>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9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49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④储水塘淤泥较多，不按要求及时清淤，每处每次扣2分</w:t>
            </w:r>
          </w:p>
        </w:tc>
        <w:tc>
          <w:tcPr>
            <w:tcW w:w="165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r>
      <w:tr>
        <w:tblPrEx>
          <w:tblLayout w:type="fixed"/>
          <w:tblCellMar>
            <w:top w:w="0" w:type="dxa"/>
            <w:left w:w="108" w:type="dxa"/>
            <w:bottom w:w="0" w:type="dxa"/>
            <w:right w:w="108" w:type="dxa"/>
          </w:tblCellMar>
        </w:tblPrEx>
        <w:trPr>
          <w:trHeight w:val="369" w:hRule="atLeast"/>
        </w:trPr>
        <w:tc>
          <w:tcPr>
            <w:tcW w:w="4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3</w:t>
            </w:r>
          </w:p>
        </w:tc>
        <w:tc>
          <w:tcPr>
            <w:tcW w:w="9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水泵10分</w:t>
            </w:r>
          </w:p>
        </w:tc>
        <w:tc>
          <w:tcPr>
            <w:tcW w:w="49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①水泵有松动或各部件润滑油不足每次扣1分</w:t>
            </w:r>
          </w:p>
        </w:tc>
        <w:tc>
          <w:tcPr>
            <w:tcW w:w="1650" w:type="dxa"/>
            <w:vMerge w:val="restart"/>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　</w:t>
            </w:r>
          </w:p>
        </w:tc>
        <w:tc>
          <w:tcPr>
            <w:tcW w:w="1423" w:type="dxa"/>
            <w:vMerge w:val="restart"/>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　</w:t>
            </w:r>
          </w:p>
        </w:tc>
      </w:tr>
      <w:tr>
        <w:tblPrEx>
          <w:tblLayout w:type="fixed"/>
          <w:tblCellMar>
            <w:top w:w="0" w:type="dxa"/>
            <w:left w:w="108" w:type="dxa"/>
            <w:bottom w:w="0" w:type="dxa"/>
            <w:right w:w="108" w:type="dxa"/>
          </w:tblCellMar>
        </w:tblPrEx>
        <w:trPr>
          <w:trHeight w:val="369" w:hRule="atLeast"/>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9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49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②运转不正常或出现空转，每次扣1分</w:t>
            </w:r>
          </w:p>
        </w:tc>
        <w:tc>
          <w:tcPr>
            <w:tcW w:w="165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r>
      <w:tr>
        <w:tblPrEx>
          <w:tblLayout w:type="fixed"/>
          <w:tblCellMar>
            <w:top w:w="0" w:type="dxa"/>
            <w:left w:w="108" w:type="dxa"/>
            <w:bottom w:w="0" w:type="dxa"/>
            <w:right w:w="108" w:type="dxa"/>
          </w:tblCellMar>
        </w:tblPrEx>
        <w:trPr>
          <w:trHeight w:val="369" w:hRule="atLeast"/>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9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49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③出入水管有渗漏的每次扣1分</w:t>
            </w:r>
          </w:p>
        </w:tc>
        <w:tc>
          <w:tcPr>
            <w:tcW w:w="165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r>
      <w:tr>
        <w:tblPrEx>
          <w:tblLayout w:type="fixed"/>
          <w:tblCellMar>
            <w:top w:w="0" w:type="dxa"/>
            <w:left w:w="108" w:type="dxa"/>
            <w:bottom w:w="0" w:type="dxa"/>
            <w:right w:w="108" w:type="dxa"/>
          </w:tblCellMar>
        </w:tblPrEx>
        <w:trPr>
          <w:trHeight w:val="369" w:hRule="atLeast"/>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9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49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④出水管的出水量不饱满的每次扣1分</w:t>
            </w:r>
          </w:p>
        </w:tc>
        <w:tc>
          <w:tcPr>
            <w:tcW w:w="165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r>
      <w:tr>
        <w:tblPrEx>
          <w:tblLayout w:type="fixed"/>
          <w:tblCellMar>
            <w:top w:w="0" w:type="dxa"/>
            <w:left w:w="108" w:type="dxa"/>
            <w:bottom w:w="0" w:type="dxa"/>
            <w:right w:w="108" w:type="dxa"/>
          </w:tblCellMar>
        </w:tblPrEx>
        <w:trPr>
          <w:trHeight w:val="1229" w:hRule="atLeast"/>
        </w:trPr>
        <w:tc>
          <w:tcPr>
            <w:tcW w:w="4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4</w:t>
            </w:r>
          </w:p>
        </w:tc>
        <w:tc>
          <w:tcPr>
            <w:tcW w:w="9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电动设备10分</w:t>
            </w:r>
          </w:p>
        </w:tc>
        <w:tc>
          <w:tcPr>
            <w:tcW w:w="49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①变压器设备不完整、配电装置不检查养护、未按要求对排涝站设施和三防应急抢险设备进行保养、无明显有害寄生性植物、无大型野草、无缠绕性和攀援性杂草（上述6项，不合要求每项扣0.5分）</w:t>
            </w:r>
          </w:p>
        </w:tc>
        <w:tc>
          <w:tcPr>
            <w:tcW w:w="1650" w:type="dxa"/>
            <w:vMerge w:val="restart"/>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　</w:t>
            </w:r>
          </w:p>
        </w:tc>
        <w:tc>
          <w:tcPr>
            <w:tcW w:w="1423" w:type="dxa"/>
            <w:vMerge w:val="restart"/>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　</w:t>
            </w:r>
          </w:p>
        </w:tc>
      </w:tr>
      <w:tr>
        <w:tblPrEx>
          <w:tblLayout w:type="fixed"/>
          <w:tblCellMar>
            <w:top w:w="0" w:type="dxa"/>
            <w:left w:w="108" w:type="dxa"/>
            <w:bottom w:w="0" w:type="dxa"/>
            <w:right w:w="108" w:type="dxa"/>
          </w:tblCellMar>
        </w:tblPrEx>
        <w:trPr>
          <w:trHeight w:val="369" w:hRule="atLeast"/>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9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49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②电动设备有松动现象或轴承无适量润滑油的每处扣1分</w:t>
            </w:r>
          </w:p>
        </w:tc>
        <w:tc>
          <w:tcPr>
            <w:tcW w:w="165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r>
      <w:tr>
        <w:tblPrEx>
          <w:tblLayout w:type="fixed"/>
          <w:tblCellMar>
            <w:top w:w="0" w:type="dxa"/>
            <w:left w:w="108" w:type="dxa"/>
            <w:bottom w:w="0" w:type="dxa"/>
            <w:right w:w="108" w:type="dxa"/>
          </w:tblCellMar>
        </w:tblPrEx>
        <w:trPr>
          <w:trHeight w:val="733" w:hRule="atLeast"/>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9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49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③开关电动设备前后不检查接线或不用绝缘工具进行操作的每次扣1分</w:t>
            </w:r>
          </w:p>
        </w:tc>
        <w:tc>
          <w:tcPr>
            <w:tcW w:w="165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r>
      <w:tr>
        <w:tblPrEx>
          <w:tblLayout w:type="fixed"/>
          <w:tblCellMar>
            <w:top w:w="0" w:type="dxa"/>
            <w:left w:w="108" w:type="dxa"/>
            <w:bottom w:w="0" w:type="dxa"/>
            <w:right w:w="108" w:type="dxa"/>
          </w:tblCellMar>
        </w:tblPrEx>
        <w:trPr>
          <w:trHeight w:val="369" w:hRule="atLeast"/>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9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49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④绝缘用具不齐全、不合格的每次扣1分</w:t>
            </w:r>
          </w:p>
        </w:tc>
        <w:tc>
          <w:tcPr>
            <w:tcW w:w="165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r>
      <w:tr>
        <w:tblPrEx>
          <w:tblLayout w:type="fixed"/>
          <w:tblCellMar>
            <w:top w:w="0" w:type="dxa"/>
            <w:left w:w="108" w:type="dxa"/>
            <w:bottom w:w="0" w:type="dxa"/>
            <w:right w:w="108" w:type="dxa"/>
          </w:tblCellMar>
        </w:tblPrEx>
        <w:trPr>
          <w:trHeight w:val="369" w:hRule="atLeast"/>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9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49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⑤随便改动已校正铅封的设备，每次扣1分</w:t>
            </w:r>
          </w:p>
        </w:tc>
        <w:tc>
          <w:tcPr>
            <w:tcW w:w="165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r>
      <w:tr>
        <w:tblPrEx>
          <w:tblLayout w:type="fixed"/>
          <w:tblCellMar>
            <w:top w:w="0" w:type="dxa"/>
            <w:left w:w="108" w:type="dxa"/>
            <w:bottom w:w="0" w:type="dxa"/>
            <w:right w:w="108" w:type="dxa"/>
          </w:tblCellMar>
        </w:tblPrEx>
        <w:trPr>
          <w:trHeight w:val="369" w:hRule="atLeast"/>
        </w:trPr>
        <w:tc>
          <w:tcPr>
            <w:tcW w:w="4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5</w:t>
            </w:r>
          </w:p>
        </w:tc>
        <w:tc>
          <w:tcPr>
            <w:tcW w:w="9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柴油机10分</w:t>
            </w:r>
          </w:p>
        </w:tc>
        <w:tc>
          <w:tcPr>
            <w:tcW w:w="49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①机座、皮带轮有松动或皮带不打蜡的每处扣1分</w:t>
            </w:r>
          </w:p>
        </w:tc>
        <w:tc>
          <w:tcPr>
            <w:tcW w:w="1650" w:type="dxa"/>
            <w:vMerge w:val="restart"/>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　</w:t>
            </w:r>
          </w:p>
        </w:tc>
        <w:tc>
          <w:tcPr>
            <w:tcW w:w="1423" w:type="dxa"/>
            <w:vMerge w:val="restart"/>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　</w:t>
            </w:r>
          </w:p>
        </w:tc>
      </w:tr>
      <w:tr>
        <w:tblPrEx>
          <w:tblLayout w:type="fixed"/>
          <w:tblCellMar>
            <w:top w:w="0" w:type="dxa"/>
            <w:left w:w="108" w:type="dxa"/>
            <w:bottom w:w="0" w:type="dxa"/>
            <w:right w:w="108" w:type="dxa"/>
          </w:tblCellMar>
        </w:tblPrEx>
        <w:trPr>
          <w:trHeight w:val="369" w:hRule="atLeast"/>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9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49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②不提前加柴油、机油或有漏油现象每处扣1分</w:t>
            </w:r>
          </w:p>
        </w:tc>
        <w:tc>
          <w:tcPr>
            <w:tcW w:w="165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r>
      <w:tr>
        <w:tblPrEx>
          <w:tblLayout w:type="fixed"/>
          <w:tblCellMar>
            <w:top w:w="0" w:type="dxa"/>
            <w:left w:w="108" w:type="dxa"/>
            <w:bottom w:w="0" w:type="dxa"/>
            <w:right w:w="108" w:type="dxa"/>
          </w:tblCellMar>
        </w:tblPrEx>
        <w:trPr>
          <w:trHeight w:val="369" w:hRule="atLeast"/>
        </w:trPr>
        <w:tc>
          <w:tcPr>
            <w:tcW w:w="4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6</w:t>
            </w:r>
          </w:p>
        </w:tc>
        <w:tc>
          <w:tcPr>
            <w:tcW w:w="92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安全生产</w:t>
            </w:r>
          </w:p>
        </w:tc>
        <w:tc>
          <w:tcPr>
            <w:tcW w:w="49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①出现安全事故扣5—10分</w:t>
            </w:r>
          </w:p>
        </w:tc>
        <w:tc>
          <w:tcPr>
            <w:tcW w:w="1650" w:type="dxa"/>
            <w:vMerge w:val="restart"/>
            <w:tcBorders>
              <w:top w:val="nil"/>
              <w:left w:val="single" w:color="auto" w:sz="4" w:space="0"/>
              <w:bottom w:val="single" w:color="auto" w:sz="4" w:space="0"/>
              <w:right w:val="single" w:color="auto" w:sz="4" w:space="0"/>
            </w:tcBorders>
            <w:shd w:val="clear" w:color="auto" w:fill="auto"/>
            <w:vAlign w:val="bottom"/>
          </w:tcPr>
          <w:p>
            <w:pPr>
              <w:widowControl/>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　</w:t>
            </w:r>
          </w:p>
        </w:tc>
        <w:tc>
          <w:tcPr>
            <w:tcW w:w="1423" w:type="dxa"/>
            <w:vMerge w:val="restart"/>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　</w:t>
            </w:r>
          </w:p>
        </w:tc>
      </w:tr>
      <w:tr>
        <w:tblPrEx>
          <w:tblLayout w:type="fixed"/>
          <w:tblCellMar>
            <w:top w:w="0" w:type="dxa"/>
            <w:left w:w="108" w:type="dxa"/>
            <w:bottom w:w="0" w:type="dxa"/>
            <w:right w:w="108" w:type="dxa"/>
          </w:tblCellMar>
        </w:tblPrEx>
        <w:trPr>
          <w:trHeight w:val="369" w:hRule="atLeast"/>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92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10分</w:t>
            </w:r>
          </w:p>
        </w:tc>
        <w:tc>
          <w:tcPr>
            <w:tcW w:w="49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②不及时维修排涝设备每次扣3分</w:t>
            </w:r>
          </w:p>
        </w:tc>
        <w:tc>
          <w:tcPr>
            <w:tcW w:w="165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r>
      <w:tr>
        <w:tblPrEx>
          <w:tblLayout w:type="fixed"/>
          <w:tblCellMar>
            <w:top w:w="0" w:type="dxa"/>
            <w:left w:w="108" w:type="dxa"/>
            <w:bottom w:w="0" w:type="dxa"/>
            <w:right w:w="108" w:type="dxa"/>
          </w:tblCellMar>
        </w:tblPrEx>
        <w:trPr>
          <w:trHeight w:val="550"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7</w:t>
            </w:r>
          </w:p>
        </w:tc>
        <w:tc>
          <w:tcPr>
            <w:tcW w:w="92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合计</w:t>
            </w:r>
            <w:r>
              <w:rPr>
                <w:rFonts w:hint="eastAsia" w:cs="宋体" w:asciiTheme="minorEastAsia" w:hAnsiTheme="minorEastAsia" w:eastAsiaTheme="minorEastAsia"/>
                <w:color w:val="auto"/>
                <w:kern w:val="0"/>
                <w:szCs w:val="21"/>
              </w:rPr>
              <w:br w:type="textWrapping"/>
            </w:r>
            <w:r>
              <w:rPr>
                <w:rFonts w:hint="eastAsia" w:cs="宋体" w:asciiTheme="minorEastAsia" w:hAnsiTheme="minorEastAsia" w:eastAsiaTheme="minorEastAsia"/>
                <w:color w:val="auto"/>
                <w:kern w:val="0"/>
                <w:szCs w:val="21"/>
              </w:rPr>
              <w:t>100分</w:t>
            </w:r>
          </w:p>
        </w:tc>
        <w:tc>
          <w:tcPr>
            <w:tcW w:w="49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　</w:t>
            </w:r>
          </w:p>
        </w:tc>
        <w:tc>
          <w:tcPr>
            <w:tcW w:w="1650"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　</w:t>
            </w:r>
          </w:p>
        </w:tc>
        <w:tc>
          <w:tcPr>
            <w:tcW w:w="1423"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　</w:t>
            </w:r>
          </w:p>
        </w:tc>
      </w:tr>
      <w:tr>
        <w:tblPrEx>
          <w:tblLayout w:type="fixed"/>
          <w:tblCellMar>
            <w:top w:w="0" w:type="dxa"/>
            <w:left w:w="108" w:type="dxa"/>
            <w:bottom w:w="0" w:type="dxa"/>
            <w:right w:w="108" w:type="dxa"/>
          </w:tblCellMar>
        </w:tblPrEx>
        <w:trPr>
          <w:trHeight w:val="771" w:hRule="atLeast"/>
        </w:trPr>
        <w:tc>
          <w:tcPr>
            <w:tcW w:w="9345" w:type="dxa"/>
            <w:gridSpan w:val="5"/>
            <w:tcBorders>
              <w:top w:val="nil"/>
              <w:left w:val="nil"/>
              <w:bottom w:val="nil"/>
              <w:right w:val="nil"/>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注：本表每月由各居委和街道三防办考核评分，平均分90分及以上全额支付当月承包费；90分以下的，每1分扣2000元当月承包费。</w:t>
            </w:r>
          </w:p>
        </w:tc>
      </w:tr>
    </w:tbl>
    <w:p>
      <w:pPr>
        <w:pStyle w:val="18"/>
        <w:jc w:val="center"/>
        <w:rPr>
          <w:rFonts w:ascii="宋体" w:hAnsi="宋体" w:cs="宋体"/>
          <w:b/>
          <w:color w:val="auto"/>
          <w:kern w:val="21"/>
          <w:sz w:val="24"/>
          <w:szCs w:val="21"/>
        </w:rPr>
      </w:pPr>
    </w:p>
    <w:p>
      <w:pPr>
        <w:pStyle w:val="18"/>
        <w:rPr>
          <w:color w:val="auto"/>
        </w:rPr>
      </w:pPr>
      <w:r>
        <w:rPr>
          <w:color w:val="auto"/>
        </w:rPr>
        <w:br w:type="page"/>
      </w:r>
    </w:p>
    <w:p>
      <w:pPr>
        <w:spacing w:beforeLines="50" w:afterLines="50" w:line="360" w:lineRule="auto"/>
        <w:jc w:val="center"/>
        <w:outlineLvl w:val="0"/>
        <w:rPr>
          <w:b/>
          <w:bCs/>
          <w:color w:val="auto"/>
          <w:sz w:val="28"/>
          <w:szCs w:val="28"/>
        </w:rPr>
      </w:pPr>
      <w:r>
        <w:rPr>
          <w:rFonts w:hint="eastAsia"/>
          <w:b/>
          <w:bCs/>
          <w:color w:val="auto"/>
          <w:sz w:val="28"/>
          <w:szCs w:val="28"/>
        </w:rPr>
        <w:t>第五章 合同文本</w:t>
      </w:r>
    </w:p>
    <w:p>
      <w:pPr>
        <w:spacing w:line="360" w:lineRule="auto"/>
        <w:ind w:left="588"/>
        <w:jc w:val="center"/>
        <w:rPr>
          <w:rFonts w:ascii="宋体" w:hAnsi="宋体"/>
          <w:bCs/>
          <w:color w:val="auto"/>
          <w:sz w:val="28"/>
          <w:szCs w:val="28"/>
        </w:rPr>
      </w:pPr>
      <w:r>
        <w:rPr>
          <w:rFonts w:hint="eastAsia" w:ascii="宋体" w:hAnsi="宋体"/>
          <w:bCs/>
          <w:color w:val="auto"/>
          <w:sz w:val="28"/>
          <w:szCs w:val="28"/>
        </w:rPr>
        <w:t>珠江街2021年粤港深度合作区（启动区）临时排水设施日常运行管养项目承包合同</w:t>
      </w:r>
    </w:p>
    <w:p>
      <w:pPr>
        <w:spacing w:line="360" w:lineRule="auto"/>
        <w:ind w:left="588"/>
        <w:rPr>
          <w:rFonts w:ascii="宋体" w:hAnsi="宋体"/>
          <w:bCs/>
          <w:color w:val="auto"/>
          <w:szCs w:val="21"/>
        </w:rPr>
      </w:pPr>
    </w:p>
    <w:p>
      <w:pPr>
        <w:adjustRightInd w:val="0"/>
        <w:snapToGrid w:val="0"/>
        <w:spacing w:line="360" w:lineRule="auto"/>
        <w:rPr>
          <w:rFonts w:ascii="宋体" w:hAnsi="宋体"/>
          <w:bCs/>
          <w:color w:val="auto"/>
          <w:szCs w:val="21"/>
        </w:rPr>
      </w:pPr>
      <w:r>
        <w:rPr>
          <w:rFonts w:hint="eastAsia" w:ascii="宋体" w:hAnsi="宋体"/>
          <w:bCs/>
          <w:color w:val="auto"/>
          <w:szCs w:val="21"/>
        </w:rPr>
        <w:t xml:space="preserve">甲方(发包方)：广州市南沙区人民政府珠江街道办事处 </w:t>
      </w:r>
    </w:p>
    <w:p>
      <w:pPr>
        <w:adjustRightInd w:val="0"/>
        <w:snapToGrid w:val="0"/>
        <w:spacing w:line="360" w:lineRule="auto"/>
        <w:rPr>
          <w:rFonts w:ascii="宋体" w:hAnsi="宋体"/>
          <w:bCs/>
          <w:color w:val="auto"/>
          <w:szCs w:val="21"/>
        </w:rPr>
      </w:pPr>
      <w:r>
        <w:rPr>
          <w:rFonts w:hint="eastAsia" w:ascii="宋体" w:hAnsi="宋体"/>
          <w:bCs/>
          <w:color w:val="auto"/>
          <w:szCs w:val="21"/>
        </w:rPr>
        <w:t xml:space="preserve">法定代表人：          </w:t>
      </w:r>
    </w:p>
    <w:p>
      <w:pPr>
        <w:adjustRightInd w:val="0"/>
        <w:snapToGrid w:val="0"/>
        <w:spacing w:line="360" w:lineRule="auto"/>
        <w:rPr>
          <w:rFonts w:ascii="宋体" w:hAnsi="宋体"/>
          <w:bCs/>
          <w:color w:val="auto"/>
          <w:szCs w:val="21"/>
        </w:rPr>
      </w:pPr>
      <w:r>
        <w:rPr>
          <w:rFonts w:hint="eastAsia" w:ascii="宋体" w:hAnsi="宋体"/>
          <w:bCs/>
          <w:color w:val="auto"/>
          <w:szCs w:val="21"/>
        </w:rPr>
        <w:t xml:space="preserve">项目联系人：          </w:t>
      </w:r>
    </w:p>
    <w:p>
      <w:pPr>
        <w:adjustRightInd w:val="0"/>
        <w:snapToGrid w:val="0"/>
        <w:spacing w:line="360" w:lineRule="auto"/>
        <w:rPr>
          <w:rFonts w:ascii="宋体" w:hAnsi="宋体"/>
          <w:bCs/>
          <w:color w:val="auto"/>
          <w:szCs w:val="21"/>
        </w:rPr>
      </w:pPr>
      <w:r>
        <w:rPr>
          <w:rFonts w:hint="eastAsia" w:ascii="宋体" w:hAnsi="宋体"/>
          <w:bCs/>
          <w:color w:val="auto"/>
          <w:szCs w:val="21"/>
        </w:rPr>
        <w:t>联系电话：</w:t>
      </w:r>
    </w:p>
    <w:p>
      <w:pPr>
        <w:adjustRightInd w:val="0"/>
        <w:snapToGrid w:val="0"/>
        <w:spacing w:line="360" w:lineRule="auto"/>
        <w:rPr>
          <w:rFonts w:ascii="宋体" w:hAnsi="宋体"/>
          <w:bCs/>
          <w:color w:val="auto"/>
          <w:szCs w:val="21"/>
        </w:rPr>
      </w:pPr>
      <w:r>
        <w:rPr>
          <w:rFonts w:hint="eastAsia" w:ascii="宋体" w:hAnsi="宋体"/>
          <w:bCs/>
          <w:color w:val="auto"/>
          <w:szCs w:val="21"/>
        </w:rPr>
        <w:t xml:space="preserve">电子邮箱：               </w:t>
      </w:r>
    </w:p>
    <w:p>
      <w:pPr>
        <w:adjustRightInd w:val="0"/>
        <w:snapToGrid w:val="0"/>
        <w:spacing w:line="360" w:lineRule="auto"/>
        <w:rPr>
          <w:rFonts w:ascii="宋体" w:hAnsi="宋体"/>
          <w:bCs/>
          <w:color w:val="auto"/>
          <w:szCs w:val="21"/>
        </w:rPr>
      </w:pPr>
      <w:r>
        <w:rPr>
          <w:rFonts w:hint="eastAsia" w:ascii="宋体" w:hAnsi="宋体"/>
          <w:bCs/>
          <w:color w:val="auto"/>
          <w:szCs w:val="21"/>
        </w:rPr>
        <w:t>联系地址：广州市南沙区珠江街珠江西一路38号</w:t>
      </w:r>
    </w:p>
    <w:p>
      <w:pPr>
        <w:adjustRightInd w:val="0"/>
        <w:snapToGrid w:val="0"/>
        <w:spacing w:line="360" w:lineRule="auto"/>
        <w:rPr>
          <w:rFonts w:ascii="宋体" w:hAnsi="宋体"/>
          <w:bCs/>
          <w:color w:val="auto"/>
          <w:szCs w:val="21"/>
        </w:rPr>
      </w:pPr>
    </w:p>
    <w:p>
      <w:pPr>
        <w:adjustRightInd w:val="0"/>
        <w:snapToGrid w:val="0"/>
        <w:spacing w:line="360" w:lineRule="auto"/>
        <w:rPr>
          <w:rFonts w:ascii="宋体" w:hAnsi="宋体"/>
          <w:bCs/>
          <w:color w:val="auto"/>
          <w:szCs w:val="21"/>
        </w:rPr>
      </w:pPr>
      <w:r>
        <w:rPr>
          <w:rFonts w:hint="eastAsia" w:ascii="宋体" w:hAnsi="宋体"/>
          <w:bCs/>
          <w:color w:val="auto"/>
          <w:szCs w:val="21"/>
        </w:rPr>
        <w:t xml:space="preserve">乙方(承包方)： </w:t>
      </w:r>
    </w:p>
    <w:p>
      <w:pPr>
        <w:adjustRightInd w:val="0"/>
        <w:snapToGrid w:val="0"/>
        <w:spacing w:line="360" w:lineRule="auto"/>
        <w:rPr>
          <w:rFonts w:ascii="宋体" w:hAnsi="宋体"/>
          <w:bCs/>
          <w:color w:val="auto"/>
          <w:szCs w:val="21"/>
        </w:rPr>
      </w:pPr>
      <w:r>
        <w:rPr>
          <w:rFonts w:ascii="宋体" w:hAnsi="宋体"/>
          <w:bCs/>
          <w:color w:val="auto"/>
          <w:szCs w:val="21"/>
        </w:rPr>
        <w:t xml:space="preserve">统一社会信用代码： </w:t>
      </w:r>
    </w:p>
    <w:p>
      <w:pPr>
        <w:adjustRightInd w:val="0"/>
        <w:snapToGrid w:val="0"/>
        <w:spacing w:line="360" w:lineRule="auto"/>
        <w:rPr>
          <w:rFonts w:ascii="宋体" w:hAnsi="宋体"/>
          <w:bCs/>
          <w:color w:val="auto"/>
          <w:szCs w:val="21"/>
        </w:rPr>
      </w:pPr>
      <w:r>
        <w:rPr>
          <w:rFonts w:ascii="宋体" w:hAnsi="宋体"/>
          <w:bCs/>
          <w:color w:val="auto"/>
          <w:szCs w:val="21"/>
        </w:rPr>
        <w:t xml:space="preserve">法定代表人： </w:t>
      </w:r>
    </w:p>
    <w:p>
      <w:pPr>
        <w:adjustRightInd w:val="0"/>
        <w:snapToGrid w:val="0"/>
        <w:spacing w:line="360" w:lineRule="auto"/>
        <w:rPr>
          <w:rFonts w:ascii="宋体" w:hAnsi="宋体"/>
          <w:bCs/>
          <w:color w:val="auto"/>
          <w:szCs w:val="21"/>
        </w:rPr>
      </w:pPr>
      <w:r>
        <w:rPr>
          <w:rFonts w:ascii="宋体" w:hAnsi="宋体"/>
          <w:bCs/>
          <w:color w:val="auto"/>
          <w:szCs w:val="21"/>
        </w:rPr>
        <w:t>项目</w:t>
      </w:r>
      <w:r>
        <w:rPr>
          <w:rFonts w:hint="eastAsia" w:ascii="宋体" w:hAnsi="宋体"/>
          <w:bCs/>
          <w:color w:val="auto"/>
          <w:szCs w:val="21"/>
        </w:rPr>
        <w:t>负责</w:t>
      </w:r>
      <w:r>
        <w:rPr>
          <w:rFonts w:ascii="宋体" w:hAnsi="宋体"/>
          <w:bCs/>
          <w:color w:val="auto"/>
          <w:szCs w:val="21"/>
        </w:rPr>
        <w:t>人：</w:t>
      </w:r>
    </w:p>
    <w:p>
      <w:pPr>
        <w:adjustRightInd w:val="0"/>
        <w:snapToGrid w:val="0"/>
        <w:spacing w:line="360" w:lineRule="auto"/>
        <w:rPr>
          <w:rFonts w:ascii="宋体" w:hAnsi="宋体"/>
          <w:bCs/>
          <w:color w:val="auto"/>
          <w:szCs w:val="21"/>
        </w:rPr>
      </w:pPr>
      <w:r>
        <w:rPr>
          <w:rFonts w:ascii="宋体" w:hAnsi="宋体"/>
          <w:bCs/>
          <w:color w:val="auto"/>
          <w:szCs w:val="21"/>
        </w:rPr>
        <w:t xml:space="preserve">联系方式： </w:t>
      </w:r>
    </w:p>
    <w:p>
      <w:pPr>
        <w:adjustRightInd w:val="0"/>
        <w:snapToGrid w:val="0"/>
        <w:spacing w:line="360" w:lineRule="auto"/>
        <w:rPr>
          <w:rFonts w:ascii="宋体" w:hAnsi="宋体"/>
          <w:bCs/>
          <w:color w:val="auto"/>
          <w:szCs w:val="21"/>
        </w:rPr>
      </w:pPr>
      <w:r>
        <w:rPr>
          <w:rFonts w:ascii="宋体" w:hAnsi="宋体"/>
          <w:bCs/>
          <w:color w:val="auto"/>
          <w:szCs w:val="21"/>
        </w:rPr>
        <w:t>电子邮箱：</w:t>
      </w:r>
    </w:p>
    <w:p>
      <w:pPr>
        <w:adjustRightInd w:val="0"/>
        <w:snapToGrid w:val="0"/>
        <w:spacing w:line="360" w:lineRule="auto"/>
        <w:rPr>
          <w:rFonts w:ascii="宋体" w:hAnsi="宋体"/>
          <w:bCs/>
          <w:color w:val="auto"/>
          <w:szCs w:val="21"/>
        </w:rPr>
      </w:pPr>
      <w:r>
        <w:rPr>
          <w:rFonts w:ascii="宋体" w:hAnsi="宋体"/>
          <w:bCs/>
          <w:color w:val="auto"/>
          <w:szCs w:val="21"/>
        </w:rPr>
        <w:t>地址：</w:t>
      </w:r>
    </w:p>
    <w:p>
      <w:pPr>
        <w:adjustRightInd w:val="0"/>
        <w:snapToGrid w:val="0"/>
        <w:spacing w:line="360" w:lineRule="auto"/>
        <w:rPr>
          <w:rFonts w:ascii="宋体" w:hAnsi="宋体"/>
          <w:b/>
          <w:color w:val="auto"/>
        </w:rPr>
      </w:pPr>
    </w:p>
    <w:p>
      <w:pPr>
        <w:adjustRightInd w:val="0"/>
        <w:snapToGrid w:val="0"/>
        <w:spacing w:line="360" w:lineRule="auto"/>
        <w:ind w:firstLine="420" w:firstLineChars="200"/>
        <w:rPr>
          <w:rFonts w:ascii="宋体" w:hAnsi="宋体"/>
          <w:bCs/>
          <w:color w:val="auto"/>
        </w:rPr>
      </w:pPr>
      <w:r>
        <w:rPr>
          <w:rFonts w:hint="eastAsia" w:ascii="宋体" w:hAnsi="宋体"/>
          <w:bCs/>
          <w:color w:val="auto"/>
        </w:rPr>
        <w:t>根据《中标通知书》，乙方为本项目的承包单位。为明确本项目的权利和义务，根据《中华人民共和国民法典》和本项目采购招标文件的要求，经甲、乙双方协商一致，签订本合同，双方必须严格遵守并执行。</w:t>
      </w:r>
      <w:bookmarkStart w:id="19" w:name="_Toc334110415"/>
      <w:bookmarkStart w:id="20" w:name="_Toc324880497"/>
      <w:bookmarkStart w:id="21" w:name="_Toc332214301"/>
      <w:bookmarkStart w:id="22" w:name="_Toc130695604"/>
      <w:bookmarkStart w:id="23" w:name="_Toc185747592"/>
      <w:bookmarkStart w:id="24" w:name="_Toc321401888"/>
      <w:bookmarkStart w:id="25" w:name="_Toc153615301"/>
      <w:bookmarkStart w:id="26" w:name="_Toc130697196"/>
    </w:p>
    <w:p>
      <w:pPr>
        <w:adjustRightInd w:val="0"/>
        <w:snapToGrid w:val="0"/>
        <w:spacing w:line="360" w:lineRule="auto"/>
        <w:rPr>
          <w:rFonts w:ascii="宋体" w:hAnsi="宋体"/>
          <w:bCs/>
          <w:color w:val="auto"/>
        </w:rPr>
      </w:pPr>
      <w:r>
        <w:rPr>
          <w:rFonts w:hint="eastAsia" w:ascii="宋体" w:hAnsi="宋体"/>
          <w:bCs/>
          <w:color w:val="auto"/>
        </w:rPr>
        <w:t xml:space="preserve">    一、承包范围。</w:t>
      </w:r>
      <w:bookmarkEnd w:id="19"/>
      <w:bookmarkEnd w:id="20"/>
      <w:bookmarkEnd w:id="21"/>
      <w:r>
        <w:rPr>
          <w:rFonts w:hint="eastAsia" w:ascii="宋体" w:hAnsi="宋体"/>
          <w:bCs/>
          <w:color w:val="auto"/>
        </w:rPr>
        <w:t>珠江街粤港深度合作区（启动区）内26座排涝站及其附属设施（详见附件1）。</w:t>
      </w:r>
    </w:p>
    <w:p>
      <w:pPr>
        <w:adjustRightInd w:val="0"/>
        <w:snapToGrid w:val="0"/>
        <w:spacing w:line="360" w:lineRule="auto"/>
        <w:rPr>
          <w:rFonts w:ascii="宋体" w:hAnsi="宋体"/>
          <w:bCs/>
          <w:color w:val="auto"/>
        </w:rPr>
      </w:pPr>
      <w:r>
        <w:rPr>
          <w:rFonts w:hint="eastAsia" w:ascii="宋体" w:hAnsi="宋体"/>
          <w:bCs/>
          <w:color w:val="auto"/>
        </w:rPr>
        <w:t xml:space="preserve">    二、承包期限</w:t>
      </w:r>
    </w:p>
    <w:p>
      <w:pPr>
        <w:adjustRightInd w:val="0"/>
        <w:snapToGrid w:val="0"/>
        <w:spacing w:line="360" w:lineRule="auto"/>
        <w:ind w:firstLine="420" w:firstLineChars="200"/>
        <w:rPr>
          <w:rFonts w:ascii="宋体" w:hAnsi="宋体"/>
          <w:bCs/>
          <w:color w:val="auto"/>
        </w:rPr>
      </w:pPr>
      <w:r>
        <w:rPr>
          <w:rFonts w:hint="eastAsia" w:ascii="宋体" w:hAnsi="宋体"/>
          <w:bCs/>
          <w:color w:val="auto"/>
        </w:rPr>
        <w:t>（一）本项目承包期限为一年,自2021年**月**日起至2022年**月**日止。</w:t>
      </w:r>
    </w:p>
    <w:p>
      <w:pPr>
        <w:adjustRightInd w:val="0"/>
        <w:snapToGrid w:val="0"/>
        <w:spacing w:line="360" w:lineRule="auto"/>
        <w:ind w:firstLine="420" w:firstLineChars="200"/>
        <w:rPr>
          <w:rFonts w:ascii="宋体" w:hAnsi="宋体"/>
          <w:bCs/>
          <w:color w:val="auto"/>
        </w:rPr>
      </w:pPr>
      <w:r>
        <w:rPr>
          <w:rFonts w:hint="eastAsia" w:ascii="宋体" w:hAnsi="宋体"/>
          <w:bCs/>
          <w:color w:val="auto"/>
        </w:rPr>
        <w:t>（二）若在甲方的上级主管部门下达收回本项目运营管养事项或更改外包模式或其他涉及影响本承包合同</w:t>
      </w:r>
      <w:r>
        <w:rPr>
          <w:rFonts w:hint="eastAsia" w:ascii="宋体" w:hAnsi="宋体"/>
          <w:bCs/>
          <w:color w:val="auto"/>
          <w:lang w:eastAsia="zh-CN"/>
        </w:rPr>
        <w:t>基本</w:t>
      </w:r>
      <w:r>
        <w:rPr>
          <w:rFonts w:hint="eastAsia" w:ascii="宋体" w:hAnsi="宋体"/>
          <w:bCs/>
          <w:color w:val="auto"/>
        </w:rPr>
        <w:t>条款履行事项的正式文件时，甲方有权单方面随时终止本合同，乙方需无条件服从，且甲方只需要支付乙方实际产生的承包费，乙方不得以任何理由要求甲方支付其他任何费用。如乙方有包括但不限于不服从或不配合移交等行为的，甲方有权单方面解除合同，并追究乙方的违约责任。</w:t>
      </w:r>
    </w:p>
    <w:p>
      <w:pPr>
        <w:adjustRightInd w:val="0"/>
        <w:snapToGrid w:val="0"/>
        <w:spacing w:line="360" w:lineRule="auto"/>
        <w:rPr>
          <w:rFonts w:ascii="宋体" w:hAnsi="宋体"/>
          <w:bCs/>
          <w:color w:val="auto"/>
        </w:rPr>
      </w:pPr>
      <w:r>
        <w:rPr>
          <w:rFonts w:hint="eastAsia" w:ascii="宋体" w:hAnsi="宋体"/>
          <w:bCs/>
          <w:color w:val="auto"/>
        </w:rPr>
        <w:t xml:space="preserve">    三、承包费及其付款方式</w:t>
      </w:r>
    </w:p>
    <w:p>
      <w:pPr>
        <w:adjustRightInd w:val="0"/>
        <w:snapToGrid w:val="0"/>
        <w:spacing w:line="360" w:lineRule="auto"/>
        <w:jc w:val="left"/>
        <w:rPr>
          <w:rFonts w:ascii="宋体" w:hAnsi="宋体" w:cs="Courier New" w:eastAsiaTheme="minorEastAsia"/>
          <w:bCs/>
          <w:color w:val="auto"/>
          <w:szCs w:val="21"/>
        </w:rPr>
      </w:pPr>
      <w:r>
        <w:rPr>
          <w:rFonts w:hint="eastAsia" w:ascii="宋体" w:hAnsi="宋体" w:cs="Courier New" w:eastAsiaTheme="minorEastAsia"/>
          <w:bCs/>
          <w:color w:val="auto"/>
          <w:szCs w:val="21"/>
        </w:rPr>
        <w:t xml:space="preserve">   （一）本项目总承包费为****元（大写：******）。承包费包含:柴油费（不含电费）、26座排涝站及其附属设施的日常运行管养费用、小修预算费用、税金费用等相关费用。承包金额分十二期支付，前十一期每期承包费******元(大写:******)，第十二期承包费******元(大写:******)，若管养期间排涝站附属设施有减少的，按1250元/座·月进行核减。</w:t>
      </w:r>
    </w:p>
    <w:p>
      <w:pPr>
        <w:adjustRightInd w:val="0"/>
        <w:snapToGrid w:val="0"/>
        <w:spacing w:line="360" w:lineRule="auto"/>
        <w:jc w:val="left"/>
        <w:rPr>
          <w:rFonts w:hint="default" w:ascii="宋体" w:hAnsi="宋体" w:cs="Courier New" w:eastAsiaTheme="minorEastAsia"/>
          <w:bCs/>
          <w:color w:val="auto"/>
          <w:szCs w:val="21"/>
          <w:lang w:val="en-US" w:eastAsia="zh-CN"/>
        </w:rPr>
      </w:pPr>
      <w:r>
        <w:rPr>
          <w:rFonts w:hint="eastAsia" w:ascii="宋体" w:hAnsi="宋体" w:cs="Courier New" w:eastAsiaTheme="minorEastAsia"/>
          <w:bCs/>
          <w:color w:val="auto"/>
          <w:szCs w:val="21"/>
        </w:rPr>
        <w:t xml:space="preserve">    （二）付款方式：承包期内，甲方按照月度考评结果并结合本合同的相关约定最终确定每月承包金额，在乙方向甲方提供相应金额的有效发票和相关报账材料的前提下，按月结算并以转账方式支付上月费用。若乙方未能按时提供等额有效发票和相关报账材料，甲方有权不予付款，且不承担逾期付款责任及任何违约责任。</w:t>
      </w:r>
    </w:p>
    <w:p>
      <w:pPr>
        <w:adjustRightInd w:val="0"/>
        <w:snapToGrid w:val="0"/>
        <w:spacing w:line="360" w:lineRule="auto"/>
        <w:jc w:val="left"/>
        <w:rPr>
          <w:rFonts w:ascii="宋体" w:hAnsi="宋体"/>
          <w:bCs/>
          <w:color w:val="auto"/>
        </w:rPr>
      </w:pPr>
      <w:r>
        <w:rPr>
          <w:rFonts w:hint="eastAsia" w:ascii="宋体" w:hAnsi="宋体"/>
          <w:bCs/>
          <w:color w:val="auto"/>
        </w:rPr>
        <w:t xml:space="preserve">    （三）乙方确认接收承包费用的账户信息为：</w:t>
      </w:r>
    </w:p>
    <w:p>
      <w:pPr>
        <w:adjustRightInd w:val="0"/>
        <w:snapToGrid w:val="0"/>
        <w:spacing w:line="360" w:lineRule="auto"/>
        <w:jc w:val="left"/>
        <w:rPr>
          <w:rFonts w:ascii="宋体" w:hAnsi="宋体"/>
          <w:bCs/>
          <w:color w:val="auto"/>
        </w:rPr>
      </w:pPr>
      <w:r>
        <w:rPr>
          <w:rFonts w:hint="eastAsia" w:ascii="宋体" w:hAnsi="宋体"/>
          <w:bCs/>
          <w:color w:val="auto"/>
        </w:rPr>
        <w:t xml:space="preserve">     户名:</w:t>
      </w:r>
    </w:p>
    <w:p>
      <w:pPr>
        <w:adjustRightInd w:val="0"/>
        <w:snapToGrid w:val="0"/>
        <w:spacing w:line="360" w:lineRule="auto"/>
        <w:jc w:val="left"/>
        <w:rPr>
          <w:rFonts w:ascii="宋体" w:hAnsi="宋体"/>
          <w:bCs/>
          <w:color w:val="auto"/>
        </w:rPr>
      </w:pPr>
      <w:r>
        <w:rPr>
          <w:rFonts w:hint="eastAsia" w:ascii="宋体" w:hAnsi="宋体"/>
          <w:bCs/>
          <w:color w:val="auto"/>
        </w:rPr>
        <w:t xml:space="preserve">     开户银行：</w:t>
      </w:r>
    </w:p>
    <w:p>
      <w:pPr>
        <w:adjustRightInd w:val="0"/>
        <w:snapToGrid w:val="0"/>
        <w:spacing w:line="360" w:lineRule="auto"/>
        <w:jc w:val="left"/>
        <w:rPr>
          <w:rFonts w:ascii="宋体" w:hAnsi="宋体" w:cs="Courier New" w:eastAsiaTheme="minorEastAsia"/>
          <w:bCs/>
          <w:color w:val="auto"/>
          <w:szCs w:val="21"/>
        </w:rPr>
      </w:pPr>
      <w:r>
        <w:rPr>
          <w:rFonts w:hint="eastAsia" w:ascii="宋体" w:hAnsi="宋体" w:cs="Courier New" w:eastAsiaTheme="minorEastAsia"/>
          <w:bCs/>
          <w:color w:val="auto"/>
          <w:szCs w:val="21"/>
        </w:rPr>
        <w:t xml:space="preserve">     账号：</w:t>
      </w:r>
    </w:p>
    <w:p>
      <w:pPr>
        <w:adjustRightInd w:val="0"/>
        <w:snapToGrid w:val="0"/>
        <w:spacing w:line="360" w:lineRule="auto"/>
        <w:jc w:val="left"/>
        <w:rPr>
          <w:rFonts w:ascii="宋体" w:hAnsi="宋体" w:cs="Courier New" w:eastAsiaTheme="minorEastAsia"/>
          <w:bCs/>
          <w:color w:val="auto"/>
          <w:szCs w:val="21"/>
        </w:rPr>
      </w:pPr>
      <w:r>
        <w:rPr>
          <w:rFonts w:hint="eastAsia" w:ascii="宋体" w:hAnsi="宋体" w:cs="Courier New" w:eastAsiaTheme="minorEastAsia"/>
          <w:bCs/>
          <w:color w:val="auto"/>
          <w:szCs w:val="21"/>
        </w:rPr>
        <w:t xml:space="preserve">    （四）因甲方使用财政资金，甲方在规定的付款时间内将承包费用的报账材料递交至甲方财务部门，即视为甲方已履行财务支付手续按期支付。</w:t>
      </w:r>
    </w:p>
    <w:p>
      <w:pPr>
        <w:pStyle w:val="2"/>
        <w:tabs>
          <w:tab w:val="left" w:pos="540"/>
        </w:tabs>
        <w:adjustRightInd w:val="0"/>
        <w:snapToGrid w:val="0"/>
        <w:spacing w:line="360" w:lineRule="auto"/>
        <w:ind w:left="-10" w:firstLine="426" w:firstLineChars="203"/>
        <w:rPr>
          <w:rFonts w:hint="eastAsia" w:ascii="ˎ̥" w:hAnsi="ˎ̥" w:cs="Arial"/>
          <w:bCs/>
          <w:color w:val="auto"/>
        </w:rPr>
      </w:pPr>
      <w:r>
        <w:rPr>
          <w:rFonts w:hint="eastAsia" w:ascii="ˎ̥" w:hAnsi="ˎ̥" w:cs="Arial"/>
          <w:bCs/>
          <w:color w:val="auto"/>
        </w:rPr>
        <w:t>四、履约保证金</w:t>
      </w:r>
    </w:p>
    <w:p>
      <w:pPr>
        <w:pStyle w:val="2"/>
        <w:tabs>
          <w:tab w:val="left" w:pos="540"/>
        </w:tabs>
        <w:adjustRightInd w:val="0"/>
        <w:snapToGrid w:val="0"/>
        <w:spacing w:line="360" w:lineRule="auto"/>
        <w:ind w:left="-10" w:firstLine="426" w:firstLineChars="203"/>
        <w:rPr>
          <w:rFonts w:hAnsi="宋体" w:eastAsia="宋体" w:cs="Times New Roman"/>
          <w:bCs/>
          <w:color w:val="auto"/>
          <w:szCs w:val="24"/>
          <w:u w:val="single"/>
        </w:rPr>
      </w:pPr>
      <w:r>
        <w:rPr>
          <w:rFonts w:hint="eastAsia" w:ascii="ˎ̥" w:hAnsi="ˎ̥" w:cs="Arial"/>
          <w:bCs/>
          <w:color w:val="auto"/>
        </w:rPr>
        <w:t>1、本合同生效当日，乙方必须向甲方提交履约保证金金额为      元（大写金额：     元整，</w:t>
      </w:r>
      <w:r>
        <w:rPr>
          <w:rFonts w:hint="eastAsia" w:hAnsi="宋体"/>
          <w:bCs/>
          <w:color w:val="auto"/>
        </w:rPr>
        <w:t>按合同的10%进行计算</w:t>
      </w:r>
      <w:r>
        <w:rPr>
          <w:rFonts w:hint="eastAsia" w:hAnsi="宋体" w:eastAsia="宋体" w:cs="Times New Roman"/>
          <w:bCs/>
          <w:color w:val="auto"/>
          <w:szCs w:val="24"/>
        </w:rPr>
        <w:t>），履约保证金缴纳方式按照甲方财务部门要求执行。本承包合同期满后且乙方不存在任何违约行为的情况下，甲方应在乙方按照甲方财务部门要求提交相关退还履约保证金资料之日起30个工作日内将履约保证金无息退还给乙方。甲方</w:t>
      </w:r>
      <w:r>
        <w:rPr>
          <w:rFonts w:hint="eastAsia" w:hAnsi="宋体" w:eastAsia="宋体" w:cs="Times New Roman"/>
          <w:bCs/>
          <w:color w:val="auto"/>
          <w:szCs w:val="24"/>
          <w:lang w:eastAsia="zh-CN"/>
        </w:rPr>
        <w:t>水利</w:t>
      </w:r>
      <w:r>
        <w:rPr>
          <w:rFonts w:hint="eastAsia" w:hAnsi="宋体" w:eastAsia="宋体" w:cs="Times New Roman"/>
          <w:bCs/>
          <w:color w:val="auto"/>
          <w:szCs w:val="24"/>
        </w:rPr>
        <w:t>部门将本合同报账材料递交至甲方财务部门，则视为已履行财务支付手续。</w:t>
      </w:r>
    </w:p>
    <w:p>
      <w:pPr>
        <w:adjustRightInd w:val="0"/>
        <w:snapToGrid w:val="0"/>
        <w:spacing w:line="360" w:lineRule="auto"/>
        <w:rPr>
          <w:rFonts w:ascii="宋体" w:hAnsi="宋体"/>
          <w:bCs/>
          <w:color w:val="auto"/>
        </w:rPr>
      </w:pPr>
      <w:r>
        <w:rPr>
          <w:rFonts w:hint="eastAsia" w:ascii="宋体" w:hAnsi="宋体"/>
          <w:bCs/>
          <w:color w:val="auto"/>
        </w:rPr>
        <w:t xml:space="preserve">    2、在承包履行期间，当发生以下任何一种情形，甲方有权不予退还履约保证金外(履约保证金全部归甲方所有），还有权拒绝支付应付未付的服务费用，履约保证金和应付未付的承包费不足以赔偿甲方或其他损失的，乙方应在甲方的损失金额确定后的15日内自行补充支付，且甲方享有继续追偿的权力：（一）有明显证据证明乙方未履行本合同约定的；（二）因乙方存在过错致甲方造成损失的；（三）因乙方向甲方提出解除合同申请但未经甲方书面同意而不履行本合同的；（四）甲方行使单方解除权解除本合同；（五)乙方不按规定支付项目员工工资福利或履行赔偿损失的；（六）乙方发生安全生产或其他事故，没有履行或没有履行完赔偿义务的。</w:t>
      </w:r>
    </w:p>
    <w:p>
      <w:pPr>
        <w:adjustRightInd w:val="0"/>
        <w:snapToGrid w:val="0"/>
        <w:spacing w:line="360" w:lineRule="auto"/>
        <w:rPr>
          <w:rFonts w:ascii="宋体" w:hAnsi="宋体"/>
          <w:bCs/>
          <w:color w:val="auto"/>
        </w:rPr>
      </w:pPr>
      <w:r>
        <w:rPr>
          <w:rFonts w:hint="eastAsia" w:ascii="宋体" w:hAnsi="宋体"/>
          <w:bCs/>
          <w:color w:val="auto"/>
        </w:rPr>
        <w:t xml:space="preserve">    五、承包内容及相关要求</w:t>
      </w:r>
    </w:p>
    <w:p>
      <w:pPr>
        <w:adjustRightInd w:val="0"/>
        <w:snapToGrid w:val="0"/>
        <w:spacing w:line="360" w:lineRule="auto"/>
        <w:ind w:firstLine="424" w:firstLineChars="202"/>
        <w:rPr>
          <w:rFonts w:ascii="宋体" w:hAnsi="宋体"/>
          <w:bCs/>
          <w:color w:val="auto"/>
        </w:rPr>
      </w:pPr>
      <w:r>
        <w:rPr>
          <w:rFonts w:hint="eastAsia" w:ascii="宋体" w:hAnsi="宋体"/>
          <w:bCs/>
          <w:color w:val="auto"/>
        </w:rPr>
        <w:t>（一）排涝站、水窦的运营管养</w:t>
      </w:r>
    </w:p>
    <w:p>
      <w:pPr>
        <w:pStyle w:val="2"/>
        <w:rPr>
          <w:rFonts w:hAnsi="宋体"/>
          <w:bCs/>
          <w:color w:val="auto"/>
        </w:rPr>
      </w:pPr>
      <w:r>
        <w:rPr>
          <w:rFonts w:hint="eastAsia" w:hAnsi="宋体"/>
          <w:bCs/>
          <w:color w:val="auto"/>
        </w:rPr>
        <w:t xml:space="preserve">     1、乙方负责珠江街粤港深度合作区（启动区）内26座排涝站日常运行的抽水排水及管理工作（含运行柴油费，不含电费）。</w:t>
      </w:r>
    </w:p>
    <w:p>
      <w:pPr>
        <w:adjustRightInd w:val="0"/>
        <w:snapToGrid w:val="0"/>
        <w:spacing w:line="360" w:lineRule="auto"/>
        <w:ind w:firstLine="424" w:firstLineChars="202"/>
        <w:rPr>
          <w:rFonts w:ascii="宋体" w:hAnsi="宋体"/>
          <w:bCs/>
          <w:color w:val="auto"/>
        </w:rPr>
      </w:pPr>
      <w:r>
        <w:rPr>
          <w:rFonts w:hint="eastAsia" w:ascii="宋体" w:hAnsi="宋体"/>
          <w:bCs/>
          <w:color w:val="auto"/>
        </w:rPr>
        <w:t>2、乙方负责排涝站储水塘水面、溢流孔前集水渠水面及其周边环境卫生清洁保洁工作（包括打捞水面油污、垃圾等漂浮物、清理水浮莲等）及根据排涝站储水塘的水质落实换水工作，确保储水塘日常景观和水质良好。</w:t>
      </w:r>
    </w:p>
    <w:p>
      <w:pPr>
        <w:adjustRightInd w:val="0"/>
        <w:snapToGrid w:val="0"/>
        <w:spacing w:line="360" w:lineRule="auto"/>
        <w:ind w:firstLine="424" w:firstLineChars="202"/>
        <w:rPr>
          <w:rFonts w:ascii="宋体" w:hAnsi="宋体"/>
          <w:bCs/>
          <w:color w:val="auto"/>
        </w:rPr>
      </w:pPr>
      <w:r>
        <w:rPr>
          <w:rFonts w:hint="eastAsia" w:ascii="宋体" w:hAnsi="宋体"/>
          <w:bCs/>
          <w:color w:val="auto"/>
        </w:rPr>
        <w:t>3、乙方负责珠江街粤港深度合作区（启动区）内26座排涝站现有排涝设施的日常检修、维护保养工作（排涝设施主要是泵房、柴油机、马达、水泵及排涝站内附属的机电等设备、用电设备及线路等）;负责排涝站机械设备的检查，确保排涝站每天能正常运行，发现故障立即报告排涝站所</w:t>
      </w:r>
      <w:r>
        <w:rPr>
          <w:rFonts w:hint="eastAsia" w:ascii="宋体" w:hAnsi="宋体"/>
          <w:bCs/>
          <w:color w:val="auto"/>
          <w:lang w:eastAsia="zh-CN"/>
        </w:rPr>
        <w:t>属社区</w:t>
      </w:r>
      <w:r>
        <w:rPr>
          <w:rFonts w:hint="eastAsia" w:ascii="宋体" w:hAnsi="宋体"/>
          <w:bCs/>
          <w:color w:val="auto"/>
        </w:rPr>
        <w:t>居委会和街道水利部门，并组织维修。</w:t>
      </w:r>
    </w:p>
    <w:p>
      <w:pPr>
        <w:adjustRightInd w:val="0"/>
        <w:snapToGrid w:val="0"/>
        <w:spacing w:line="360" w:lineRule="auto"/>
        <w:ind w:firstLine="424" w:firstLineChars="202"/>
        <w:rPr>
          <w:rFonts w:ascii="宋体" w:hAnsi="宋体"/>
          <w:bCs/>
          <w:color w:val="auto"/>
        </w:rPr>
      </w:pPr>
      <w:r>
        <w:rPr>
          <w:rFonts w:hint="eastAsia" w:ascii="宋体" w:hAnsi="宋体"/>
          <w:bCs/>
          <w:color w:val="auto"/>
        </w:rPr>
        <w:t>4、根据季节变化、天气预报、各级三防指令和各排涝站储水塘的实际情况，安排好时间及时抽排水，采取有效措施确保外排水无发黑、无恶臭味、无悬浮物等现象；加强与排涝站周边居民沟通，把排涝站运行过程中对周边居民的影响降到最低，有特殊情况及时向所属社区居委会和街道水利部门报告。</w:t>
      </w:r>
    </w:p>
    <w:p>
      <w:pPr>
        <w:adjustRightInd w:val="0"/>
        <w:snapToGrid w:val="0"/>
        <w:spacing w:line="360" w:lineRule="auto"/>
        <w:ind w:firstLine="424" w:firstLineChars="202"/>
        <w:rPr>
          <w:rFonts w:ascii="宋体" w:hAnsi="宋体"/>
          <w:bCs/>
          <w:color w:val="auto"/>
        </w:rPr>
      </w:pPr>
      <w:r>
        <w:rPr>
          <w:rFonts w:hint="eastAsia" w:ascii="宋体" w:hAnsi="宋体"/>
          <w:bCs/>
          <w:color w:val="auto"/>
        </w:rPr>
        <w:t>5、确保各排涝站储水塘保持在较低的水位，遇上特大暴雨，乙方必须对项目承包范围的排涝站进行预排处理，并连续抽水至排除险情为止。若因乙方巡查、管理等工作不到位造成水浸，所导致的一切经济损失由乙方负责，甲方有权追究乙方的相应违约责任和赔偿。</w:t>
      </w:r>
    </w:p>
    <w:p>
      <w:pPr>
        <w:adjustRightInd w:val="0"/>
        <w:snapToGrid w:val="0"/>
        <w:spacing w:line="360" w:lineRule="auto"/>
        <w:ind w:firstLine="424" w:firstLineChars="202"/>
        <w:rPr>
          <w:rFonts w:ascii="宋体" w:hAnsi="宋体"/>
          <w:bCs/>
          <w:color w:val="auto"/>
        </w:rPr>
      </w:pPr>
      <w:r>
        <w:rPr>
          <w:rFonts w:hint="eastAsia" w:ascii="宋体" w:hAnsi="宋体"/>
          <w:bCs/>
          <w:color w:val="auto"/>
        </w:rPr>
        <w:t>6、乙方每天安排人员负责排涝站、水窦的值班巡查工作，以防各排涝站内的抽水设备设施、水窦设施遭受人为损坏或被盗。排涝站内的抽水设备设施、水窦设施受损或被盗的，乙方应及时采取有效措施，确保排涝站的正常运行，同时乙方要承担由此所造成的损失并修复受损的设施设备。</w:t>
      </w:r>
    </w:p>
    <w:p>
      <w:pPr>
        <w:adjustRightInd w:val="0"/>
        <w:snapToGrid w:val="0"/>
        <w:spacing w:line="360" w:lineRule="auto"/>
        <w:ind w:firstLine="424" w:firstLineChars="202"/>
        <w:rPr>
          <w:rFonts w:ascii="宋体" w:hAnsi="宋体"/>
          <w:bCs/>
          <w:color w:val="auto"/>
        </w:rPr>
      </w:pPr>
      <w:r>
        <w:rPr>
          <w:rFonts w:hint="eastAsia" w:ascii="宋体" w:hAnsi="宋体"/>
          <w:bCs/>
          <w:color w:val="auto"/>
        </w:rPr>
        <w:t>7、乙方每天安排人员巡查排涝站储水塘、溢流孔前可见部分集水渠及周边环境卫生，发现垃圾和油污飘浮物应及时清洁干净，以防抽水设备在抽排水过程中被垃圾或油污飘浮物堵塞，导致抽水设备不能正常运转或损坏。若因乙方巡查、清理等工作不到位造成抽水设备损坏，乙方要承担由此造成的经济损失并负责修复受损的设备。</w:t>
      </w:r>
    </w:p>
    <w:p>
      <w:pPr>
        <w:adjustRightInd w:val="0"/>
        <w:snapToGrid w:val="0"/>
        <w:spacing w:line="360" w:lineRule="auto"/>
        <w:ind w:firstLine="424" w:firstLineChars="202"/>
        <w:rPr>
          <w:rFonts w:ascii="宋体" w:hAnsi="宋体"/>
          <w:bCs/>
          <w:color w:val="auto"/>
        </w:rPr>
      </w:pPr>
      <w:r>
        <w:rPr>
          <w:rFonts w:hint="eastAsia" w:ascii="宋体" w:hAnsi="宋体"/>
          <w:bCs/>
          <w:color w:val="auto"/>
        </w:rPr>
        <w:t>8、若遇上甲方建设排涝站或污水治理设施时，乙方必须无条件配合甲方做好相关建设工作。</w:t>
      </w:r>
    </w:p>
    <w:p>
      <w:pPr>
        <w:adjustRightInd w:val="0"/>
        <w:snapToGrid w:val="0"/>
        <w:spacing w:line="360" w:lineRule="auto"/>
        <w:ind w:firstLine="424" w:firstLineChars="202"/>
        <w:rPr>
          <w:rFonts w:ascii="宋体" w:hAnsi="宋体"/>
          <w:bCs/>
          <w:color w:val="auto"/>
        </w:rPr>
      </w:pPr>
      <w:r>
        <w:rPr>
          <w:rFonts w:hint="eastAsia" w:ascii="宋体" w:hAnsi="宋体"/>
          <w:bCs/>
          <w:color w:val="auto"/>
        </w:rPr>
        <w:t>9、乙方须接受甲方的职能部门和社区居委会的日常监督检查和考核。</w:t>
      </w:r>
    </w:p>
    <w:p>
      <w:pPr>
        <w:adjustRightInd w:val="0"/>
        <w:snapToGrid w:val="0"/>
        <w:spacing w:line="360" w:lineRule="auto"/>
        <w:rPr>
          <w:rFonts w:hint="eastAsia" w:ascii="宋体" w:hAnsi="宋体"/>
          <w:bCs/>
          <w:color w:val="auto"/>
        </w:rPr>
      </w:pPr>
      <w:r>
        <w:rPr>
          <w:rFonts w:hint="eastAsia" w:ascii="宋体" w:hAnsi="宋体"/>
          <w:bCs/>
          <w:color w:val="auto"/>
        </w:rPr>
        <w:t xml:space="preserve">    10、当发布雷雨大风天气和黄色以上等级预警通知时或汛期内，</w:t>
      </w:r>
      <w:r>
        <w:rPr>
          <w:rFonts w:hint="eastAsia" w:ascii="宋体" w:hAnsi="宋体"/>
          <w:bCs/>
          <w:color w:val="auto"/>
        </w:rPr>
        <w:t>乙方须立即安排岗位操作工到位</w:t>
      </w:r>
      <w:r>
        <w:rPr>
          <w:rFonts w:hint="eastAsia" w:ascii="宋体" w:hAnsi="宋体"/>
          <w:bCs/>
          <w:color w:val="auto"/>
        </w:rPr>
        <w:t>在岗值守，密切留意排涝站抽排水情况，若发生水浸或紧急状况，乙方立即派出人员现场安装应急移动抽排水设备并操作使用，直至任务完成，所产生的一切费用均由乙方负责。因乙方抽排水不及时而造成其他损失的，由乙方负责赔偿。</w:t>
      </w:r>
    </w:p>
    <w:p>
      <w:pPr>
        <w:adjustRightInd w:val="0"/>
        <w:snapToGrid w:val="0"/>
        <w:spacing w:line="360" w:lineRule="auto"/>
        <w:ind w:firstLine="424" w:firstLineChars="202"/>
        <w:rPr>
          <w:rFonts w:hint="eastAsia" w:ascii="宋体" w:hAnsi="宋体"/>
          <w:bCs/>
          <w:color w:val="auto"/>
        </w:rPr>
      </w:pPr>
      <w:r>
        <w:rPr>
          <w:rFonts w:hint="eastAsia"/>
          <w:color w:val="auto"/>
        </w:rPr>
        <w:t>11、</w:t>
      </w:r>
      <w:r>
        <w:rPr>
          <w:rFonts w:hint="eastAsia" w:ascii="宋体" w:hAnsi="宋体"/>
          <w:bCs/>
          <w:color w:val="auto"/>
        </w:rPr>
        <w:t>乙方所提供的服务，必须符合国家有关规范和要求及甲方的技术要求，且乙方保证所有与本项目相关的服务不得侵犯第三方版权、专利、税费等。若因乙方原因侵犯第三方版权、专利、税费等，所产生的一切赔偿和责任均由乙方承担。</w:t>
      </w:r>
    </w:p>
    <w:p>
      <w:pPr>
        <w:adjustRightInd w:val="0"/>
        <w:snapToGrid w:val="0"/>
        <w:spacing w:line="360" w:lineRule="auto"/>
        <w:ind w:firstLine="424" w:firstLineChars="202"/>
        <w:rPr>
          <w:rFonts w:ascii="宋体" w:hAnsi="宋体"/>
          <w:bCs/>
          <w:color w:val="auto"/>
        </w:rPr>
      </w:pPr>
      <w:r>
        <w:rPr>
          <w:rFonts w:hint="eastAsia" w:ascii="宋体" w:hAnsi="宋体"/>
          <w:bCs/>
          <w:color w:val="auto"/>
        </w:rPr>
        <w:t>（二）排涝站、水窦设备配置及维修</w:t>
      </w:r>
    </w:p>
    <w:p>
      <w:pPr>
        <w:adjustRightInd w:val="0"/>
        <w:snapToGrid w:val="0"/>
        <w:spacing w:line="360" w:lineRule="auto"/>
        <w:ind w:firstLine="424" w:firstLineChars="202"/>
        <w:rPr>
          <w:rFonts w:ascii="宋体" w:hAnsi="宋体"/>
          <w:bCs/>
          <w:color w:val="auto"/>
        </w:rPr>
      </w:pPr>
      <w:r>
        <w:rPr>
          <w:rFonts w:hint="eastAsia" w:ascii="宋体" w:hAnsi="宋体"/>
          <w:bCs/>
          <w:color w:val="auto"/>
        </w:rPr>
        <w:t>1、乙方开展排涝站及其附属设施维修时，若单项设备维修费用等于或小于3000元的由乙方全额支付；若单项设备维修费用大于3000元但小于30000元的由乙方支付3000元，剩余部分由甲方支付（由乙方编制预算，并组织实施维修工作、验收合格后，编制项目结算书，经第三方审定，由乙方按程序报销）。若单项设备维修费用大于30000元的，由甲方按程序另行选取维修单位。</w:t>
      </w:r>
    </w:p>
    <w:p>
      <w:pPr>
        <w:adjustRightInd w:val="0"/>
        <w:snapToGrid w:val="0"/>
        <w:spacing w:line="360" w:lineRule="auto"/>
        <w:ind w:firstLine="424" w:firstLineChars="202"/>
        <w:rPr>
          <w:rFonts w:ascii="宋体" w:hAnsi="宋体"/>
          <w:bCs/>
          <w:color w:val="auto"/>
        </w:rPr>
      </w:pPr>
      <w:r>
        <w:rPr>
          <w:rFonts w:hint="eastAsia" w:ascii="宋体" w:hAnsi="宋体"/>
          <w:bCs/>
          <w:color w:val="auto"/>
        </w:rPr>
        <w:t>2、乙方须进行各排涝站排涝设备的维护、保养工作（包括但不限于对各排涝站的水泵打黄油，机油、机组轴承油、防锈漆等），检查水泵的运转情况，确保所有排涝设施正常运行，建立台账。</w:t>
      </w:r>
    </w:p>
    <w:p>
      <w:pPr>
        <w:adjustRightInd w:val="0"/>
        <w:snapToGrid w:val="0"/>
        <w:spacing w:line="360" w:lineRule="auto"/>
        <w:ind w:firstLine="424" w:firstLineChars="202"/>
        <w:rPr>
          <w:rFonts w:ascii="宋体" w:hAnsi="宋体"/>
          <w:bCs/>
          <w:color w:val="auto"/>
        </w:rPr>
      </w:pPr>
      <w:r>
        <w:rPr>
          <w:rFonts w:hint="eastAsia" w:ascii="宋体" w:hAnsi="宋体"/>
          <w:bCs/>
          <w:color w:val="auto"/>
        </w:rPr>
        <w:t>3、乙方在开展维护保养工作及紧急排涝时，须与相关社区居委会和街道水利部门保持密切联系，及时以电话或书面形式上报实情。承包期内，乙方须定期书面汇报养护管理计划及有关措施。</w:t>
      </w:r>
    </w:p>
    <w:p>
      <w:pPr>
        <w:adjustRightInd w:val="0"/>
        <w:snapToGrid w:val="0"/>
        <w:spacing w:line="360" w:lineRule="auto"/>
        <w:ind w:firstLine="424" w:firstLineChars="202"/>
        <w:rPr>
          <w:rFonts w:ascii="宋体" w:hAnsi="宋体"/>
          <w:bCs/>
          <w:color w:val="auto"/>
        </w:rPr>
      </w:pPr>
      <w:r>
        <w:rPr>
          <w:rFonts w:hint="eastAsia" w:ascii="宋体" w:hAnsi="宋体"/>
          <w:bCs/>
          <w:color w:val="auto"/>
        </w:rPr>
        <w:t xml:space="preserve"> 4、承担各排涝站排涝设备、水窦设备的日常维修保养工作，所产生的一切费用均由乙方负责。</w:t>
      </w:r>
    </w:p>
    <w:p>
      <w:pPr>
        <w:adjustRightInd w:val="0"/>
        <w:snapToGrid w:val="0"/>
        <w:spacing w:line="360" w:lineRule="auto"/>
        <w:ind w:firstLine="424" w:firstLineChars="202"/>
        <w:rPr>
          <w:rFonts w:ascii="宋体" w:hAnsi="宋体"/>
          <w:bCs/>
          <w:color w:val="auto"/>
        </w:rPr>
      </w:pPr>
      <w:r>
        <w:rPr>
          <w:rFonts w:hint="eastAsia"/>
          <w:color w:val="auto"/>
        </w:rPr>
        <w:t xml:space="preserve"> 5、</w:t>
      </w:r>
      <w:r>
        <w:rPr>
          <w:rFonts w:hint="eastAsia" w:ascii="宋体" w:hAnsi="宋体"/>
          <w:bCs/>
          <w:color w:val="auto"/>
        </w:rPr>
        <w:t>乙方对珠江街粤港深度合作区（启动区）内26个水窦设施进行维修管养，定期巡查水窦设施，及时更换水窦配件设施:窦闸板、窦狮利等设施，确保我街水窦设施正常安全运行。</w:t>
      </w:r>
    </w:p>
    <w:p>
      <w:pPr>
        <w:adjustRightInd w:val="0"/>
        <w:snapToGrid w:val="0"/>
        <w:spacing w:line="360" w:lineRule="auto"/>
        <w:ind w:firstLine="424" w:firstLineChars="202"/>
        <w:rPr>
          <w:rFonts w:ascii="宋体" w:hAnsi="宋体"/>
          <w:bCs/>
          <w:color w:val="auto"/>
        </w:rPr>
      </w:pPr>
      <w:r>
        <w:rPr>
          <w:rFonts w:hint="eastAsia" w:ascii="宋体" w:hAnsi="宋体"/>
          <w:bCs/>
          <w:color w:val="auto"/>
        </w:rPr>
        <w:t>（三）项目人员、巡查车辆及日常管养设备及相关工具等配置数量及要求</w:t>
      </w:r>
    </w:p>
    <w:p>
      <w:pPr>
        <w:adjustRightInd w:val="0"/>
        <w:snapToGrid w:val="0"/>
        <w:spacing w:line="360" w:lineRule="auto"/>
        <w:ind w:firstLine="424" w:firstLineChars="202"/>
        <w:rPr>
          <w:rFonts w:ascii="宋体" w:hAnsi="宋体" w:cs="Courier New" w:eastAsiaTheme="minorEastAsia"/>
          <w:bCs/>
          <w:color w:val="auto"/>
          <w:szCs w:val="21"/>
        </w:rPr>
      </w:pPr>
      <w:r>
        <w:rPr>
          <w:rFonts w:hint="eastAsia" w:ascii="宋体" w:hAnsi="宋体" w:cs="Courier New" w:eastAsiaTheme="minorEastAsia"/>
          <w:bCs/>
          <w:color w:val="auto"/>
          <w:szCs w:val="21"/>
        </w:rPr>
        <w:t>1、项目人员数量及要求。乙方须安排1名防汛责任人（即项目经理，需要具有水利水电类专业工程师资质和相应的工作经验）、1名安全员及能满足本项目服务范围内的排涝站及其附属设施管理的岗位操作工投入本项目。项目所投入的安全员及排涝站及其附属设施管理的岗位操作工必须持有电工证。</w:t>
      </w:r>
    </w:p>
    <w:p>
      <w:pPr>
        <w:adjustRightInd w:val="0"/>
        <w:snapToGrid w:val="0"/>
        <w:spacing w:line="360" w:lineRule="auto"/>
        <w:rPr>
          <w:rFonts w:ascii="宋体" w:hAnsi="宋体" w:cs="Courier New" w:eastAsiaTheme="minorEastAsia"/>
          <w:bCs/>
          <w:color w:val="auto"/>
          <w:szCs w:val="21"/>
        </w:rPr>
      </w:pPr>
      <w:r>
        <w:rPr>
          <w:rFonts w:hint="eastAsia" w:ascii="宋体" w:hAnsi="宋体" w:cs="Courier New" w:eastAsiaTheme="minorEastAsia"/>
          <w:bCs/>
          <w:color w:val="auto"/>
          <w:szCs w:val="21"/>
        </w:rPr>
        <w:t xml:space="preserve">    2、车辆配备。乙方按要求配备一辆四轮双排座位电动汽车供三防办工作人员日常巡查工作等使用（原始行驶里程不超过2000公里；甲方有权</w:t>
      </w:r>
      <w:r>
        <w:rPr>
          <w:rFonts w:hint="eastAsia" w:ascii="宋体" w:hAnsi="宋体" w:cs="Courier New" w:eastAsiaTheme="minorEastAsia"/>
          <w:bCs/>
          <w:color w:val="auto"/>
          <w:szCs w:val="21"/>
          <w:lang w:eastAsia="zh-CN"/>
        </w:rPr>
        <w:t>要求</w:t>
      </w:r>
      <w:r>
        <w:rPr>
          <w:rFonts w:hint="eastAsia" w:ascii="宋体" w:hAnsi="宋体" w:cs="Courier New" w:eastAsiaTheme="minorEastAsia"/>
          <w:bCs/>
          <w:color w:val="auto"/>
          <w:szCs w:val="21"/>
        </w:rPr>
        <w:t>提供的电动车品牌、型号。）服务期间，电动汽车车辆产生的维修、保险等一切相关费用和安全责任均由乙方负责。</w:t>
      </w:r>
    </w:p>
    <w:p>
      <w:pPr>
        <w:adjustRightInd w:val="0"/>
        <w:snapToGrid w:val="0"/>
        <w:spacing w:line="360" w:lineRule="auto"/>
        <w:ind w:firstLine="424" w:firstLineChars="202"/>
        <w:rPr>
          <w:rFonts w:ascii="宋体" w:hAnsi="宋体" w:cs="Courier New" w:eastAsiaTheme="minorEastAsia"/>
          <w:bCs/>
          <w:color w:val="auto"/>
          <w:szCs w:val="21"/>
        </w:rPr>
      </w:pPr>
      <w:r>
        <w:rPr>
          <w:rFonts w:hint="eastAsia" w:ascii="宋体" w:hAnsi="宋体" w:cs="Courier New" w:eastAsiaTheme="minorEastAsia"/>
          <w:bCs/>
          <w:color w:val="auto"/>
          <w:szCs w:val="21"/>
        </w:rPr>
        <w:t>3、日常管养设备及相关工具。乙方进场接管本项目后，必须自行配备能完成本项目日常运行维护管养所需的设备及工具，包含8寸的潜水泵4台、50KW的发电机1台，巡查工作电动汽车1辆，抢修专用车1辆，维修小艇1艘、电焊机、砂轮机、氧割机、水准仪、经纬仪、高压测试仪、继电保护测试仪、开关特性测试仪、接地电阻测试仪、剪草机、喷药机、高空修剪机各一台及其它专用设备及工具。乙方自行配备的设备及工具产生的相关费用由乙方负责。</w:t>
      </w:r>
    </w:p>
    <w:p>
      <w:pPr>
        <w:adjustRightInd w:val="0"/>
        <w:snapToGrid w:val="0"/>
        <w:spacing w:line="360" w:lineRule="auto"/>
        <w:ind w:firstLine="424" w:firstLineChars="202"/>
        <w:rPr>
          <w:rFonts w:ascii="宋体" w:hAnsi="宋体"/>
          <w:bCs/>
          <w:color w:val="auto"/>
        </w:rPr>
      </w:pPr>
      <w:r>
        <w:rPr>
          <w:rFonts w:hint="eastAsia" w:ascii="宋体" w:hAnsi="宋体"/>
          <w:bCs/>
          <w:color w:val="auto"/>
        </w:rPr>
        <w:t>（四）自建应急抢修队伍要求</w:t>
      </w:r>
    </w:p>
    <w:p>
      <w:pPr>
        <w:adjustRightInd w:val="0"/>
        <w:snapToGrid w:val="0"/>
        <w:spacing w:line="360" w:lineRule="auto"/>
        <w:jc w:val="left"/>
        <w:rPr>
          <w:rFonts w:ascii="宋体" w:hAnsi="宋体"/>
          <w:bCs/>
          <w:color w:val="auto"/>
        </w:rPr>
      </w:pPr>
      <w:r>
        <w:rPr>
          <w:rFonts w:hint="eastAsia" w:ascii="宋体" w:hAnsi="宋体"/>
          <w:bCs/>
          <w:color w:val="auto"/>
        </w:rPr>
        <w:t xml:space="preserve">     1、 乙方自进场接管本项目后，建立一支不少于10人应急抢险队伍及安排足够的应急抢险运输车辆（含司机），做好三防应急抢险设备的运输、安装、运行调试以及其他排涝设备的抢修等工作。</w:t>
      </w:r>
    </w:p>
    <w:p>
      <w:pPr>
        <w:adjustRightInd w:val="0"/>
        <w:snapToGrid w:val="0"/>
        <w:spacing w:line="360" w:lineRule="auto"/>
        <w:jc w:val="left"/>
        <w:rPr>
          <w:rFonts w:ascii="宋体" w:hAnsi="宋体"/>
          <w:bCs/>
          <w:color w:val="auto"/>
        </w:rPr>
      </w:pPr>
      <w:r>
        <w:rPr>
          <w:rFonts w:hint="eastAsia" w:ascii="宋体" w:hAnsi="宋体"/>
          <w:bCs/>
          <w:color w:val="auto"/>
        </w:rPr>
        <w:t xml:space="preserve">    2、在汛期或预警响应（汛期或预警响应以通知为准）时，应急抢险队伍及26个岗位操作工必须全部到位，以应对排涝设施应急抢修所需，发生险情能及时做好应急工作。在汛期(汛期以通知为准)必须全部到位，以应对排涝设施应急抢修所需，发生险情能及时做好应急工作。在汛期乙方必须实行24小时防汛值班，集结待命令时，行动迅速、方案准确、及时抢险，抢险队伍及抢险车辆按实际抢险天数实报实销（抢险人员备勤300元/人/日，人员出动抢险500元/人/日，抢险运输车辆200元/台/日，在抢险过程中抢险人员备勤、人员出动抢险和抢险运输车辆所产生的费用由甲方负责）。在抢险工作过程中，除抢险人员备勤、人员出动抢险和抢险运输车辆等费用外，其余费用和抢修队伍的交通、抢险行为等过程中所产生的包括但不限于人身、财产等安全责任均由乙方自行负责。</w:t>
      </w:r>
    </w:p>
    <w:p>
      <w:pPr>
        <w:adjustRightInd w:val="0"/>
        <w:snapToGrid w:val="0"/>
        <w:spacing w:line="360" w:lineRule="auto"/>
        <w:ind w:firstLine="424" w:firstLineChars="202"/>
        <w:rPr>
          <w:rFonts w:ascii="宋体" w:hAnsi="宋体"/>
          <w:bCs/>
          <w:color w:val="auto"/>
        </w:rPr>
      </w:pPr>
      <w:r>
        <w:rPr>
          <w:rFonts w:hint="eastAsia" w:ascii="宋体" w:hAnsi="宋体"/>
          <w:bCs/>
          <w:color w:val="auto"/>
        </w:rPr>
        <w:t>（五）其它</w:t>
      </w:r>
    </w:p>
    <w:p>
      <w:pPr>
        <w:adjustRightInd w:val="0"/>
        <w:snapToGrid w:val="0"/>
        <w:spacing w:line="360" w:lineRule="auto"/>
        <w:ind w:firstLine="424" w:firstLineChars="202"/>
        <w:rPr>
          <w:rFonts w:ascii="宋体" w:hAnsi="宋体"/>
          <w:bCs/>
          <w:color w:val="auto"/>
        </w:rPr>
      </w:pPr>
      <w:r>
        <w:rPr>
          <w:rFonts w:hint="eastAsia" w:ascii="宋体" w:hAnsi="宋体"/>
          <w:bCs/>
          <w:color w:val="auto"/>
        </w:rPr>
        <w:t>1、乙方必须在中标通知书发出15个自然日内在珠江街辖区设置固定办公场所。</w:t>
      </w:r>
    </w:p>
    <w:p>
      <w:pPr>
        <w:adjustRightInd w:val="0"/>
        <w:snapToGrid w:val="0"/>
        <w:spacing w:line="360" w:lineRule="auto"/>
        <w:ind w:firstLine="424" w:firstLineChars="202"/>
        <w:rPr>
          <w:rFonts w:ascii="宋体" w:hAnsi="宋体"/>
          <w:bCs/>
          <w:color w:val="auto"/>
        </w:rPr>
      </w:pPr>
      <w:r>
        <w:rPr>
          <w:rFonts w:hint="eastAsia" w:ascii="宋体" w:hAnsi="宋体"/>
          <w:bCs/>
          <w:color w:val="auto"/>
        </w:rPr>
        <w:t>2、乙方负责项目投入的所有人员的聘用、上岗培训、技能培训、安全生产培训等相关业务培训。乙方要按《中华人民共和国劳动法》等相关法律法规的规定与员工签订劳动合同和支付报酬。</w:t>
      </w:r>
    </w:p>
    <w:p>
      <w:pPr>
        <w:adjustRightInd w:val="0"/>
        <w:snapToGrid w:val="0"/>
        <w:spacing w:line="360" w:lineRule="auto"/>
        <w:ind w:firstLine="424" w:firstLineChars="202"/>
        <w:rPr>
          <w:rFonts w:ascii="宋体" w:hAnsi="宋体"/>
          <w:bCs/>
          <w:color w:val="auto"/>
        </w:rPr>
      </w:pPr>
      <w:r>
        <w:rPr>
          <w:rFonts w:hint="eastAsia" w:ascii="宋体" w:hAnsi="宋体"/>
          <w:bCs/>
          <w:color w:val="auto"/>
        </w:rPr>
        <w:t>3、乙方负责岗位操作规程、运行记录、管理制度、周报月报、应急预案等的编写，建立运行记录等台帐，并定期将相关台账资料上报甲方存档。</w:t>
      </w:r>
    </w:p>
    <w:p>
      <w:pPr>
        <w:adjustRightInd w:val="0"/>
        <w:snapToGrid w:val="0"/>
        <w:spacing w:line="360" w:lineRule="auto"/>
        <w:ind w:firstLine="424" w:firstLineChars="202"/>
        <w:rPr>
          <w:rFonts w:ascii="宋体" w:hAnsi="宋体"/>
          <w:bCs/>
          <w:color w:val="auto"/>
        </w:rPr>
      </w:pPr>
      <w:r>
        <w:rPr>
          <w:rFonts w:hint="eastAsia" w:ascii="宋体" w:hAnsi="宋体"/>
          <w:bCs/>
          <w:color w:val="auto"/>
        </w:rPr>
        <w:t>4、乙方要按照甲方的要求做好市、区、街布置的临时性任务（含检查、突击整治、重大活动等）以及创文明、创卫作业等。</w:t>
      </w:r>
    </w:p>
    <w:p>
      <w:pPr>
        <w:adjustRightInd w:val="0"/>
        <w:snapToGrid w:val="0"/>
        <w:spacing w:line="360" w:lineRule="auto"/>
        <w:ind w:firstLine="424" w:firstLineChars="202"/>
        <w:rPr>
          <w:rFonts w:hint="eastAsia" w:ascii="宋体" w:hAnsi="宋体"/>
          <w:bCs/>
          <w:color w:val="auto"/>
        </w:rPr>
      </w:pPr>
      <w:r>
        <w:rPr>
          <w:rFonts w:hint="eastAsia" w:ascii="宋体" w:hAnsi="宋体"/>
          <w:bCs/>
          <w:color w:val="auto"/>
        </w:rPr>
        <w:t>5、乙方须自行做好交通、安全、防火等工作，严格按照有关部门的要求，制定有关规章制度，若在合同履行过程中乙方投入的人员、设备等发生治安、交通、防火、安全生产、计划生育、劳资纠纷等事故，由此产生的一切经济、安全、法律等责任均由乙方负责；因乙方工作管养不到位而产生治安、交通、防火、安全生产等问题，一切经济、安全、法律等责任均由乙方负责，甲方有权单方面解除合同并追究相关违约责任。</w:t>
      </w:r>
    </w:p>
    <w:p>
      <w:pPr>
        <w:adjustRightInd w:val="0"/>
        <w:snapToGrid w:val="0"/>
        <w:spacing w:line="360" w:lineRule="auto"/>
        <w:ind w:firstLine="424" w:firstLineChars="202"/>
        <w:rPr>
          <w:rFonts w:ascii="宋体" w:hAnsi="宋体"/>
          <w:bCs/>
          <w:color w:val="auto"/>
        </w:rPr>
      </w:pPr>
      <w:r>
        <w:rPr>
          <w:rFonts w:hint="eastAsia"/>
          <w:color w:val="auto"/>
        </w:rPr>
        <w:t>6、</w:t>
      </w:r>
      <w:r>
        <w:rPr>
          <w:rFonts w:hint="eastAsia" w:ascii="宋体" w:hAnsi="宋体"/>
          <w:bCs/>
          <w:color w:val="auto"/>
        </w:rPr>
        <w:t xml:space="preserve">乙方必须严格遵守《中华人民共和国安全生产法》及劳动操作规程，采取周密的安全措施，以避免对人身和财产的损害；乙方在履行本合同过程中造成人身伤害或财产损失的，由乙方自行承担全部责任。 </w:t>
      </w:r>
    </w:p>
    <w:p>
      <w:pPr>
        <w:adjustRightInd w:val="0"/>
        <w:snapToGrid w:val="0"/>
        <w:spacing w:line="360" w:lineRule="auto"/>
        <w:ind w:firstLine="424" w:firstLineChars="202"/>
        <w:rPr>
          <w:rFonts w:ascii="宋体" w:hAnsi="宋体"/>
          <w:bCs/>
          <w:color w:val="auto"/>
        </w:rPr>
      </w:pPr>
      <w:r>
        <w:rPr>
          <w:rFonts w:hint="eastAsia" w:ascii="宋体" w:hAnsi="宋体"/>
          <w:bCs/>
          <w:color w:val="auto"/>
        </w:rPr>
        <w:t>七、考核</w:t>
      </w:r>
    </w:p>
    <w:p>
      <w:pPr>
        <w:adjustRightInd w:val="0"/>
        <w:snapToGrid w:val="0"/>
        <w:spacing w:line="360" w:lineRule="auto"/>
        <w:ind w:firstLine="424" w:firstLineChars="202"/>
        <w:rPr>
          <w:rFonts w:ascii="宋体" w:hAnsi="宋体"/>
          <w:bCs/>
          <w:color w:val="auto"/>
        </w:rPr>
      </w:pPr>
      <w:r>
        <w:rPr>
          <w:rFonts w:hint="eastAsia" w:ascii="宋体" w:hAnsi="宋体"/>
          <w:bCs/>
          <w:color w:val="auto"/>
        </w:rPr>
        <w:t>（一) 甲方单方面有权对乙方履行合同事项、服务质量等方面制定标准进行考核、检查(考评标准见附件2)，包括但不限于检查的内容、方式、扣减金额等均可由甲方单方面根据实际需要或招投标文件内容进行设定或调整。乙方在甲方街道相关部门组织的月度考核评分中，得分90分（含90分）以上，支付全额当月承包费；得分低于90分的，则每扣一分，相应扣减2000元作为违约金；当连续三个月在街道有关部门组织的月度考核中达不到85分的，甲方有权单方面解除合同并重新选取承包单位。</w:t>
      </w:r>
    </w:p>
    <w:p>
      <w:pPr>
        <w:adjustRightInd w:val="0"/>
        <w:snapToGrid w:val="0"/>
        <w:spacing w:line="360" w:lineRule="auto"/>
        <w:ind w:left="-2" w:leftChars="-1" w:firstLine="424" w:firstLineChars="202"/>
        <w:rPr>
          <w:rFonts w:ascii="宋体" w:hAnsi="宋体"/>
          <w:bCs/>
          <w:color w:val="auto"/>
        </w:rPr>
      </w:pPr>
      <w:r>
        <w:rPr>
          <w:rFonts w:hint="eastAsia" w:ascii="宋体" w:hAnsi="宋体"/>
          <w:bCs/>
          <w:color w:val="auto"/>
        </w:rPr>
        <w:t>（二）若因乙方在合同履行期间发生以下情况，甲方有权单方面解除合同，扣减当月承包费，情况包括：1、因乙方管理不到位或质量较差造成甲方及有关部门被通报批评；2、受到社区居委会或群众投诉或传媒曝光等问题；3、乙方通过整改后仍不合格；4、乙方拒绝或不予整改的。</w:t>
      </w:r>
    </w:p>
    <w:p>
      <w:pPr>
        <w:adjustRightInd w:val="0"/>
        <w:snapToGrid w:val="0"/>
        <w:spacing w:line="360" w:lineRule="auto"/>
        <w:jc w:val="left"/>
        <w:rPr>
          <w:rFonts w:ascii="宋体" w:hAnsi="宋体"/>
          <w:bCs/>
          <w:color w:val="auto"/>
        </w:rPr>
      </w:pPr>
      <w:r>
        <w:rPr>
          <w:rFonts w:hint="eastAsia" w:ascii="宋体" w:hAnsi="宋体"/>
          <w:bCs/>
          <w:color w:val="auto"/>
        </w:rPr>
        <w:t xml:space="preserve">   八、双方权利和义务</w:t>
      </w:r>
    </w:p>
    <w:p>
      <w:pPr>
        <w:adjustRightInd w:val="0"/>
        <w:snapToGrid w:val="0"/>
        <w:spacing w:line="360" w:lineRule="auto"/>
        <w:ind w:left="630" w:hanging="630" w:hangingChars="300"/>
        <w:jc w:val="left"/>
        <w:rPr>
          <w:rFonts w:ascii="宋体" w:hAnsi="宋体"/>
          <w:bCs/>
          <w:color w:val="auto"/>
        </w:rPr>
      </w:pPr>
      <w:r>
        <w:rPr>
          <w:rFonts w:hint="eastAsia" w:ascii="宋体" w:hAnsi="宋体"/>
          <w:bCs/>
          <w:color w:val="auto"/>
        </w:rPr>
        <w:t xml:space="preserve">   （一）甲方权利和义务</w:t>
      </w:r>
    </w:p>
    <w:p>
      <w:pPr>
        <w:adjustRightInd w:val="0"/>
        <w:snapToGrid w:val="0"/>
        <w:spacing w:line="360" w:lineRule="auto"/>
        <w:jc w:val="left"/>
        <w:rPr>
          <w:rFonts w:ascii="宋体" w:hAnsi="宋体"/>
          <w:bCs/>
          <w:color w:val="auto"/>
        </w:rPr>
      </w:pPr>
      <w:bookmarkStart w:id="27" w:name="_Toc324880504"/>
      <w:bookmarkStart w:id="28" w:name="_Toc332214308"/>
      <w:bookmarkStart w:id="29" w:name="_Toc334110422"/>
      <w:r>
        <w:rPr>
          <w:rFonts w:hint="eastAsia" w:ascii="宋体" w:hAnsi="宋体"/>
          <w:bCs/>
          <w:color w:val="auto"/>
        </w:rPr>
        <w:t xml:space="preserve">    1、根据甲方的项目采购需求及乙方投标文件中的承诺，对乙方提供的服务质量及履行本合同的情况实行定期验收考核。甲方有权对乙方在项目运作过程中的工作完成情况、经费使用及工作落实情况进行监管和提出整改意见或建议，乙方应及时按照甲方要求对工作做出调整或整改。</w:t>
      </w:r>
    </w:p>
    <w:p>
      <w:pPr>
        <w:adjustRightInd w:val="0"/>
        <w:snapToGrid w:val="0"/>
        <w:spacing w:line="360" w:lineRule="auto"/>
        <w:jc w:val="left"/>
        <w:rPr>
          <w:rFonts w:ascii="宋体" w:hAnsi="宋体"/>
          <w:bCs/>
          <w:color w:val="auto"/>
        </w:rPr>
      </w:pPr>
      <w:r>
        <w:rPr>
          <w:rFonts w:hint="eastAsia" w:ascii="宋体" w:hAnsi="宋体"/>
          <w:bCs/>
          <w:color w:val="auto"/>
        </w:rPr>
        <w:t xml:space="preserve">    2、因突发事件及重大活动，甲方需调动乙方人员、设备及工具时，乙方应服从安排予以配合，因此产生的费用由甲方承担。</w:t>
      </w:r>
    </w:p>
    <w:p>
      <w:pPr>
        <w:adjustRightInd w:val="0"/>
        <w:snapToGrid w:val="0"/>
        <w:spacing w:line="360" w:lineRule="auto"/>
        <w:jc w:val="left"/>
        <w:rPr>
          <w:rFonts w:hint="eastAsia" w:ascii="宋体" w:hAnsi="宋体"/>
          <w:bCs/>
          <w:color w:val="auto"/>
        </w:rPr>
      </w:pPr>
      <w:r>
        <w:rPr>
          <w:rFonts w:hint="eastAsia" w:ascii="宋体" w:hAnsi="宋体"/>
          <w:bCs/>
          <w:color w:val="auto"/>
        </w:rPr>
        <w:t xml:space="preserve">    3、甲方有向乙方按时支付承包费的义务，但不承担本合同约定承包费外的任何费用。</w:t>
      </w:r>
    </w:p>
    <w:p>
      <w:pPr>
        <w:adjustRightInd w:val="0"/>
        <w:snapToGrid w:val="0"/>
        <w:spacing w:line="360" w:lineRule="auto"/>
        <w:jc w:val="left"/>
        <w:rPr>
          <w:rFonts w:ascii="宋体" w:hAnsi="宋体"/>
          <w:bCs/>
          <w:color w:val="auto"/>
        </w:rPr>
      </w:pPr>
      <w:r>
        <w:rPr>
          <w:rFonts w:hint="eastAsia" w:ascii="宋体" w:hAnsi="宋体"/>
          <w:bCs/>
          <w:color w:val="auto"/>
        </w:rPr>
        <w:t xml:space="preserve">    4、乙方应当于本合同生效之日起进场，乙方进场接管时，甲方安排人员与乙方清点所有排涝站的设备设施，对有异常的设备设施经一次性修复更新后交由乙方负责。甲方负责支付交接时异常设备设施一次性修复更新费用。退场时，经甲方及下一任服务单位清点检查无异常方可退场，有异常的设备须修复后方可退场，修复或维修产生的一切费用由乙方负责。</w:t>
      </w:r>
    </w:p>
    <w:p>
      <w:pPr>
        <w:adjustRightInd w:val="0"/>
        <w:snapToGrid w:val="0"/>
        <w:spacing w:line="360" w:lineRule="auto"/>
        <w:jc w:val="left"/>
        <w:rPr>
          <w:rFonts w:ascii="宋体" w:hAnsi="宋体"/>
          <w:bCs/>
          <w:color w:val="auto"/>
        </w:rPr>
      </w:pPr>
      <w:r>
        <w:rPr>
          <w:rFonts w:hint="eastAsia" w:ascii="宋体" w:hAnsi="宋体"/>
          <w:bCs/>
          <w:color w:val="auto"/>
        </w:rPr>
        <w:t xml:space="preserve">    5、甲方须给予乙方工作必要的配合与协助，并有权委托辖下2个居委会协助监管、巡查考核乙方对项目区域内的排水设施日常运行管理及技术服务落实情况。</w:t>
      </w:r>
    </w:p>
    <w:p>
      <w:pPr>
        <w:adjustRightInd w:val="0"/>
        <w:snapToGrid w:val="0"/>
        <w:spacing w:line="360" w:lineRule="auto"/>
        <w:jc w:val="left"/>
        <w:rPr>
          <w:rFonts w:ascii="宋体" w:hAnsi="宋体"/>
          <w:bCs/>
          <w:color w:val="auto"/>
        </w:rPr>
      </w:pPr>
      <w:r>
        <w:rPr>
          <w:rFonts w:hint="eastAsia" w:ascii="宋体" w:hAnsi="宋体"/>
          <w:bCs/>
          <w:color w:val="auto"/>
        </w:rPr>
        <w:t xml:space="preserve">   （二）乙方权利和义务</w:t>
      </w:r>
      <w:bookmarkEnd w:id="27"/>
      <w:bookmarkEnd w:id="28"/>
      <w:bookmarkEnd w:id="29"/>
    </w:p>
    <w:p>
      <w:pPr>
        <w:adjustRightInd w:val="0"/>
        <w:snapToGrid w:val="0"/>
        <w:spacing w:line="360" w:lineRule="auto"/>
        <w:jc w:val="left"/>
        <w:rPr>
          <w:rFonts w:ascii="宋体" w:hAnsi="宋体"/>
          <w:bCs/>
          <w:color w:val="auto"/>
        </w:rPr>
      </w:pPr>
      <w:r>
        <w:rPr>
          <w:rFonts w:hint="eastAsia" w:ascii="宋体" w:hAnsi="宋体"/>
          <w:bCs/>
          <w:color w:val="auto"/>
        </w:rPr>
        <w:t xml:space="preserve">    1、乙方根据甲方提供的技术规范、质量标准和有关要求，保质保量地完成该项目承包内容及相关工作；接受并主动配合甲方及其上级管理部门、行业管理部门的检查。</w:t>
      </w:r>
    </w:p>
    <w:p>
      <w:pPr>
        <w:adjustRightInd w:val="0"/>
        <w:snapToGrid w:val="0"/>
        <w:spacing w:line="360" w:lineRule="auto"/>
        <w:jc w:val="left"/>
        <w:rPr>
          <w:rFonts w:ascii="宋体" w:hAnsi="宋体"/>
          <w:bCs/>
          <w:color w:val="auto"/>
        </w:rPr>
      </w:pPr>
      <w:r>
        <w:rPr>
          <w:rFonts w:hint="eastAsia" w:ascii="宋体" w:hAnsi="宋体"/>
          <w:bCs/>
          <w:color w:val="auto"/>
        </w:rPr>
        <w:t xml:space="preserve">    2、乙方须服从甲方的调配，完成合同范围之外的突击性、突发性工作，不得无故拖延，但甲方应给予乙方必要的准备时间。</w:t>
      </w:r>
    </w:p>
    <w:p>
      <w:pPr>
        <w:adjustRightInd w:val="0"/>
        <w:snapToGrid w:val="0"/>
        <w:spacing w:line="360" w:lineRule="auto"/>
        <w:jc w:val="left"/>
        <w:rPr>
          <w:rFonts w:ascii="宋体" w:hAnsi="宋体"/>
          <w:bCs/>
          <w:color w:val="auto"/>
        </w:rPr>
      </w:pPr>
      <w:r>
        <w:rPr>
          <w:rFonts w:hint="eastAsia" w:ascii="宋体" w:hAnsi="宋体"/>
          <w:bCs/>
          <w:color w:val="auto"/>
        </w:rPr>
        <w:t xml:space="preserve">    3、因乙方原因在进行系统运行和维护工作过程中损坏的设备设施，乙方应负责及时修复，若无法修复则照价赔偿。 </w:t>
      </w:r>
    </w:p>
    <w:p>
      <w:pPr>
        <w:adjustRightInd w:val="0"/>
        <w:snapToGrid w:val="0"/>
        <w:spacing w:line="360" w:lineRule="auto"/>
        <w:jc w:val="left"/>
        <w:rPr>
          <w:rFonts w:ascii="宋体" w:hAnsi="宋体"/>
          <w:bCs/>
          <w:color w:val="auto"/>
        </w:rPr>
      </w:pPr>
      <w:r>
        <w:rPr>
          <w:rFonts w:hint="eastAsia" w:ascii="宋体" w:hAnsi="宋体"/>
          <w:bCs/>
          <w:color w:val="auto"/>
        </w:rPr>
        <w:t xml:space="preserve">    4、乙方应做好详细的运行及维护书面记录，建立运行及维护档案，并将这些资料报送甲方存档。</w:t>
      </w:r>
    </w:p>
    <w:p>
      <w:pPr>
        <w:adjustRightInd w:val="0"/>
        <w:snapToGrid w:val="0"/>
        <w:spacing w:line="360" w:lineRule="auto"/>
        <w:jc w:val="left"/>
        <w:rPr>
          <w:rFonts w:ascii="宋体" w:hAnsi="宋体"/>
          <w:bCs/>
          <w:color w:val="auto"/>
        </w:rPr>
      </w:pPr>
      <w:r>
        <w:rPr>
          <w:rFonts w:hint="eastAsia" w:ascii="宋体" w:hAnsi="宋体"/>
          <w:bCs/>
          <w:color w:val="auto"/>
        </w:rPr>
        <w:t xml:space="preserve">    5、乙方负责承包范围内26座排涝站及其附属设施的日常运行、设备设施检查、维修及保养工作（包工、包料、包质量、包安全、包文明运营、包维护设施完好及保洁，无缺损，风险自担），包括：设备设施的例行保养、定期保养、停放保养、换季保养、保持设备良好的润滑状态、做好设备的巡回检查、确定设备运行最佳方案、易损件的更换、设备常规修理以及电控方面；按甲方的要求，保证26座排涝站及其附属设施所有设备设施正常运行。</w:t>
      </w:r>
    </w:p>
    <w:p>
      <w:pPr>
        <w:adjustRightInd w:val="0"/>
        <w:snapToGrid w:val="0"/>
        <w:spacing w:line="360" w:lineRule="auto"/>
        <w:jc w:val="left"/>
        <w:rPr>
          <w:rFonts w:ascii="宋体" w:hAnsi="宋体"/>
          <w:bCs/>
          <w:color w:val="auto"/>
        </w:rPr>
      </w:pPr>
      <w:r>
        <w:rPr>
          <w:rFonts w:hint="eastAsia" w:ascii="宋体" w:hAnsi="宋体"/>
          <w:bCs/>
          <w:color w:val="auto"/>
        </w:rPr>
        <w:t xml:space="preserve">    6、乙方按照合同要求配齐日常管养人员，进场接管本项目后必须自行组建一支不少于10人应急抢险队伍及安排足够的应急抢险运输车辆（含司机），做好三防应急抢险设备的运输、安装、运行调试以及其他排涝设备的抢修等工作。</w:t>
      </w:r>
    </w:p>
    <w:p>
      <w:pPr>
        <w:adjustRightInd w:val="0"/>
        <w:snapToGrid w:val="0"/>
        <w:spacing w:line="360" w:lineRule="auto"/>
        <w:ind w:firstLine="424" w:firstLineChars="202"/>
        <w:rPr>
          <w:rFonts w:ascii="宋体" w:hAnsi="宋体"/>
          <w:bCs/>
          <w:color w:val="auto"/>
        </w:rPr>
      </w:pPr>
      <w:r>
        <w:rPr>
          <w:rFonts w:hint="eastAsia" w:ascii="宋体" w:hAnsi="宋体"/>
          <w:bCs/>
          <w:color w:val="auto"/>
        </w:rPr>
        <w:t>7、乙方及其工作人员因履行本合同而知晓的甲方相关项目信息（含资料、文件、个人信息等），乙方未经甲方书面同意，乙方不得为其他任何目的使用或者许可任何第三人使用前述保密信息，亦不得向任何第三人透露或者泄露上述保密信息。保密期限为永久。因乙方泄密造成甲方损失的，除按照法律规定承担有关责任外，乙方还需赔偿甲方的一切损失。</w:t>
      </w:r>
    </w:p>
    <w:p>
      <w:pPr>
        <w:adjustRightInd w:val="0"/>
        <w:snapToGrid w:val="0"/>
        <w:spacing w:line="360" w:lineRule="auto"/>
        <w:ind w:firstLine="424" w:firstLineChars="202"/>
        <w:rPr>
          <w:rFonts w:ascii="宋体" w:hAnsi="宋体"/>
          <w:bCs/>
          <w:color w:val="auto"/>
        </w:rPr>
      </w:pPr>
      <w:r>
        <w:rPr>
          <w:rFonts w:hint="eastAsia" w:ascii="宋体" w:hAnsi="宋体"/>
          <w:bCs/>
          <w:color w:val="auto"/>
        </w:rPr>
        <w:t>8、乙方做好安全操作规程、遵守相关安全规定。在履行本合同过程中，若出现人员人身损害、安全事故或财产损失的，由乙方负责处理相关事宜并承担全部赔偿责任。</w:t>
      </w:r>
    </w:p>
    <w:p>
      <w:pPr>
        <w:adjustRightInd w:val="0"/>
        <w:snapToGrid w:val="0"/>
        <w:spacing w:line="360" w:lineRule="auto"/>
        <w:ind w:left="-2" w:leftChars="-1" w:firstLine="424" w:firstLineChars="202"/>
        <w:rPr>
          <w:rFonts w:ascii="宋体" w:hAnsi="宋体"/>
          <w:bCs/>
          <w:color w:val="auto"/>
        </w:rPr>
      </w:pPr>
      <w:r>
        <w:rPr>
          <w:rFonts w:hint="eastAsia" w:ascii="宋体" w:hAnsi="宋体"/>
          <w:bCs/>
          <w:color w:val="auto"/>
        </w:rPr>
        <w:t>九、违约责任</w:t>
      </w:r>
    </w:p>
    <w:p>
      <w:pPr>
        <w:adjustRightInd w:val="0"/>
        <w:snapToGrid w:val="0"/>
        <w:spacing w:line="360" w:lineRule="auto"/>
        <w:ind w:firstLine="424" w:firstLineChars="202"/>
        <w:rPr>
          <w:rFonts w:ascii="宋体" w:hAnsi="宋体"/>
          <w:bCs/>
          <w:color w:val="auto"/>
        </w:rPr>
      </w:pPr>
      <w:r>
        <w:rPr>
          <w:rFonts w:hint="eastAsia" w:ascii="宋体" w:hAnsi="宋体"/>
          <w:bCs/>
          <w:color w:val="auto"/>
        </w:rPr>
        <w:t>1、本承包项目不得分包或转包，否则视为乙方违约，甲方有权单方解除本合同并追究乙方的违约责任，若由此造成经济损失或发生事故的，由乙方承担。</w:t>
      </w:r>
    </w:p>
    <w:p>
      <w:pPr>
        <w:adjustRightInd w:val="0"/>
        <w:snapToGrid w:val="0"/>
        <w:spacing w:line="360" w:lineRule="auto"/>
        <w:ind w:firstLine="424" w:firstLineChars="202"/>
        <w:rPr>
          <w:rFonts w:ascii="宋体" w:hAnsi="宋体"/>
          <w:bCs/>
          <w:color w:val="auto"/>
        </w:rPr>
      </w:pPr>
      <w:r>
        <w:rPr>
          <w:rFonts w:hint="eastAsia" w:ascii="宋体" w:hAnsi="宋体"/>
          <w:bCs/>
          <w:color w:val="auto"/>
        </w:rPr>
        <w:t xml:space="preserve">2、乙方因特殊原因不能继续履行本合同的，必须提前60天以书面形式向甲方提出解除合同申请，经甲方通过法定程序确定下一个承包单位并完成所有工作交接手续，同时由甲方以书面形式同意后，乙方方可离场。未经甲方同意，乙方单方面解除合同的，视为违约，乙方应向甲方支付本合同承包费的30%作为违约金，并承担甲方因此所受损失和责任。   </w:t>
      </w:r>
    </w:p>
    <w:p>
      <w:pPr>
        <w:adjustRightInd w:val="0"/>
        <w:snapToGrid w:val="0"/>
        <w:spacing w:line="360" w:lineRule="auto"/>
        <w:rPr>
          <w:rFonts w:hint="eastAsia" w:hAnsi="宋体"/>
          <w:bCs/>
          <w:color w:val="auto"/>
        </w:rPr>
      </w:pPr>
      <w:r>
        <w:rPr>
          <w:rFonts w:hint="eastAsia" w:ascii="宋体" w:hAnsi="宋体"/>
          <w:bCs/>
          <w:color w:val="auto"/>
        </w:rPr>
        <w:t xml:space="preserve">    3、</w:t>
      </w:r>
      <w:r>
        <w:rPr>
          <w:rFonts w:hint="eastAsia" w:hAnsi="宋体"/>
          <w:bCs/>
          <w:color w:val="auto"/>
        </w:rPr>
        <w:t>甲方双方任何一方违反本合同约定的条款，违约方应向守约方承担一切的经济损失并承担相应的赔偿责任，该损失包括但不限于涉诉产生律师费、诉讼费或仲裁费、公证费、保全费、鉴定费等。</w:t>
      </w:r>
    </w:p>
    <w:p>
      <w:pPr>
        <w:adjustRightInd w:val="0"/>
        <w:snapToGrid w:val="0"/>
        <w:spacing w:line="360" w:lineRule="auto"/>
        <w:ind w:firstLine="424" w:firstLineChars="202"/>
        <w:rPr>
          <w:rFonts w:ascii="宋体" w:hAnsi="宋体"/>
          <w:bCs/>
          <w:color w:val="auto"/>
        </w:rPr>
      </w:pPr>
      <w:r>
        <w:rPr>
          <w:rFonts w:hint="eastAsia" w:ascii="宋体" w:hAnsi="宋体"/>
          <w:bCs/>
          <w:color w:val="auto"/>
        </w:rPr>
        <w:t>4、乙方逾期履行本合同项目义务的，每逾期一日，乙方应当向甲方支付本合同承包费的万分之3作为违约金；逾期至15日的，甲方有权单方解除本合同，扣减当月所有承包费，乙方应赔偿由此造成甲方损失，且乙方仍应当向甲方支付当月承包费的50%作为违约金。</w:t>
      </w:r>
    </w:p>
    <w:p>
      <w:pPr>
        <w:adjustRightInd w:val="0"/>
        <w:snapToGrid w:val="0"/>
        <w:spacing w:line="360" w:lineRule="auto"/>
        <w:ind w:firstLine="424" w:firstLineChars="202"/>
        <w:rPr>
          <w:rFonts w:ascii="宋体" w:hAnsi="宋体"/>
          <w:bCs/>
          <w:color w:val="auto"/>
        </w:rPr>
      </w:pPr>
      <w:r>
        <w:rPr>
          <w:rFonts w:hint="eastAsia" w:ascii="宋体" w:hAnsi="宋体"/>
          <w:bCs/>
          <w:color w:val="auto"/>
        </w:rPr>
        <w:t>5、乙方必须按照甲方工作需求、本合同约定和招标文件等规定的各种情况的响应时间内执行相应的维护作业。若一个月内累计三次响应时间维护作业质量未能达到招标文件规定或发生重大安全事故的，属于乙方违约，甲方有权单方解除合同、扣减当月所有承包费。</w:t>
      </w:r>
    </w:p>
    <w:p>
      <w:pPr>
        <w:adjustRightInd w:val="0"/>
        <w:snapToGrid w:val="0"/>
        <w:spacing w:line="360" w:lineRule="auto"/>
        <w:ind w:firstLine="424" w:firstLineChars="202"/>
        <w:rPr>
          <w:rFonts w:hint="eastAsia" w:ascii="宋体" w:hAnsi="宋体"/>
          <w:bCs/>
          <w:color w:val="auto"/>
        </w:rPr>
      </w:pPr>
      <w:r>
        <w:rPr>
          <w:rFonts w:hint="eastAsia" w:ascii="宋体" w:hAnsi="宋体"/>
          <w:bCs/>
          <w:color w:val="auto"/>
        </w:rPr>
        <w:t>6、若在合同履行过程中，乙方投入的人员发生劳资纠纷、工伤或其他与工作相关的事故，或所有管养设施、设备、车辆等发生各类事故的，均由乙方全面负责和作出赔偿。若乙方未及时承担相应事故赔偿等，甲方有权单方面使用履约保证金、甲方应付未付给乙方的承包费等支付或垫付因乙方原因产生的一切费用，甲方并享有追偿的权力。若因乙方原因给甲方造成不良影响或影响合同履行，甲方有权单方面解除合同，并追究乙方的违约责任。</w:t>
      </w:r>
    </w:p>
    <w:p>
      <w:pPr>
        <w:adjustRightInd w:val="0"/>
        <w:snapToGrid w:val="0"/>
        <w:spacing w:line="360" w:lineRule="auto"/>
        <w:rPr>
          <w:rFonts w:hint="eastAsia" w:ascii="宋体" w:hAnsi="宋体"/>
          <w:bCs/>
          <w:color w:val="auto"/>
        </w:rPr>
      </w:pPr>
      <w:r>
        <w:rPr>
          <w:rFonts w:hint="eastAsia" w:ascii="宋体" w:hAnsi="宋体"/>
          <w:bCs/>
          <w:color w:val="auto"/>
        </w:rPr>
        <w:t xml:space="preserve">    十、</w:t>
      </w:r>
      <w:bookmarkEnd w:id="22"/>
      <w:bookmarkEnd w:id="23"/>
      <w:bookmarkEnd w:id="24"/>
      <w:bookmarkEnd w:id="25"/>
      <w:bookmarkEnd w:id="26"/>
      <w:r>
        <w:rPr>
          <w:rFonts w:hint="eastAsia" w:ascii="宋体" w:hAnsi="宋体"/>
          <w:bCs/>
          <w:color w:val="auto"/>
        </w:rPr>
        <w:t xml:space="preserve">不可抗力 </w:t>
      </w:r>
    </w:p>
    <w:p>
      <w:pPr>
        <w:adjustRightInd w:val="0"/>
        <w:snapToGrid w:val="0"/>
        <w:spacing w:line="360" w:lineRule="auto"/>
        <w:rPr>
          <w:rFonts w:ascii="宋体" w:hAnsi="宋体"/>
          <w:bCs/>
          <w:color w:val="auto"/>
        </w:rPr>
      </w:pPr>
      <w:r>
        <w:rPr>
          <w:rFonts w:hint="eastAsia" w:ascii="宋体" w:hAnsi="宋体"/>
          <w:bCs/>
          <w:color w:val="auto"/>
        </w:rPr>
        <w:t xml:space="preserve">    1、因不可抗力不能履行合同的，根据不可抗力的影响，部分或者全部免除责任。但合同一方延迟履行后发生不可抗力的，不能免除责任。 </w:t>
      </w:r>
    </w:p>
    <w:p>
      <w:pPr>
        <w:adjustRightInd w:val="0"/>
        <w:snapToGrid w:val="0"/>
        <w:spacing w:line="360" w:lineRule="auto"/>
        <w:ind w:firstLine="424" w:firstLineChars="202"/>
        <w:rPr>
          <w:rFonts w:ascii="宋体" w:hAnsi="宋体"/>
          <w:bCs/>
          <w:color w:val="auto"/>
        </w:rPr>
      </w:pPr>
      <w:r>
        <w:rPr>
          <w:rFonts w:hint="eastAsia" w:ascii="宋体" w:hAnsi="宋体"/>
          <w:bCs/>
          <w:color w:val="auto"/>
        </w:rPr>
        <w:t xml:space="preserve">2、合同一方因不可抗力不能履行合同的，应当及时通知对方，以减轻可能给对方造成的损失，并应当在合理期限内提供证明。 </w:t>
      </w:r>
    </w:p>
    <w:p>
      <w:pPr>
        <w:adjustRightInd w:val="0"/>
        <w:snapToGrid w:val="0"/>
        <w:spacing w:line="360" w:lineRule="auto"/>
        <w:ind w:firstLine="424" w:firstLineChars="202"/>
        <w:rPr>
          <w:rFonts w:ascii="宋体" w:hAnsi="宋体"/>
          <w:bCs/>
          <w:color w:val="auto"/>
        </w:rPr>
      </w:pPr>
      <w:r>
        <w:rPr>
          <w:rFonts w:hint="eastAsia" w:ascii="宋体" w:hAnsi="宋体"/>
          <w:bCs/>
          <w:color w:val="auto"/>
        </w:rPr>
        <w:t>3、因不可抗力（如由于台风、暴雨等自然灾害）造成的伤人、损物，甲乙双方应在不可抗力发生后迅速组织力量， 20分钟内到达现场并及时处理，各方各自承担各自的财产损失、人身损害，对于因第三人造成的财产损失或人身损害，则由甲乙双方共同向第三人索赔。</w:t>
      </w:r>
    </w:p>
    <w:p>
      <w:pPr>
        <w:adjustRightInd w:val="0"/>
        <w:snapToGrid w:val="0"/>
        <w:spacing w:line="360" w:lineRule="auto"/>
        <w:ind w:firstLine="424" w:firstLineChars="202"/>
        <w:rPr>
          <w:rFonts w:ascii="宋体" w:hAnsi="宋体"/>
          <w:bCs/>
          <w:color w:val="auto"/>
        </w:rPr>
      </w:pPr>
      <w:r>
        <w:rPr>
          <w:rFonts w:hint="eastAsia" w:ascii="宋体" w:hAnsi="宋体"/>
          <w:bCs/>
          <w:color w:val="auto"/>
        </w:rPr>
        <w:t>4、发生台风、暴雨等自然灾害的，乙方应按照招标文件和本合同的约定履行其职责和义务，否则乙方不适用以上不可抗力的减责和免责条款。</w:t>
      </w:r>
    </w:p>
    <w:p>
      <w:pPr>
        <w:adjustRightInd w:val="0"/>
        <w:snapToGrid w:val="0"/>
        <w:spacing w:line="360" w:lineRule="auto"/>
        <w:ind w:firstLine="424" w:firstLineChars="202"/>
        <w:rPr>
          <w:rFonts w:ascii="宋体" w:hAnsi="宋体"/>
          <w:bCs/>
          <w:color w:val="auto"/>
        </w:rPr>
      </w:pPr>
      <w:r>
        <w:rPr>
          <w:rFonts w:hint="eastAsia" w:ascii="宋体" w:hAnsi="宋体"/>
          <w:bCs/>
          <w:color w:val="auto"/>
        </w:rPr>
        <w:t>十一、争议解决。 甲乙双方因合同发生争议，签约双方应友好协商解决。协商不成，任何一方可以向广州市南沙区人民法院提起诉讼。</w:t>
      </w:r>
    </w:p>
    <w:p>
      <w:pPr>
        <w:adjustRightInd w:val="0"/>
        <w:snapToGrid w:val="0"/>
        <w:spacing w:line="360" w:lineRule="auto"/>
        <w:ind w:firstLine="424" w:firstLineChars="202"/>
        <w:rPr>
          <w:rFonts w:ascii="宋体" w:hAnsi="宋体"/>
          <w:bCs/>
          <w:color w:val="auto"/>
        </w:rPr>
      </w:pPr>
      <w:r>
        <w:rPr>
          <w:rFonts w:hint="eastAsia" w:ascii="宋体" w:hAnsi="宋体"/>
          <w:bCs/>
          <w:color w:val="auto"/>
        </w:rPr>
        <w:t>十二、合同组成。详细价格、技术说明及其它有关合同设备的特定信息由合同附件说明。本合同所有附件、招投标文件、会议纪要、协议、考核办法等均为本合同不可分割之一部分，与本合同具有同等的法律效力。</w:t>
      </w:r>
    </w:p>
    <w:p>
      <w:pPr>
        <w:adjustRightInd w:val="0"/>
        <w:snapToGrid w:val="0"/>
        <w:spacing w:line="360" w:lineRule="auto"/>
        <w:rPr>
          <w:rFonts w:ascii="宋体" w:hAnsi="宋体"/>
          <w:bCs/>
          <w:color w:val="auto"/>
        </w:rPr>
      </w:pPr>
      <w:r>
        <w:rPr>
          <w:rFonts w:hint="eastAsia" w:ascii="宋体" w:hAnsi="宋体"/>
          <w:bCs/>
          <w:color w:val="auto"/>
        </w:rPr>
        <w:t xml:space="preserve">    十三、合同的生效。本合同经甲乙双方法定代表人或授权代表签字并加盖公章之日起生效，合同期满自行终止。 </w:t>
      </w:r>
    </w:p>
    <w:p>
      <w:pPr>
        <w:adjustRightInd w:val="0"/>
        <w:snapToGrid w:val="0"/>
        <w:spacing w:line="360" w:lineRule="auto"/>
        <w:rPr>
          <w:rFonts w:ascii="宋体" w:hAnsi="宋体"/>
          <w:bCs/>
          <w:color w:val="auto"/>
        </w:rPr>
      </w:pPr>
      <w:r>
        <w:rPr>
          <w:rFonts w:hint="eastAsia" w:ascii="宋体" w:hAnsi="宋体"/>
          <w:bCs/>
          <w:color w:val="auto"/>
        </w:rPr>
        <w:t xml:space="preserve">    十四、附则 </w:t>
      </w:r>
    </w:p>
    <w:p>
      <w:pPr>
        <w:adjustRightInd w:val="0"/>
        <w:snapToGrid w:val="0"/>
        <w:spacing w:line="360" w:lineRule="auto"/>
        <w:ind w:left="630" w:leftChars="150" w:hanging="315" w:hangingChars="150"/>
        <w:rPr>
          <w:rFonts w:ascii="宋体" w:hAnsi="宋体"/>
          <w:bCs/>
          <w:color w:val="auto"/>
        </w:rPr>
      </w:pPr>
      <w:r>
        <w:rPr>
          <w:rFonts w:hint="eastAsia" w:ascii="宋体" w:hAnsi="宋体"/>
          <w:bCs/>
          <w:color w:val="auto"/>
        </w:rPr>
        <w:t xml:space="preserve"> 1、本项目服务质量考核办法由甲方制定和组织实施。</w:t>
      </w:r>
    </w:p>
    <w:p>
      <w:pPr>
        <w:adjustRightInd w:val="0"/>
        <w:snapToGrid w:val="0"/>
        <w:spacing w:line="360" w:lineRule="auto"/>
        <w:ind w:left="630" w:leftChars="150" w:hanging="315" w:hangingChars="150"/>
        <w:rPr>
          <w:rFonts w:ascii="宋体" w:hAnsi="宋体"/>
          <w:bCs/>
          <w:color w:val="auto"/>
        </w:rPr>
      </w:pPr>
      <w:r>
        <w:rPr>
          <w:rFonts w:hint="eastAsia" w:ascii="宋体" w:hAnsi="宋体"/>
          <w:bCs/>
          <w:color w:val="auto"/>
        </w:rPr>
        <w:t xml:space="preserve"> 2、本合同一式陆份，甲方执叁份，乙方执叁份，陆份合同具有同等法律效力。</w:t>
      </w:r>
    </w:p>
    <w:p>
      <w:pPr>
        <w:pStyle w:val="2"/>
        <w:ind w:firstLine="298" w:firstLineChars="142"/>
        <w:rPr>
          <w:color w:val="auto"/>
        </w:rPr>
      </w:pPr>
      <w:r>
        <w:rPr>
          <w:rFonts w:hint="eastAsia"/>
          <w:color w:val="auto"/>
        </w:rPr>
        <w:t xml:space="preserve"> 3、本合同未尽事宜，经双方协商可签订补充协议，法律效力与本合同相同。</w:t>
      </w:r>
    </w:p>
    <w:p>
      <w:pPr>
        <w:spacing w:line="360" w:lineRule="auto"/>
        <w:ind w:left="588"/>
        <w:rPr>
          <w:rFonts w:ascii="宋体" w:hAnsi="宋体"/>
          <w:bCs/>
          <w:color w:val="auto"/>
        </w:rPr>
      </w:pPr>
    </w:p>
    <w:p>
      <w:pPr>
        <w:adjustRightInd w:val="0"/>
        <w:snapToGrid w:val="0"/>
        <w:spacing w:line="360" w:lineRule="auto"/>
        <w:ind w:firstLine="420" w:firstLineChars="200"/>
        <w:rPr>
          <w:rFonts w:ascii="宋体" w:hAnsi="宋体"/>
          <w:bCs/>
          <w:color w:val="auto"/>
        </w:rPr>
      </w:pPr>
      <w:r>
        <w:rPr>
          <w:rFonts w:hint="eastAsia" w:ascii="宋体" w:hAnsi="宋体"/>
          <w:bCs/>
          <w:color w:val="auto"/>
        </w:rPr>
        <w:t>附件：</w:t>
      </w:r>
    </w:p>
    <w:p>
      <w:pPr>
        <w:adjustRightInd w:val="0"/>
        <w:snapToGrid w:val="0"/>
        <w:spacing w:line="360" w:lineRule="auto"/>
        <w:ind w:firstLine="420" w:firstLineChars="200"/>
        <w:rPr>
          <w:rFonts w:ascii="宋体" w:hAnsi="宋体"/>
          <w:bCs/>
          <w:color w:val="auto"/>
        </w:rPr>
      </w:pPr>
      <w:r>
        <w:rPr>
          <w:rFonts w:hint="eastAsia" w:ascii="宋体" w:hAnsi="宋体"/>
          <w:bCs/>
          <w:color w:val="auto"/>
        </w:rPr>
        <w:t>1、珠江街2021年粤港深度合作区（启动区）排水设施设备明细表</w:t>
      </w:r>
    </w:p>
    <w:p>
      <w:pPr>
        <w:adjustRightInd w:val="0"/>
        <w:snapToGrid w:val="0"/>
        <w:spacing w:line="360" w:lineRule="auto"/>
        <w:ind w:firstLine="420" w:firstLineChars="200"/>
        <w:rPr>
          <w:rFonts w:ascii="宋体" w:hAnsi="宋体"/>
          <w:bCs/>
          <w:color w:val="auto"/>
        </w:rPr>
      </w:pPr>
      <w:r>
        <w:rPr>
          <w:rFonts w:hint="eastAsia" w:ascii="宋体" w:hAnsi="宋体"/>
          <w:bCs/>
          <w:color w:val="auto"/>
        </w:rPr>
        <w:t>2、珠江街2021年粤港深度合作区（启动区）临时排水设施日常运行管养项目月度考核评分表</w:t>
      </w:r>
    </w:p>
    <w:p>
      <w:pPr>
        <w:spacing w:line="360" w:lineRule="auto"/>
        <w:ind w:left="588"/>
        <w:rPr>
          <w:rFonts w:ascii="宋体" w:hAnsi="宋体"/>
          <w:b/>
          <w:color w:val="auto"/>
        </w:rPr>
      </w:pPr>
    </w:p>
    <w:p>
      <w:pPr>
        <w:pStyle w:val="2"/>
        <w:rPr>
          <w:rFonts w:hAnsi="宋体"/>
          <w:color w:val="auto"/>
        </w:rPr>
      </w:pPr>
      <w:r>
        <w:rPr>
          <w:rFonts w:hint="eastAsia" w:hAnsi="宋体"/>
          <w:color w:val="auto"/>
        </w:rPr>
        <w:t>---------------------------------以下无正文-------------------------------------</w:t>
      </w:r>
    </w:p>
    <w:p>
      <w:pPr>
        <w:pStyle w:val="2"/>
        <w:rPr>
          <w:rFonts w:hAnsi="宋体"/>
          <w:color w:val="auto"/>
        </w:rPr>
      </w:pPr>
    </w:p>
    <w:p>
      <w:pPr>
        <w:pStyle w:val="2"/>
        <w:rPr>
          <w:ins w:id="0" w:author="Administrator" w:date="2021-03-25T13:42:00Z"/>
          <w:rFonts w:hAnsi="宋体"/>
          <w:b/>
          <w:color w:val="auto"/>
        </w:rPr>
      </w:pPr>
    </w:p>
    <w:p>
      <w:pPr>
        <w:spacing w:line="360" w:lineRule="auto"/>
        <w:ind w:left="588"/>
        <w:rPr>
          <w:rFonts w:ascii="宋体" w:hAnsi="宋体"/>
          <w:bCs/>
          <w:color w:val="auto"/>
        </w:rPr>
      </w:pPr>
      <w:r>
        <w:rPr>
          <w:rFonts w:hint="eastAsia" w:ascii="宋体" w:hAnsi="宋体"/>
          <w:bCs/>
          <w:color w:val="auto"/>
        </w:rPr>
        <w:t xml:space="preserve">甲方：广州市南沙区人民政府珠江街道办事处                 </w:t>
      </w:r>
    </w:p>
    <w:p>
      <w:pPr>
        <w:spacing w:line="360" w:lineRule="auto"/>
        <w:ind w:left="588"/>
        <w:rPr>
          <w:rFonts w:ascii="宋体" w:hAnsi="宋体"/>
          <w:bCs/>
          <w:color w:val="auto"/>
        </w:rPr>
      </w:pPr>
      <w:r>
        <w:rPr>
          <w:rFonts w:hint="eastAsia" w:ascii="宋体" w:hAnsi="宋体"/>
          <w:bCs/>
          <w:color w:val="auto"/>
        </w:rPr>
        <w:t>法定代表人或受托人：</w:t>
      </w:r>
    </w:p>
    <w:p>
      <w:pPr>
        <w:spacing w:line="360" w:lineRule="auto"/>
        <w:ind w:left="588"/>
        <w:rPr>
          <w:rFonts w:ascii="宋体" w:hAnsi="宋体"/>
          <w:bCs/>
          <w:color w:val="auto"/>
        </w:rPr>
      </w:pPr>
      <w:r>
        <w:rPr>
          <w:rFonts w:hint="eastAsia" w:ascii="宋体" w:hAnsi="宋体"/>
          <w:bCs/>
          <w:color w:val="auto"/>
        </w:rPr>
        <w:t xml:space="preserve">联系电话：　    </w:t>
      </w:r>
    </w:p>
    <w:p>
      <w:pPr>
        <w:spacing w:line="360" w:lineRule="auto"/>
        <w:ind w:left="588"/>
        <w:rPr>
          <w:rFonts w:ascii="宋体" w:hAnsi="宋体"/>
          <w:bCs/>
          <w:color w:val="auto"/>
        </w:rPr>
      </w:pPr>
      <w:r>
        <w:rPr>
          <w:rFonts w:hint="eastAsia" w:ascii="宋体" w:hAnsi="宋体"/>
          <w:bCs/>
          <w:color w:val="auto"/>
        </w:rPr>
        <w:t xml:space="preserve">日期：   年   月   日     </w:t>
      </w:r>
    </w:p>
    <w:p>
      <w:pPr>
        <w:spacing w:line="360" w:lineRule="auto"/>
        <w:ind w:left="588"/>
        <w:rPr>
          <w:rFonts w:ascii="宋体" w:hAnsi="宋体"/>
          <w:bCs/>
          <w:color w:val="auto"/>
        </w:rPr>
      </w:pPr>
    </w:p>
    <w:p>
      <w:pPr>
        <w:spacing w:line="360" w:lineRule="auto"/>
        <w:ind w:left="588"/>
        <w:rPr>
          <w:rFonts w:ascii="宋体" w:hAnsi="宋体"/>
          <w:bCs/>
          <w:color w:val="auto"/>
        </w:rPr>
      </w:pPr>
    </w:p>
    <w:p>
      <w:pPr>
        <w:spacing w:line="360" w:lineRule="auto"/>
        <w:ind w:left="588"/>
        <w:rPr>
          <w:rFonts w:ascii="宋体" w:hAnsi="宋体"/>
          <w:bCs/>
          <w:color w:val="auto"/>
        </w:rPr>
      </w:pPr>
      <w:r>
        <w:rPr>
          <w:rFonts w:hint="eastAsia" w:ascii="宋体" w:hAnsi="宋体"/>
          <w:bCs/>
          <w:color w:val="auto"/>
        </w:rPr>
        <w:t>乙方：</w:t>
      </w:r>
    </w:p>
    <w:p>
      <w:pPr>
        <w:spacing w:line="360" w:lineRule="auto"/>
        <w:ind w:left="588"/>
        <w:rPr>
          <w:rFonts w:ascii="宋体" w:hAnsi="宋体"/>
          <w:bCs/>
          <w:color w:val="auto"/>
        </w:rPr>
      </w:pPr>
      <w:r>
        <w:rPr>
          <w:rFonts w:hint="eastAsia" w:ascii="宋体" w:hAnsi="宋体"/>
          <w:bCs/>
          <w:color w:val="auto"/>
        </w:rPr>
        <w:t xml:space="preserve">地址：                                      </w:t>
      </w:r>
    </w:p>
    <w:p>
      <w:pPr>
        <w:spacing w:line="360" w:lineRule="auto"/>
        <w:ind w:left="588"/>
        <w:rPr>
          <w:rFonts w:ascii="宋体" w:hAnsi="宋体"/>
          <w:bCs/>
          <w:color w:val="auto"/>
        </w:rPr>
      </w:pPr>
      <w:r>
        <w:rPr>
          <w:rFonts w:hint="eastAsia" w:ascii="宋体" w:hAnsi="宋体"/>
          <w:bCs/>
          <w:color w:val="auto"/>
        </w:rPr>
        <w:t>法定代表人或受托人：</w:t>
      </w:r>
    </w:p>
    <w:p>
      <w:pPr>
        <w:spacing w:line="360" w:lineRule="auto"/>
        <w:ind w:left="588"/>
        <w:rPr>
          <w:rFonts w:ascii="宋体" w:hAnsi="宋体"/>
          <w:bCs/>
          <w:color w:val="auto"/>
        </w:rPr>
      </w:pPr>
      <w:r>
        <w:rPr>
          <w:rFonts w:hint="eastAsia" w:ascii="宋体" w:hAnsi="宋体"/>
          <w:bCs/>
          <w:color w:val="auto"/>
        </w:rPr>
        <w:t xml:space="preserve">电话：　              　                       </w:t>
      </w:r>
    </w:p>
    <w:p>
      <w:pPr>
        <w:spacing w:line="360" w:lineRule="auto"/>
        <w:ind w:left="588"/>
        <w:rPr>
          <w:rFonts w:ascii="宋体" w:hAnsi="宋体"/>
          <w:bCs/>
          <w:color w:val="auto"/>
        </w:rPr>
      </w:pPr>
      <w:r>
        <w:rPr>
          <w:rFonts w:hint="eastAsia" w:ascii="宋体" w:hAnsi="宋体"/>
          <w:bCs/>
          <w:color w:val="auto"/>
        </w:rPr>
        <w:t>开户银行：</w:t>
      </w:r>
    </w:p>
    <w:p>
      <w:pPr>
        <w:spacing w:line="360" w:lineRule="auto"/>
        <w:ind w:left="588"/>
        <w:rPr>
          <w:rFonts w:ascii="宋体" w:hAnsi="宋体"/>
          <w:bCs/>
          <w:color w:val="auto"/>
        </w:rPr>
      </w:pPr>
      <w:r>
        <w:rPr>
          <w:rFonts w:hint="eastAsia" w:ascii="宋体" w:hAnsi="宋体"/>
          <w:bCs/>
          <w:color w:val="auto"/>
        </w:rPr>
        <w:t xml:space="preserve">帐号：  </w:t>
      </w:r>
    </w:p>
    <w:p>
      <w:pPr>
        <w:spacing w:line="360" w:lineRule="auto"/>
        <w:ind w:left="588"/>
        <w:rPr>
          <w:rFonts w:ascii="宋体" w:hAnsi="宋体"/>
          <w:bCs/>
          <w:color w:val="auto"/>
        </w:rPr>
      </w:pPr>
      <w:r>
        <w:rPr>
          <w:rFonts w:hint="eastAsia" w:ascii="宋体" w:hAnsi="宋体"/>
          <w:bCs/>
          <w:color w:val="auto"/>
        </w:rPr>
        <w:t>日期：   年   月   日</w:t>
      </w:r>
    </w:p>
    <w:p>
      <w:pPr>
        <w:pStyle w:val="2"/>
        <w:rPr>
          <w:color w:val="auto"/>
        </w:rPr>
      </w:pPr>
      <w:r>
        <w:rPr>
          <w:color w:val="auto"/>
        </w:rPr>
        <w:br w:type="page"/>
      </w:r>
    </w:p>
    <w:p>
      <w:pPr>
        <w:pStyle w:val="18"/>
        <w:rPr>
          <w:rFonts w:ascii="宋体" w:hAnsi="宋体" w:cs="宋体"/>
          <w:color w:val="auto"/>
          <w:kern w:val="21"/>
          <w:szCs w:val="21"/>
        </w:rPr>
      </w:pPr>
      <w:r>
        <w:rPr>
          <w:rFonts w:hint="eastAsia" w:ascii="宋体" w:hAnsi="宋体" w:cs="宋体"/>
          <w:color w:val="auto"/>
          <w:kern w:val="21"/>
          <w:szCs w:val="21"/>
        </w:rPr>
        <w:t>附件1</w:t>
      </w:r>
    </w:p>
    <w:p>
      <w:pPr>
        <w:pStyle w:val="18"/>
        <w:jc w:val="center"/>
        <w:rPr>
          <w:rFonts w:ascii="宋体" w:hAnsi="宋体" w:cs="宋体"/>
          <w:b/>
          <w:color w:val="auto"/>
          <w:kern w:val="21"/>
          <w:sz w:val="24"/>
          <w:szCs w:val="21"/>
        </w:rPr>
      </w:pPr>
      <w:r>
        <w:rPr>
          <w:rFonts w:hint="eastAsia" w:ascii="宋体" w:hAnsi="宋体" w:cs="宋体"/>
          <w:b/>
          <w:color w:val="auto"/>
          <w:kern w:val="21"/>
          <w:sz w:val="24"/>
          <w:szCs w:val="21"/>
        </w:rPr>
        <w:t>珠江街2021年粤港深度合作区（启动区）排水设施设备明细表</w:t>
      </w:r>
    </w:p>
    <w:tbl>
      <w:tblPr>
        <w:tblStyle w:val="44"/>
        <w:tblW w:w="9414" w:type="dxa"/>
        <w:tblInd w:w="113" w:type="dxa"/>
        <w:tblLayout w:type="fixed"/>
        <w:tblCellMar>
          <w:top w:w="0" w:type="dxa"/>
          <w:left w:w="108" w:type="dxa"/>
          <w:bottom w:w="0" w:type="dxa"/>
          <w:right w:w="108" w:type="dxa"/>
        </w:tblCellMar>
      </w:tblPr>
      <w:tblGrid>
        <w:gridCol w:w="565"/>
        <w:gridCol w:w="1463"/>
        <w:gridCol w:w="1829"/>
        <w:gridCol w:w="2029"/>
        <w:gridCol w:w="2162"/>
        <w:gridCol w:w="1366"/>
      </w:tblGrid>
      <w:tr>
        <w:tblPrEx>
          <w:tblLayout w:type="fixed"/>
          <w:tblCellMar>
            <w:top w:w="0" w:type="dxa"/>
            <w:left w:w="108" w:type="dxa"/>
            <w:bottom w:w="0" w:type="dxa"/>
            <w:right w:w="108" w:type="dxa"/>
          </w:tblCellMar>
        </w:tblPrEx>
        <w:trPr>
          <w:trHeight w:val="412" w:hRule="atLeast"/>
        </w:trPr>
        <w:tc>
          <w:tcPr>
            <w:tcW w:w="5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序号</w:t>
            </w:r>
          </w:p>
        </w:tc>
        <w:tc>
          <w:tcPr>
            <w:tcW w:w="14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排水设施名称</w:t>
            </w:r>
          </w:p>
        </w:tc>
        <w:tc>
          <w:tcPr>
            <w:tcW w:w="7386" w:type="dxa"/>
            <w:gridSpan w:val="4"/>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管理内容</w:t>
            </w:r>
          </w:p>
        </w:tc>
      </w:tr>
      <w:tr>
        <w:tblPrEx>
          <w:tblLayout w:type="fixed"/>
          <w:tblCellMar>
            <w:top w:w="0" w:type="dxa"/>
            <w:left w:w="108" w:type="dxa"/>
            <w:bottom w:w="0" w:type="dxa"/>
            <w:right w:w="108" w:type="dxa"/>
          </w:tblCellMar>
        </w:tblPrEx>
        <w:trPr>
          <w:trHeight w:val="377" w:hRule="atLeast"/>
        </w:trPr>
        <w:tc>
          <w:tcPr>
            <w:tcW w:w="565"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eastAsiaTheme="minorEastAsia"/>
                <w:color w:val="auto"/>
                <w:kern w:val="0"/>
                <w:szCs w:val="21"/>
              </w:rPr>
            </w:pPr>
          </w:p>
        </w:tc>
        <w:tc>
          <w:tcPr>
            <w:tcW w:w="146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eastAsiaTheme="minorEastAsia"/>
                <w:color w:val="auto"/>
                <w:kern w:val="0"/>
                <w:szCs w:val="21"/>
              </w:rPr>
            </w:pP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柴油机</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电机</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泵型号</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水窦</w:t>
            </w:r>
          </w:p>
        </w:tc>
      </w:tr>
      <w:tr>
        <w:tblPrEx>
          <w:tblLayout w:type="fixed"/>
          <w:tblCellMar>
            <w:top w:w="0" w:type="dxa"/>
            <w:left w:w="108" w:type="dxa"/>
            <w:bottom w:w="0" w:type="dxa"/>
            <w:right w:w="108" w:type="dxa"/>
          </w:tblCellMar>
        </w:tblPrEx>
        <w:trPr>
          <w:trHeight w:val="434" w:hRule="atLeast"/>
        </w:trPr>
        <w:tc>
          <w:tcPr>
            <w:tcW w:w="565"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eastAsiaTheme="minorEastAsia"/>
                <w:color w:val="auto"/>
                <w:kern w:val="0"/>
                <w:szCs w:val="21"/>
              </w:rPr>
            </w:pPr>
          </w:p>
        </w:tc>
        <w:tc>
          <w:tcPr>
            <w:tcW w:w="146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eastAsiaTheme="minorEastAsia"/>
                <w:color w:val="auto"/>
                <w:kern w:val="0"/>
                <w:szCs w:val="21"/>
              </w:rPr>
            </w:pP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数量、功率</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数量、功率</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数量、规格</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数量</w:t>
            </w:r>
          </w:p>
        </w:tc>
      </w:tr>
      <w:tr>
        <w:tblPrEx>
          <w:tblLayout w:type="fixed"/>
          <w:tblCellMar>
            <w:top w:w="0" w:type="dxa"/>
            <w:left w:w="108" w:type="dxa"/>
            <w:bottom w:w="0" w:type="dxa"/>
            <w:right w:w="108" w:type="dxa"/>
          </w:tblCellMar>
        </w:tblPrEx>
        <w:trPr>
          <w:trHeight w:val="451"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泰安2号站</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1台22匹、1台20匹</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1台14寸、1台10寸</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w:t>
            </w:r>
          </w:p>
        </w:tc>
      </w:tr>
      <w:tr>
        <w:tblPrEx>
          <w:tblLayout w:type="fixed"/>
          <w:tblCellMar>
            <w:top w:w="0" w:type="dxa"/>
            <w:left w:w="108" w:type="dxa"/>
            <w:bottom w:w="0" w:type="dxa"/>
            <w:right w:w="108" w:type="dxa"/>
          </w:tblCellMar>
        </w:tblPrEx>
        <w:trPr>
          <w:trHeight w:val="451"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泰安3号站</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2台22匹</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2台14寸</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w:t>
            </w:r>
          </w:p>
        </w:tc>
      </w:tr>
      <w:tr>
        <w:tblPrEx>
          <w:tblLayout w:type="fixed"/>
          <w:tblCellMar>
            <w:top w:w="0" w:type="dxa"/>
            <w:left w:w="108" w:type="dxa"/>
            <w:bottom w:w="0" w:type="dxa"/>
            <w:right w:w="108" w:type="dxa"/>
          </w:tblCellMar>
        </w:tblPrEx>
        <w:trPr>
          <w:trHeight w:val="451"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3</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新宝街1号站</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2台22匹</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2台14寸</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w:t>
            </w:r>
          </w:p>
        </w:tc>
      </w:tr>
      <w:tr>
        <w:tblPrEx>
          <w:tblLayout w:type="fixed"/>
          <w:tblCellMar>
            <w:top w:w="0" w:type="dxa"/>
            <w:left w:w="108" w:type="dxa"/>
            <w:bottom w:w="0" w:type="dxa"/>
            <w:right w:w="108" w:type="dxa"/>
          </w:tblCellMar>
        </w:tblPrEx>
        <w:trPr>
          <w:trHeight w:val="451"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4</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新宝街2号站</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1台22匹</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1台14寸</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w:t>
            </w:r>
          </w:p>
        </w:tc>
      </w:tr>
      <w:tr>
        <w:tblPrEx>
          <w:tblLayout w:type="fixed"/>
          <w:tblCellMar>
            <w:top w:w="0" w:type="dxa"/>
            <w:left w:w="108" w:type="dxa"/>
            <w:bottom w:w="0" w:type="dxa"/>
            <w:right w:w="108" w:type="dxa"/>
          </w:tblCellMar>
        </w:tblPrEx>
        <w:trPr>
          <w:trHeight w:val="451"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5</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新宝街5号站</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3台22匹</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3台14寸</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w:t>
            </w:r>
          </w:p>
        </w:tc>
      </w:tr>
      <w:tr>
        <w:tblPrEx>
          <w:tblLayout w:type="fixed"/>
          <w:tblCellMar>
            <w:top w:w="0" w:type="dxa"/>
            <w:left w:w="108" w:type="dxa"/>
            <w:bottom w:w="0" w:type="dxa"/>
            <w:right w:w="108" w:type="dxa"/>
          </w:tblCellMar>
        </w:tblPrEx>
        <w:trPr>
          <w:trHeight w:val="451"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6</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新宝街6号站</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3台22匹</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3台14寸</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w:t>
            </w:r>
          </w:p>
        </w:tc>
      </w:tr>
      <w:tr>
        <w:tblPrEx>
          <w:tblLayout w:type="fixed"/>
          <w:tblCellMar>
            <w:top w:w="0" w:type="dxa"/>
            <w:left w:w="108" w:type="dxa"/>
            <w:bottom w:w="0" w:type="dxa"/>
            <w:right w:w="108" w:type="dxa"/>
          </w:tblCellMar>
        </w:tblPrEx>
        <w:trPr>
          <w:trHeight w:val="451"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7</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新宝街7号站</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3台22匹</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3台14寸</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w:t>
            </w:r>
          </w:p>
        </w:tc>
      </w:tr>
      <w:tr>
        <w:tblPrEx>
          <w:tblLayout w:type="fixed"/>
          <w:tblCellMar>
            <w:top w:w="0" w:type="dxa"/>
            <w:left w:w="108" w:type="dxa"/>
            <w:bottom w:w="0" w:type="dxa"/>
            <w:right w:w="108" w:type="dxa"/>
          </w:tblCellMar>
        </w:tblPrEx>
        <w:trPr>
          <w:trHeight w:val="451"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8</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新宝街8号站</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3台22匹</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3台14寸</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w:t>
            </w:r>
          </w:p>
        </w:tc>
      </w:tr>
      <w:tr>
        <w:tblPrEx>
          <w:tblLayout w:type="fixed"/>
          <w:tblCellMar>
            <w:top w:w="0" w:type="dxa"/>
            <w:left w:w="108" w:type="dxa"/>
            <w:bottom w:w="0" w:type="dxa"/>
            <w:right w:w="108" w:type="dxa"/>
          </w:tblCellMar>
        </w:tblPrEx>
        <w:trPr>
          <w:trHeight w:val="451"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9</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义隆四冲半站</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2台22匹</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1台11KW</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3台14寸</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w:t>
            </w:r>
          </w:p>
        </w:tc>
      </w:tr>
      <w:tr>
        <w:tblPrEx>
          <w:tblLayout w:type="fixed"/>
          <w:tblCellMar>
            <w:top w:w="0" w:type="dxa"/>
            <w:left w:w="108" w:type="dxa"/>
            <w:bottom w:w="0" w:type="dxa"/>
            <w:right w:w="108" w:type="dxa"/>
          </w:tblCellMar>
        </w:tblPrEx>
        <w:trPr>
          <w:trHeight w:val="451"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10</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宝安街1号站</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3台22匹</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3台14寸</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w:t>
            </w:r>
          </w:p>
        </w:tc>
      </w:tr>
      <w:tr>
        <w:tblPrEx>
          <w:tblLayout w:type="fixed"/>
          <w:tblCellMar>
            <w:top w:w="0" w:type="dxa"/>
            <w:left w:w="108" w:type="dxa"/>
            <w:bottom w:w="0" w:type="dxa"/>
            <w:right w:w="108" w:type="dxa"/>
          </w:tblCellMar>
        </w:tblPrEx>
        <w:trPr>
          <w:trHeight w:val="451"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11</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泰安1号站</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3台22匹</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3台14寸</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w:t>
            </w:r>
          </w:p>
        </w:tc>
      </w:tr>
      <w:tr>
        <w:tblPrEx>
          <w:tblLayout w:type="fixed"/>
          <w:tblCellMar>
            <w:top w:w="0" w:type="dxa"/>
            <w:left w:w="108" w:type="dxa"/>
            <w:bottom w:w="0" w:type="dxa"/>
            <w:right w:w="108" w:type="dxa"/>
          </w:tblCellMar>
        </w:tblPrEx>
        <w:trPr>
          <w:trHeight w:val="451"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12</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中医院站</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1台28匹</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2台15KW</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1台14寸、2台12寸</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w:t>
            </w:r>
          </w:p>
        </w:tc>
      </w:tr>
      <w:tr>
        <w:tblPrEx>
          <w:tblLayout w:type="fixed"/>
          <w:tblCellMar>
            <w:top w:w="0" w:type="dxa"/>
            <w:left w:w="108" w:type="dxa"/>
            <w:bottom w:w="0" w:type="dxa"/>
            <w:right w:w="108" w:type="dxa"/>
          </w:tblCellMar>
        </w:tblPrEx>
        <w:trPr>
          <w:trHeight w:val="451"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13</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珠江北路1号</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3台22匹</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3台14寸</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w:t>
            </w:r>
          </w:p>
        </w:tc>
      </w:tr>
      <w:tr>
        <w:tblPrEx>
          <w:tblLayout w:type="fixed"/>
          <w:tblCellMar>
            <w:top w:w="0" w:type="dxa"/>
            <w:left w:w="108" w:type="dxa"/>
            <w:bottom w:w="0" w:type="dxa"/>
            <w:right w:w="108" w:type="dxa"/>
          </w:tblCellMar>
        </w:tblPrEx>
        <w:trPr>
          <w:trHeight w:val="451"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14</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珠江北路2号</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3台22匹</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1台14寸、2台10寸</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w:t>
            </w:r>
          </w:p>
        </w:tc>
      </w:tr>
      <w:tr>
        <w:tblPrEx>
          <w:tblLayout w:type="fixed"/>
          <w:tblCellMar>
            <w:top w:w="0" w:type="dxa"/>
            <w:left w:w="108" w:type="dxa"/>
            <w:bottom w:w="0" w:type="dxa"/>
            <w:right w:w="108" w:type="dxa"/>
          </w:tblCellMar>
        </w:tblPrEx>
        <w:trPr>
          <w:trHeight w:val="451"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15</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珠江北路3号</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1台22匹</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1台7.5KW、1台15KW</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2台14寸、1台10寸</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w:t>
            </w:r>
          </w:p>
        </w:tc>
      </w:tr>
      <w:tr>
        <w:tblPrEx>
          <w:tblLayout w:type="fixed"/>
          <w:tblCellMar>
            <w:top w:w="0" w:type="dxa"/>
            <w:left w:w="108" w:type="dxa"/>
            <w:bottom w:w="0" w:type="dxa"/>
            <w:right w:w="108" w:type="dxa"/>
          </w:tblCellMar>
        </w:tblPrEx>
        <w:trPr>
          <w:trHeight w:val="451"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16</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广全安站</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2台22KW</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2台14寸</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w:t>
            </w:r>
          </w:p>
        </w:tc>
      </w:tr>
      <w:tr>
        <w:tblPrEx>
          <w:tblLayout w:type="fixed"/>
          <w:tblCellMar>
            <w:top w:w="0" w:type="dxa"/>
            <w:left w:w="108" w:type="dxa"/>
            <w:bottom w:w="0" w:type="dxa"/>
            <w:right w:w="108" w:type="dxa"/>
          </w:tblCellMar>
        </w:tblPrEx>
        <w:trPr>
          <w:trHeight w:val="525"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17</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珠江北路4号</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1台22匹</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2台15KW</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3台14寸</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w:t>
            </w:r>
          </w:p>
        </w:tc>
      </w:tr>
      <w:tr>
        <w:tblPrEx>
          <w:tblLayout w:type="fixed"/>
          <w:tblCellMar>
            <w:top w:w="0" w:type="dxa"/>
            <w:left w:w="108" w:type="dxa"/>
            <w:bottom w:w="0" w:type="dxa"/>
            <w:right w:w="108" w:type="dxa"/>
          </w:tblCellMar>
        </w:tblPrEx>
        <w:trPr>
          <w:trHeight w:val="451"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18</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珠江北路5号</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2台22匹</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1台7.5KW</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2台14寸、1台10寸</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w:t>
            </w:r>
          </w:p>
        </w:tc>
      </w:tr>
      <w:tr>
        <w:tblPrEx>
          <w:tblLayout w:type="fixed"/>
          <w:tblCellMar>
            <w:top w:w="0" w:type="dxa"/>
            <w:left w:w="108" w:type="dxa"/>
            <w:bottom w:w="0" w:type="dxa"/>
            <w:right w:w="108" w:type="dxa"/>
          </w:tblCellMar>
        </w:tblPrEx>
        <w:trPr>
          <w:trHeight w:val="451"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19</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珠江北路6号</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1台22匹</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1台15KW</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2台14寸</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w:t>
            </w:r>
          </w:p>
        </w:tc>
      </w:tr>
      <w:tr>
        <w:tblPrEx>
          <w:tblLayout w:type="fixed"/>
          <w:tblCellMar>
            <w:top w:w="0" w:type="dxa"/>
            <w:left w:w="108" w:type="dxa"/>
            <w:bottom w:w="0" w:type="dxa"/>
            <w:right w:w="108" w:type="dxa"/>
          </w:tblCellMar>
        </w:tblPrEx>
        <w:trPr>
          <w:trHeight w:val="451"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20</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珠江北路7号</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1台22匹</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1台15KW、1台7.5KW</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1台10寸、2台14寸</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w:t>
            </w:r>
          </w:p>
        </w:tc>
      </w:tr>
      <w:tr>
        <w:tblPrEx>
          <w:tblLayout w:type="fixed"/>
          <w:tblCellMar>
            <w:top w:w="0" w:type="dxa"/>
            <w:left w:w="108" w:type="dxa"/>
            <w:bottom w:w="0" w:type="dxa"/>
            <w:right w:w="108" w:type="dxa"/>
          </w:tblCellMar>
        </w:tblPrEx>
        <w:trPr>
          <w:trHeight w:val="451"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21</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红星站</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1台55KW</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1台500毫米</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w:t>
            </w:r>
          </w:p>
        </w:tc>
      </w:tr>
      <w:tr>
        <w:tblPrEx>
          <w:tblLayout w:type="fixed"/>
          <w:tblCellMar>
            <w:top w:w="0" w:type="dxa"/>
            <w:left w:w="108" w:type="dxa"/>
            <w:bottom w:w="0" w:type="dxa"/>
            <w:right w:w="108" w:type="dxa"/>
          </w:tblCellMar>
        </w:tblPrEx>
        <w:trPr>
          <w:trHeight w:val="451"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22</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珠江北路8号</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1台22匹</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2台15KW</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3台14寸</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w:t>
            </w:r>
          </w:p>
        </w:tc>
      </w:tr>
      <w:tr>
        <w:tblPrEx>
          <w:tblLayout w:type="fixed"/>
          <w:tblCellMar>
            <w:top w:w="0" w:type="dxa"/>
            <w:left w:w="108" w:type="dxa"/>
            <w:bottom w:w="0" w:type="dxa"/>
            <w:right w:w="108" w:type="dxa"/>
          </w:tblCellMar>
        </w:tblPrEx>
        <w:trPr>
          <w:trHeight w:val="451"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23</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珠江北路9号</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2台22匹</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1台15KW</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3台14寸</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w:t>
            </w:r>
          </w:p>
        </w:tc>
      </w:tr>
      <w:tr>
        <w:tblPrEx>
          <w:tblLayout w:type="fixed"/>
          <w:tblCellMar>
            <w:top w:w="0" w:type="dxa"/>
            <w:left w:w="108" w:type="dxa"/>
            <w:bottom w:w="0" w:type="dxa"/>
            <w:right w:w="108" w:type="dxa"/>
          </w:tblCellMar>
        </w:tblPrEx>
        <w:trPr>
          <w:trHeight w:val="451"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24</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珠江北路10号</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1台22匹</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2台15KW</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3台14寸</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w:t>
            </w:r>
          </w:p>
        </w:tc>
      </w:tr>
      <w:tr>
        <w:tblPrEx>
          <w:tblLayout w:type="fixed"/>
          <w:tblCellMar>
            <w:top w:w="0" w:type="dxa"/>
            <w:left w:w="108" w:type="dxa"/>
            <w:bottom w:w="0" w:type="dxa"/>
            <w:right w:w="108" w:type="dxa"/>
          </w:tblCellMar>
        </w:tblPrEx>
        <w:trPr>
          <w:trHeight w:val="451"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25</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新宝街3号站</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4台22匹</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4台14寸</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w:t>
            </w:r>
          </w:p>
        </w:tc>
      </w:tr>
      <w:tr>
        <w:tblPrEx>
          <w:tblLayout w:type="fixed"/>
          <w:tblCellMar>
            <w:top w:w="0" w:type="dxa"/>
            <w:left w:w="108" w:type="dxa"/>
            <w:bottom w:w="0" w:type="dxa"/>
            <w:right w:w="108" w:type="dxa"/>
          </w:tblCellMar>
        </w:tblPrEx>
        <w:trPr>
          <w:trHeight w:val="451"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26</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新宝街4号站</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5台22匹</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5台14寸</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3</w:t>
            </w:r>
          </w:p>
        </w:tc>
      </w:tr>
      <w:tr>
        <w:tblPrEx>
          <w:tblLayout w:type="fixed"/>
          <w:tblCellMar>
            <w:top w:w="0" w:type="dxa"/>
            <w:left w:w="108" w:type="dxa"/>
            <w:bottom w:w="0" w:type="dxa"/>
            <w:right w:w="108" w:type="dxa"/>
          </w:tblCellMar>
        </w:tblPrEx>
        <w:trPr>
          <w:trHeight w:val="563"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　</w:t>
            </w:r>
          </w:p>
        </w:tc>
        <w:tc>
          <w:tcPr>
            <w:tcW w:w="14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　</w:t>
            </w:r>
          </w:p>
        </w:tc>
        <w:tc>
          <w:tcPr>
            <w:tcW w:w="18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53</w:t>
            </w:r>
          </w:p>
        </w:tc>
        <w:tc>
          <w:tcPr>
            <w:tcW w:w="202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19</w:t>
            </w:r>
          </w:p>
        </w:tc>
        <w:tc>
          <w:tcPr>
            <w:tcW w:w="21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72</w:t>
            </w:r>
          </w:p>
        </w:tc>
        <w:tc>
          <w:tcPr>
            <w:tcW w:w="13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26</w:t>
            </w:r>
          </w:p>
        </w:tc>
      </w:tr>
    </w:tbl>
    <w:p>
      <w:pPr>
        <w:pStyle w:val="18"/>
        <w:rPr>
          <w:rFonts w:ascii="宋体" w:hAnsi="宋体" w:cs="宋体"/>
          <w:color w:val="auto"/>
          <w:kern w:val="21"/>
          <w:szCs w:val="21"/>
        </w:rPr>
      </w:pPr>
    </w:p>
    <w:p>
      <w:pPr>
        <w:pStyle w:val="2"/>
        <w:rPr>
          <w:color w:val="auto"/>
        </w:rPr>
      </w:pPr>
      <w:r>
        <w:rPr>
          <w:color w:val="auto"/>
        </w:rPr>
        <w:br w:type="page"/>
      </w:r>
    </w:p>
    <w:p>
      <w:pPr>
        <w:pStyle w:val="18"/>
        <w:rPr>
          <w:rFonts w:ascii="宋体" w:hAnsi="宋体" w:cs="宋体"/>
          <w:color w:val="auto"/>
          <w:kern w:val="21"/>
          <w:szCs w:val="21"/>
        </w:rPr>
      </w:pPr>
      <w:r>
        <w:rPr>
          <w:rFonts w:hint="eastAsia" w:ascii="宋体" w:hAnsi="宋体" w:cs="宋体"/>
          <w:color w:val="auto"/>
          <w:kern w:val="21"/>
          <w:szCs w:val="21"/>
        </w:rPr>
        <w:t>附件2</w:t>
      </w:r>
    </w:p>
    <w:p>
      <w:pPr>
        <w:pStyle w:val="18"/>
        <w:jc w:val="center"/>
        <w:rPr>
          <w:rFonts w:ascii="宋体" w:hAnsi="宋体" w:cs="宋体"/>
          <w:b/>
          <w:color w:val="auto"/>
          <w:kern w:val="21"/>
          <w:sz w:val="24"/>
          <w:szCs w:val="21"/>
        </w:rPr>
      </w:pPr>
      <w:r>
        <w:rPr>
          <w:rFonts w:hint="eastAsia" w:ascii="宋体" w:hAnsi="宋体" w:cs="宋体"/>
          <w:b/>
          <w:color w:val="auto"/>
          <w:kern w:val="21"/>
          <w:sz w:val="24"/>
          <w:szCs w:val="21"/>
        </w:rPr>
        <w:t>珠江街2021年粤港深度合作区（启动区）临时排水设施日常运行管养项目</w:t>
      </w:r>
    </w:p>
    <w:p>
      <w:pPr>
        <w:pStyle w:val="18"/>
        <w:jc w:val="center"/>
        <w:rPr>
          <w:rFonts w:ascii="宋体" w:hAnsi="宋体" w:cs="宋体"/>
          <w:b/>
          <w:color w:val="auto"/>
          <w:kern w:val="21"/>
          <w:sz w:val="24"/>
          <w:szCs w:val="21"/>
        </w:rPr>
      </w:pPr>
      <w:r>
        <w:rPr>
          <w:rFonts w:hint="eastAsia" w:ascii="宋体" w:hAnsi="宋体" w:cs="宋体"/>
          <w:b/>
          <w:color w:val="auto"/>
          <w:kern w:val="21"/>
          <w:sz w:val="24"/>
          <w:szCs w:val="21"/>
        </w:rPr>
        <w:t>月度考核评分表</w:t>
      </w:r>
    </w:p>
    <w:tbl>
      <w:tblPr>
        <w:tblStyle w:val="44"/>
        <w:tblW w:w="9345" w:type="dxa"/>
        <w:tblInd w:w="108" w:type="dxa"/>
        <w:tblLayout w:type="fixed"/>
        <w:tblCellMar>
          <w:top w:w="0" w:type="dxa"/>
          <w:left w:w="108" w:type="dxa"/>
          <w:bottom w:w="0" w:type="dxa"/>
          <w:right w:w="108" w:type="dxa"/>
        </w:tblCellMar>
      </w:tblPr>
      <w:tblGrid>
        <w:gridCol w:w="426"/>
        <w:gridCol w:w="926"/>
        <w:gridCol w:w="4920"/>
        <w:gridCol w:w="1650"/>
        <w:gridCol w:w="1423"/>
      </w:tblGrid>
      <w:tr>
        <w:tblPrEx>
          <w:tblLayout w:type="fixed"/>
          <w:tblCellMar>
            <w:top w:w="0" w:type="dxa"/>
            <w:left w:w="108" w:type="dxa"/>
            <w:bottom w:w="0" w:type="dxa"/>
            <w:right w:w="108" w:type="dxa"/>
          </w:tblCellMar>
        </w:tblPrEx>
        <w:trPr>
          <w:trHeight w:val="292" w:hRule="atLeast"/>
        </w:trPr>
        <w:tc>
          <w:tcPr>
            <w:tcW w:w="9345" w:type="dxa"/>
            <w:gridSpan w:val="5"/>
            <w:tcBorders>
              <w:top w:val="nil"/>
              <w:left w:val="nil"/>
              <w:bottom w:val="nil"/>
              <w:right w:val="nil"/>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评分单位（盖章、签名）：                     受评单位：                考核时间：   年   月    日</w:t>
            </w:r>
          </w:p>
        </w:tc>
      </w:tr>
      <w:tr>
        <w:tblPrEx>
          <w:tblLayout w:type="fixed"/>
          <w:tblCellMar>
            <w:top w:w="0" w:type="dxa"/>
            <w:left w:w="108" w:type="dxa"/>
            <w:bottom w:w="0" w:type="dxa"/>
            <w:right w:w="108" w:type="dxa"/>
          </w:tblCellMar>
        </w:tblPrEx>
        <w:trPr>
          <w:trHeight w:val="550"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序</w:t>
            </w:r>
            <w:r>
              <w:rPr>
                <w:rFonts w:hint="eastAsia" w:cs="宋体" w:asciiTheme="minorEastAsia" w:hAnsiTheme="minorEastAsia" w:eastAsiaTheme="minorEastAsia"/>
                <w:color w:val="auto"/>
                <w:kern w:val="0"/>
                <w:szCs w:val="21"/>
              </w:rPr>
              <w:br w:type="textWrapping"/>
            </w:r>
            <w:r>
              <w:rPr>
                <w:rFonts w:hint="eastAsia" w:cs="宋体" w:asciiTheme="minorEastAsia" w:hAnsiTheme="minorEastAsia" w:eastAsiaTheme="minorEastAsia"/>
                <w:color w:val="auto"/>
                <w:kern w:val="0"/>
                <w:szCs w:val="21"/>
              </w:rPr>
              <w:t>号</w:t>
            </w:r>
          </w:p>
        </w:tc>
        <w:tc>
          <w:tcPr>
            <w:tcW w:w="9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考评内容</w:t>
            </w:r>
          </w:p>
        </w:tc>
        <w:tc>
          <w:tcPr>
            <w:tcW w:w="4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评分标准（扣分标准）</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详细地点、</w:t>
            </w:r>
            <w:r>
              <w:rPr>
                <w:rFonts w:hint="eastAsia" w:cs="宋体" w:asciiTheme="minorEastAsia" w:hAnsiTheme="minorEastAsia" w:eastAsiaTheme="minorEastAsia"/>
                <w:color w:val="auto"/>
                <w:kern w:val="0"/>
                <w:szCs w:val="21"/>
              </w:rPr>
              <w:br w:type="textWrapping"/>
            </w:r>
            <w:r>
              <w:rPr>
                <w:rFonts w:hint="eastAsia" w:cs="宋体" w:asciiTheme="minorEastAsia" w:hAnsiTheme="minorEastAsia" w:eastAsiaTheme="minorEastAsia"/>
                <w:color w:val="auto"/>
                <w:kern w:val="0"/>
                <w:szCs w:val="21"/>
              </w:rPr>
              <w:t>存在问题</w:t>
            </w:r>
          </w:p>
        </w:tc>
        <w:tc>
          <w:tcPr>
            <w:tcW w:w="14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评分</w:t>
            </w:r>
          </w:p>
        </w:tc>
      </w:tr>
      <w:tr>
        <w:tblPrEx>
          <w:tblLayout w:type="fixed"/>
          <w:tblCellMar>
            <w:top w:w="0" w:type="dxa"/>
            <w:left w:w="108" w:type="dxa"/>
            <w:bottom w:w="0" w:type="dxa"/>
            <w:right w:w="108" w:type="dxa"/>
          </w:tblCellMar>
        </w:tblPrEx>
        <w:trPr>
          <w:trHeight w:val="644" w:hRule="atLeast"/>
        </w:trPr>
        <w:tc>
          <w:tcPr>
            <w:tcW w:w="4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w:t>
            </w:r>
          </w:p>
        </w:tc>
        <w:tc>
          <w:tcPr>
            <w:tcW w:w="9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日常工作50分</w:t>
            </w:r>
          </w:p>
        </w:tc>
        <w:tc>
          <w:tcPr>
            <w:tcW w:w="49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①没建立工作制度（含安全操作制度、设备定期保养制度等）的每次扣1分</w:t>
            </w:r>
          </w:p>
        </w:tc>
        <w:tc>
          <w:tcPr>
            <w:tcW w:w="1650" w:type="dxa"/>
            <w:vMerge w:val="restart"/>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　</w:t>
            </w:r>
          </w:p>
        </w:tc>
        <w:tc>
          <w:tcPr>
            <w:tcW w:w="1423" w:type="dxa"/>
            <w:vMerge w:val="restart"/>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　</w:t>
            </w:r>
          </w:p>
        </w:tc>
      </w:tr>
      <w:tr>
        <w:tblPrEx>
          <w:tblLayout w:type="fixed"/>
          <w:tblCellMar>
            <w:top w:w="0" w:type="dxa"/>
            <w:left w:w="108" w:type="dxa"/>
            <w:bottom w:w="0" w:type="dxa"/>
            <w:right w:w="108" w:type="dxa"/>
          </w:tblCellMar>
        </w:tblPrEx>
        <w:trPr>
          <w:trHeight w:val="369" w:hRule="atLeast"/>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9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49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②没填写泵站养护日志每次扣1分；</w:t>
            </w:r>
          </w:p>
        </w:tc>
        <w:tc>
          <w:tcPr>
            <w:tcW w:w="165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r>
      <w:tr>
        <w:tblPrEx>
          <w:tblLayout w:type="fixed"/>
          <w:tblCellMar>
            <w:top w:w="0" w:type="dxa"/>
            <w:left w:w="108" w:type="dxa"/>
            <w:bottom w:w="0" w:type="dxa"/>
            <w:right w:w="108" w:type="dxa"/>
          </w:tblCellMar>
        </w:tblPrEx>
        <w:trPr>
          <w:trHeight w:val="1101" w:hRule="atLeast"/>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9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49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③机房内不整齐、清洁，每次扣0.5分；设备启动前不提前检查和按操作规程启动的每次扣1分；设备运行中有离岗或不定时观察的每次扣1分；设备不按规程关机或关机后不检查的每次扣1分</w:t>
            </w:r>
          </w:p>
        </w:tc>
        <w:tc>
          <w:tcPr>
            <w:tcW w:w="165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r>
      <w:tr>
        <w:tblPrEx>
          <w:tblLayout w:type="fixed"/>
          <w:tblCellMar>
            <w:top w:w="0" w:type="dxa"/>
            <w:left w:w="108" w:type="dxa"/>
            <w:bottom w:w="0" w:type="dxa"/>
            <w:right w:w="108" w:type="dxa"/>
          </w:tblCellMar>
        </w:tblPrEx>
        <w:trPr>
          <w:trHeight w:val="369" w:hRule="atLeast"/>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9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49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④出现财产损失或特殊任务不听从安排，每次扣3分</w:t>
            </w:r>
          </w:p>
        </w:tc>
        <w:tc>
          <w:tcPr>
            <w:tcW w:w="165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r>
      <w:tr>
        <w:tblPrEx>
          <w:tblLayout w:type="fixed"/>
          <w:tblCellMar>
            <w:top w:w="0" w:type="dxa"/>
            <w:left w:w="108" w:type="dxa"/>
            <w:bottom w:w="0" w:type="dxa"/>
            <w:right w:w="108" w:type="dxa"/>
          </w:tblCellMar>
        </w:tblPrEx>
        <w:trPr>
          <w:trHeight w:val="733" w:hRule="atLeast"/>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9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49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⑤储水塘水满（或有人投诉，）无人抽水，暴雨不提前抽水每次扣2分；雨天无人值班抽水，每次扣5分；</w:t>
            </w:r>
          </w:p>
        </w:tc>
        <w:tc>
          <w:tcPr>
            <w:tcW w:w="165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r>
      <w:tr>
        <w:tblPrEx>
          <w:tblLayout w:type="fixed"/>
          <w:tblCellMar>
            <w:top w:w="0" w:type="dxa"/>
            <w:left w:w="108" w:type="dxa"/>
            <w:bottom w:w="0" w:type="dxa"/>
            <w:right w:w="108" w:type="dxa"/>
          </w:tblCellMar>
        </w:tblPrEx>
        <w:trPr>
          <w:trHeight w:val="369" w:hRule="atLeast"/>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9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49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⑥排涝设备不定期保养或带病运行的每处扣1分</w:t>
            </w:r>
          </w:p>
        </w:tc>
        <w:tc>
          <w:tcPr>
            <w:tcW w:w="165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r>
      <w:tr>
        <w:tblPrEx>
          <w:tblLayout w:type="fixed"/>
          <w:tblCellMar>
            <w:top w:w="0" w:type="dxa"/>
            <w:left w:w="108" w:type="dxa"/>
            <w:bottom w:w="0" w:type="dxa"/>
            <w:right w:w="108" w:type="dxa"/>
          </w:tblCellMar>
        </w:tblPrEx>
        <w:trPr>
          <w:trHeight w:val="369" w:hRule="atLeast"/>
        </w:trPr>
        <w:tc>
          <w:tcPr>
            <w:tcW w:w="4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w:t>
            </w:r>
          </w:p>
        </w:tc>
        <w:tc>
          <w:tcPr>
            <w:tcW w:w="9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储水塘10分</w:t>
            </w:r>
          </w:p>
        </w:tc>
        <w:tc>
          <w:tcPr>
            <w:tcW w:w="49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①储水塘内有水浮莲或其它垃圾，每次扣1分</w:t>
            </w:r>
          </w:p>
        </w:tc>
        <w:tc>
          <w:tcPr>
            <w:tcW w:w="1650" w:type="dxa"/>
            <w:vMerge w:val="restart"/>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　</w:t>
            </w:r>
          </w:p>
        </w:tc>
        <w:tc>
          <w:tcPr>
            <w:tcW w:w="1423" w:type="dxa"/>
            <w:vMerge w:val="restart"/>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　</w:t>
            </w:r>
          </w:p>
        </w:tc>
      </w:tr>
      <w:tr>
        <w:tblPrEx>
          <w:tblLayout w:type="fixed"/>
          <w:tblCellMar>
            <w:top w:w="0" w:type="dxa"/>
            <w:left w:w="108" w:type="dxa"/>
            <w:bottom w:w="0" w:type="dxa"/>
            <w:right w:w="108" w:type="dxa"/>
          </w:tblCellMar>
        </w:tblPrEx>
        <w:trPr>
          <w:trHeight w:val="369" w:hRule="atLeast"/>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9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49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②进水格栅没固定或附有垃圾每次扣1分</w:t>
            </w:r>
          </w:p>
        </w:tc>
        <w:tc>
          <w:tcPr>
            <w:tcW w:w="165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r>
      <w:tr>
        <w:tblPrEx>
          <w:tblLayout w:type="fixed"/>
          <w:tblCellMar>
            <w:top w:w="0" w:type="dxa"/>
            <w:left w:w="108" w:type="dxa"/>
            <w:bottom w:w="0" w:type="dxa"/>
            <w:right w:w="108" w:type="dxa"/>
          </w:tblCellMar>
        </w:tblPrEx>
        <w:trPr>
          <w:trHeight w:val="369" w:hRule="atLeast"/>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9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49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③入水渠口10米内有飘浮物每次扣1分</w:t>
            </w:r>
          </w:p>
        </w:tc>
        <w:tc>
          <w:tcPr>
            <w:tcW w:w="165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r>
      <w:tr>
        <w:tblPrEx>
          <w:tblLayout w:type="fixed"/>
          <w:tblCellMar>
            <w:top w:w="0" w:type="dxa"/>
            <w:left w:w="108" w:type="dxa"/>
            <w:bottom w:w="0" w:type="dxa"/>
            <w:right w:w="108" w:type="dxa"/>
          </w:tblCellMar>
        </w:tblPrEx>
        <w:trPr>
          <w:trHeight w:val="369" w:hRule="atLeast"/>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9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49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④储水塘淤泥较多，不按要求及时清淤，每处每次扣2分</w:t>
            </w:r>
          </w:p>
        </w:tc>
        <w:tc>
          <w:tcPr>
            <w:tcW w:w="165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r>
      <w:tr>
        <w:tblPrEx>
          <w:tblLayout w:type="fixed"/>
          <w:tblCellMar>
            <w:top w:w="0" w:type="dxa"/>
            <w:left w:w="108" w:type="dxa"/>
            <w:bottom w:w="0" w:type="dxa"/>
            <w:right w:w="108" w:type="dxa"/>
          </w:tblCellMar>
        </w:tblPrEx>
        <w:trPr>
          <w:trHeight w:val="369" w:hRule="atLeast"/>
        </w:trPr>
        <w:tc>
          <w:tcPr>
            <w:tcW w:w="4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3</w:t>
            </w:r>
          </w:p>
        </w:tc>
        <w:tc>
          <w:tcPr>
            <w:tcW w:w="9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水泵10分</w:t>
            </w:r>
          </w:p>
        </w:tc>
        <w:tc>
          <w:tcPr>
            <w:tcW w:w="49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①水泵有松动或各部件润滑油不足每次扣1分</w:t>
            </w:r>
          </w:p>
        </w:tc>
        <w:tc>
          <w:tcPr>
            <w:tcW w:w="1650" w:type="dxa"/>
            <w:vMerge w:val="restart"/>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　</w:t>
            </w:r>
          </w:p>
        </w:tc>
        <w:tc>
          <w:tcPr>
            <w:tcW w:w="1423" w:type="dxa"/>
            <w:vMerge w:val="restart"/>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　</w:t>
            </w:r>
          </w:p>
        </w:tc>
      </w:tr>
      <w:tr>
        <w:tblPrEx>
          <w:tblLayout w:type="fixed"/>
          <w:tblCellMar>
            <w:top w:w="0" w:type="dxa"/>
            <w:left w:w="108" w:type="dxa"/>
            <w:bottom w:w="0" w:type="dxa"/>
            <w:right w:w="108" w:type="dxa"/>
          </w:tblCellMar>
        </w:tblPrEx>
        <w:trPr>
          <w:trHeight w:val="369" w:hRule="atLeast"/>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9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49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②运转不正常或出现空转，每次扣1分</w:t>
            </w:r>
          </w:p>
        </w:tc>
        <w:tc>
          <w:tcPr>
            <w:tcW w:w="165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r>
      <w:tr>
        <w:tblPrEx>
          <w:tblLayout w:type="fixed"/>
          <w:tblCellMar>
            <w:top w:w="0" w:type="dxa"/>
            <w:left w:w="108" w:type="dxa"/>
            <w:bottom w:w="0" w:type="dxa"/>
            <w:right w:w="108" w:type="dxa"/>
          </w:tblCellMar>
        </w:tblPrEx>
        <w:trPr>
          <w:trHeight w:val="369" w:hRule="atLeast"/>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9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49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③出入水管有渗漏的每次扣1分</w:t>
            </w:r>
          </w:p>
        </w:tc>
        <w:tc>
          <w:tcPr>
            <w:tcW w:w="165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r>
      <w:tr>
        <w:tblPrEx>
          <w:tblLayout w:type="fixed"/>
          <w:tblCellMar>
            <w:top w:w="0" w:type="dxa"/>
            <w:left w:w="108" w:type="dxa"/>
            <w:bottom w:w="0" w:type="dxa"/>
            <w:right w:w="108" w:type="dxa"/>
          </w:tblCellMar>
        </w:tblPrEx>
        <w:trPr>
          <w:trHeight w:val="369" w:hRule="atLeast"/>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9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49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④出水管的出水量不饱满的每次扣1分</w:t>
            </w:r>
          </w:p>
        </w:tc>
        <w:tc>
          <w:tcPr>
            <w:tcW w:w="165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r>
      <w:tr>
        <w:tblPrEx>
          <w:tblLayout w:type="fixed"/>
          <w:tblCellMar>
            <w:top w:w="0" w:type="dxa"/>
            <w:left w:w="108" w:type="dxa"/>
            <w:bottom w:w="0" w:type="dxa"/>
            <w:right w:w="108" w:type="dxa"/>
          </w:tblCellMar>
        </w:tblPrEx>
        <w:trPr>
          <w:trHeight w:val="1229" w:hRule="atLeast"/>
        </w:trPr>
        <w:tc>
          <w:tcPr>
            <w:tcW w:w="4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4</w:t>
            </w:r>
          </w:p>
        </w:tc>
        <w:tc>
          <w:tcPr>
            <w:tcW w:w="9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电动设备10分</w:t>
            </w:r>
          </w:p>
        </w:tc>
        <w:tc>
          <w:tcPr>
            <w:tcW w:w="49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①变压器设备不完整、配电装置不检查养护、未按要求对排涝站设施和三防应急抢险设备进行保养、无明显有害寄生性植物、无大型野草、无缠绕性和攀援性杂草（上述6项，不合要求每项扣0.5分）</w:t>
            </w:r>
          </w:p>
        </w:tc>
        <w:tc>
          <w:tcPr>
            <w:tcW w:w="1650" w:type="dxa"/>
            <w:vMerge w:val="restart"/>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　</w:t>
            </w:r>
          </w:p>
        </w:tc>
        <w:tc>
          <w:tcPr>
            <w:tcW w:w="1423" w:type="dxa"/>
            <w:vMerge w:val="restart"/>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　</w:t>
            </w:r>
          </w:p>
        </w:tc>
      </w:tr>
      <w:tr>
        <w:tblPrEx>
          <w:tblLayout w:type="fixed"/>
          <w:tblCellMar>
            <w:top w:w="0" w:type="dxa"/>
            <w:left w:w="108" w:type="dxa"/>
            <w:bottom w:w="0" w:type="dxa"/>
            <w:right w:w="108" w:type="dxa"/>
          </w:tblCellMar>
        </w:tblPrEx>
        <w:trPr>
          <w:trHeight w:val="369" w:hRule="atLeast"/>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9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49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②电动设备有松动现象或轴承无适量润滑油的每处扣1分</w:t>
            </w:r>
          </w:p>
        </w:tc>
        <w:tc>
          <w:tcPr>
            <w:tcW w:w="165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r>
      <w:tr>
        <w:tblPrEx>
          <w:tblLayout w:type="fixed"/>
          <w:tblCellMar>
            <w:top w:w="0" w:type="dxa"/>
            <w:left w:w="108" w:type="dxa"/>
            <w:bottom w:w="0" w:type="dxa"/>
            <w:right w:w="108" w:type="dxa"/>
          </w:tblCellMar>
        </w:tblPrEx>
        <w:trPr>
          <w:trHeight w:val="733" w:hRule="atLeast"/>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9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49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③开关电动设备前后不检查接线或不用绝缘工具进行操作的每次扣1分</w:t>
            </w:r>
          </w:p>
        </w:tc>
        <w:tc>
          <w:tcPr>
            <w:tcW w:w="165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r>
      <w:tr>
        <w:tblPrEx>
          <w:tblLayout w:type="fixed"/>
          <w:tblCellMar>
            <w:top w:w="0" w:type="dxa"/>
            <w:left w:w="108" w:type="dxa"/>
            <w:bottom w:w="0" w:type="dxa"/>
            <w:right w:w="108" w:type="dxa"/>
          </w:tblCellMar>
        </w:tblPrEx>
        <w:trPr>
          <w:trHeight w:val="369" w:hRule="atLeast"/>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9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49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④绝缘用具不齐全、不合格的每次扣1分</w:t>
            </w:r>
          </w:p>
        </w:tc>
        <w:tc>
          <w:tcPr>
            <w:tcW w:w="165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r>
      <w:tr>
        <w:tblPrEx>
          <w:tblLayout w:type="fixed"/>
          <w:tblCellMar>
            <w:top w:w="0" w:type="dxa"/>
            <w:left w:w="108" w:type="dxa"/>
            <w:bottom w:w="0" w:type="dxa"/>
            <w:right w:w="108" w:type="dxa"/>
          </w:tblCellMar>
        </w:tblPrEx>
        <w:trPr>
          <w:trHeight w:val="369" w:hRule="atLeast"/>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9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49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⑤随便改动已校正铅封的设备，每次扣1分</w:t>
            </w:r>
          </w:p>
        </w:tc>
        <w:tc>
          <w:tcPr>
            <w:tcW w:w="165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r>
      <w:tr>
        <w:tblPrEx>
          <w:tblLayout w:type="fixed"/>
          <w:tblCellMar>
            <w:top w:w="0" w:type="dxa"/>
            <w:left w:w="108" w:type="dxa"/>
            <w:bottom w:w="0" w:type="dxa"/>
            <w:right w:w="108" w:type="dxa"/>
          </w:tblCellMar>
        </w:tblPrEx>
        <w:trPr>
          <w:trHeight w:val="369" w:hRule="atLeast"/>
        </w:trPr>
        <w:tc>
          <w:tcPr>
            <w:tcW w:w="4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5</w:t>
            </w:r>
          </w:p>
        </w:tc>
        <w:tc>
          <w:tcPr>
            <w:tcW w:w="9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柴油机10分</w:t>
            </w:r>
          </w:p>
        </w:tc>
        <w:tc>
          <w:tcPr>
            <w:tcW w:w="49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①机座、皮带轮有松动或皮带不打蜡的每处扣1分</w:t>
            </w:r>
          </w:p>
        </w:tc>
        <w:tc>
          <w:tcPr>
            <w:tcW w:w="1650" w:type="dxa"/>
            <w:vMerge w:val="restart"/>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　</w:t>
            </w:r>
          </w:p>
        </w:tc>
        <w:tc>
          <w:tcPr>
            <w:tcW w:w="1423" w:type="dxa"/>
            <w:vMerge w:val="restart"/>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　</w:t>
            </w:r>
          </w:p>
        </w:tc>
      </w:tr>
      <w:tr>
        <w:tblPrEx>
          <w:tblLayout w:type="fixed"/>
          <w:tblCellMar>
            <w:top w:w="0" w:type="dxa"/>
            <w:left w:w="108" w:type="dxa"/>
            <w:bottom w:w="0" w:type="dxa"/>
            <w:right w:w="108" w:type="dxa"/>
          </w:tblCellMar>
        </w:tblPrEx>
        <w:trPr>
          <w:trHeight w:val="369" w:hRule="atLeast"/>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9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49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②不提前加柴油、机油或有漏油现象每处扣1分</w:t>
            </w:r>
          </w:p>
        </w:tc>
        <w:tc>
          <w:tcPr>
            <w:tcW w:w="165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r>
      <w:tr>
        <w:tblPrEx>
          <w:tblLayout w:type="fixed"/>
          <w:tblCellMar>
            <w:top w:w="0" w:type="dxa"/>
            <w:left w:w="108" w:type="dxa"/>
            <w:bottom w:w="0" w:type="dxa"/>
            <w:right w:w="108" w:type="dxa"/>
          </w:tblCellMar>
        </w:tblPrEx>
        <w:trPr>
          <w:trHeight w:val="369" w:hRule="atLeast"/>
        </w:trPr>
        <w:tc>
          <w:tcPr>
            <w:tcW w:w="4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6</w:t>
            </w:r>
          </w:p>
        </w:tc>
        <w:tc>
          <w:tcPr>
            <w:tcW w:w="92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安全生产</w:t>
            </w:r>
          </w:p>
        </w:tc>
        <w:tc>
          <w:tcPr>
            <w:tcW w:w="49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①出现安全事故扣5—10分</w:t>
            </w:r>
          </w:p>
        </w:tc>
        <w:tc>
          <w:tcPr>
            <w:tcW w:w="1650" w:type="dxa"/>
            <w:vMerge w:val="restart"/>
            <w:tcBorders>
              <w:top w:val="nil"/>
              <w:left w:val="single" w:color="auto" w:sz="4" w:space="0"/>
              <w:bottom w:val="single" w:color="auto" w:sz="4" w:space="0"/>
              <w:right w:val="single" w:color="auto" w:sz="4" w:space="0"/>
            </w:tcBorders>
            <w:shd w:val="clear" w:color="auto" w:fill="auto"/>
            <w:vAlign w:val="bottom"/>
          </w:tcPr>
          <w:p>
            <w:pPr>
              <w:widowControl/>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　</w:t>
            </w:r>
          </w:p>
        </w:tc>
        <w:tc>
          <w:tcPr>
            <w:tcW w:w="1423" w:type="dxa"/>
            <w:vMerge w:val="restart"/>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　</w:t>
            </w:r>
          </w:p>
        </w:tc>
      </w:tr>
      <w:tr>
        <w:tblPrEx>
          <w:tblLayout w:type="fixed"/>
          <w:tblCellMar>
            <w:top w:w="0" w:type="dxa"/>
            <w:left w:w="108" w:type="dxa"/>
            <w:bottom w:w="0" w:type="dxa"/>
            <w:right w:w="108" w:type="dxa"/>
          </w:tblCellMar>
        </w:tblPrEx>
        <w:trPr>
          <w:trHeight w:val="369" w:hRule="atLeast"/>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92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10分</w:t>
            </w:r>
          </w:p>
        </w:tc>
        <w:tc>
          <w:tcPr>
            <w:tcW w:w="49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②不及时维修排涝设备每次扣3分</w:t>
            </w:r>
          </w:p>
        </w:tc>
        <w:tc>
          <w:tcPr>
            <w:tcW w:w="165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Cs w:val="21"/>
              </w:rPr>
            </w:pPr>
          </w:p>
        </w:tc>
      </w:tr>
      <w:tr>
        <w:tblPrEx>
          <w:tblLayout w:type="fixed"/>
          <w:tblCellMar>
            <w:top w:w="0" w:type="dxa"/>
            <w:left w:w="108" w:type="dxa"/>
            <w:bottom w:w="0" w:type="dxa"/>
            <w:right w:w="108" w:type="dxa"/>
          </w:tblCellMar>
        </w:tblPrEx>
        <w:trPr>
          <w:trHeight w:val="550"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7</w:t>
            </w:r>
          </w:p>
        </w:tc>
        <w:tc>
          <w:tcPr>
            <w:tcW w:w="92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合计</w:t>
            </w:r>
            <w:r>
              <w:rPr>
                <w:rFonts w:hint="eastAsia" w:cs="宋体" w:asciiTheme="minorEastAsia" w:hAnsiTheme="minorEastAsia" w:eastAsiaTheme="minorEastAsia"/>
                <w:color w:val="auto"/>
                <w:kern w:val="0"/>
                <w:szCs w:val="21"/>
              </w:rPr>
              <w:br w:type="textWrapping"/>
            </w:r>
            <w:r>
              <w:rPr>
                <w:rFonts w:hint="eastAsia" w:cs="宋体" w:asciiTheme="minorEastAsia" w:hAnsiTheme="minorEastAsia" w:eastAsiaTheme="minorEastAsia"/>
                <w:color w:val="auto"/>
                <w:kern w:val="0"/>
                <w:szCs w:val="21"/>
              </w:rPr>
              <w:t>100分</w:t>
            </w:r>
          </w:p>
        </w:tc>
        <w:tc>
          <w:tcPr>
            <w:tcW w:w="49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　</w:t>
            </w:r>
          </w:p>
        </w:tc>
        <w:tc>
          <w:tcPr>
            <w:tcW w:w="1650"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　</w:t>
            </w:r>
          </w:p>
        </w:tc>
        <w:tc>
          <w:tcPr>
            <w:tcW w:w="1423"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　</w:t>
            </w:r>
          </w:p>
        </w:tc>
      </w:tr>
      <w:tr>
        <w:tblPrEx>
          <w:tblLayout w:type="fixed"/>
          <w:tblCellMar>
            <w:top w:w="0" w:type="dxa"/>
            <w:left w:w="108" w:type="dxa"/>
            <w:bottom w:w="0" w:type="dxa"/>
            <w:right w:w="108" w:type="dxa"/>
          </w:tblCellMar>
        </w:tblPrEx>
        <w:trPr>
          <w:trHeight w:val="771" w:hRule="atLeast"/>
        </w:trPr>
        <w:tc>
          <w:tcPr>
            <w:tcW w:w="9345" w:type="dxa"/>
            <w:gridSpan w:val="5"/>
            <w:tcBorders>
              <w:top w:val="nil"/>
              <w:left w:val="nil"/>
              <w:bottom w:val="nil"/>
              <w:right w:val="nil"/>
            </w:tcBorders>
            <w:shd w:val="clear" w:color="auto" w:fill="auto"/>
            <w:vAlign w:val="center"/>
          </w:tcPr>
          <w:p>
            <w:pPr>
              <w:widowControl/>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注：本表每月由各居委和街道三防办考核评分，平均分90分及以上全额支付当月承包费；90分以下的，每1分扣2000元当月承包费。</w:t>
            </w:r>
          </w:p>
        </w:tc>
      </w:tr>
    </w:tbl>
    <w:p>
      <w:pPr>
        <w:spacing w:line="360" w:lineRule="auto"/>
        <w:ind w:left="588"/>
        <w:rPr>
          <w:rFonts w:ascii="宋体" w:hAnsi="宋体"/>
          <w:bCs/>
          <w:color w:val="auto"/>
        </w:rPr>
        <w:sectPr>
          <w:pgSz w:w="11906" w:h="16838"/>
          <w:pgMar w:top="1440" w:right="1286" w:bottom="1440" w:left="1440" w:header="851" w:footer="992" w:gutter="0"/>
          <w:cols w:space="720" w:num="1"/>
          <w:docGrid w:type="lines" w:linePitch="312" w:charSpace="0"/>
        </w:sectPr>
      </w:pPr>
    </w:p>
    <w:p>
      <w:pPr>
        <w:pStyle w:val="18"/>
        <w:jc w:val="center"/>
        <w:rPr>
          <w:b/>
          <w:bCs/>
          <w:color w:val="auto"/>
          <w:sz w:val="28"/>
          <w:szCs w:val="28"/>
        </w:rPr>
      </w:pPr>
      <w:bookmarkStart w:id="30" w:name="_Toc435514851"/>
      <w:bookmarkStart w:id="31" w:name="_Toc6037"/>
      <w:bookmarkStart w:id="32" w:name="_Toc435115056"/>
      <w:r>
        <w:rPr>
          <w:rFonts w:hint="eastAsia"/>
          <w:b/>
          <w:bCs/>
          <w:color w:val="auto"/>
          <w:sz w:val="28"/>
          <w:szCs w:val="28"/>
        </w:rPr>
        <w:t>第六章 投标文件格式</w:t>
      </w:r>
      <w:bookmarkEnd w:id="30"/>
      <w:bookmarkEnd w:id="31"/>
      <w:bookmarkEnd w:id="32"/>
    </w:p>
    <w:p>
      <w:pPr>
        <w:spacing w:beforeLines="50" w:afterLines="50" w:line="360" w:lineRule="auto"/>
        <w:jc w:val="center"/>
        <w:outlineLvl w:val="0"/>
        <w:rPr>
          <w:b/>
          <w:color w:val="auto"/>
        </w:rPr>
      </w:pPr>
      <w:bookmarkStart w:id="33" w:name="_Toc435514852"/>
      <w:bookmarkStart w:id="34" w:name="_Toc435515292"/>
      <w:r>
        <w:rPr>
          <w:rFonts w:hint="eastAsia"/>
          <w:b/>
          <w:color w:val="auto"/>
        </w:rPr>
        <w:t>投标文件包装封面参考</w:t>
      </w:r>
      <w:bookmarkEnd w:id="33"/>
      <w:bookmarkEnd w:id="34"/>
    </w:p>
    <w:tbl>
      <w:tblPr>
        <w:tblStyle w:val="44"/>
        <w:tblW w:w="90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27" w:hRule="atLeast"/>
        </w:trPr>
        <w:tc>
          <w:tcPr>
            <w:tcW w:w="9018" w:type="dxa"/>
          </w:tcPr>
          <w:p>
            <w:pPr>
              <w:pStyle w:val="18"/>
              <w:spacing w:line="360" w:lineRule="auto"/>
              <w:ind w:firstLine="482" w:firstLineChars="150"/>
              <w:rPr>
                <w:rFonts w:ascii="仿宋_GB2312" w:eastAsia="仿宋_GB2312"/>
                <w:b/>
                <w:color w:val="auto"/>
                <w:sz w:val="32"/>
              </w:rPr>
            </w:pPr>
          </w:p>
          <w:p>
            <w:pPr>
              <w:pStyle w:val="18"/>
              <w:adjustRightInd w:val="0"/>
              <w:snapToGrid w:val="0"/>
              <w:spacing w:line="400" w:lineRule="exact"/>
              <w:ind w:firstLine="562" w:firstLineChars="200"/>
              <w:rPr>
                <w:rFonts w:ascii="仿宋_GB2312" w:eastAsia="仿宋_GB2312"/>
                <w:b/>
                <w:color w:val="auto"/>
                <w:sz w:val="28"/>
                <w:szCs w:val="28"/>
                <w:u w:val="single"/>
              </w:rPr>
            </w:pPr>
            <w:r>
              <w:rPr>
                <w:rFonts w:hint="eastAsia" w:ascii="仿宋_GB2312" w:eastAsia="仿宋_GB2312"/>
                <w:b/>
                <w:color w:val="auto"/>
                <w:sz w:val="28"/>
                <w:szCs w:val="28"/>
              </w:rPr>
              <w:t>项目编号：</w:t>
            </w:r>
            <w:r>
              <w:rPr>
                <w:rFonts w:hint="eastAsia" w:ascii="仿宋_GB2312" w:eastAsia="仿宋_GB2312"/>
                <w:b/>
                <w:color w:val="auto"/>
                <w:sz w:val="28"/>
                <w:szCs w:val="28"/>
                <w:u w:val="single"/>
              </w:rPr>
              <w:t>GZGX21GZ00QY-45</w:t>
            </w:r>
          </w:p>
          <w:p>
            <w:pPr>
              <w:pStyle w:val="18"/>
              <w:adjustRightInd w:val="0"/>
              <w:snapToGrid w:val="0"/>
              <w:spacing w:line="400" w:lineRule="exact"/>
              <w:ind w:left="1964" w:leftChars="266" w:hanging="1405" w:hangingChars="500"/>
              <w:rPr>
                <w:rFonts w:ascii="仿宋_GB2312" w:eastAsia="仿宋_GB2312"/>
                <w:b/>
                <w:color w:val="auto"/>
                <w:sz w:val="28"/>
                <w:szCs w:val="28"/>
                <w:u w:val="single"/>
              </w:rPr>
            </w:pPr>
            <w:r>
              <w:rPr>
                <w:rFonts w:hint="eastAsia" w:ascii="仿宋_GB2312" w:eastAsia="仿宋_GB2312"/>
                <w:b/>
                <w:color w:val="auto"/>
                <w:sz w:val="28"/>
                <w:szCs w:val="28"/>
              </w:rPr>
              <w:t>项目名称：</w:t>
            </w:r>
            <w:r>
              <w:rPr>
                <w:rFonts w:hint="eastAsia" w:ascii="仿宋_GB2312" w:eastAsia="仿宋_GB2312"/>
                <w:b/>
                <w:color w:val="auto"/>
                <w:sz w:val="28"/>
                <w:szCs w:val="28"/>
                <w:u w:val="single"/>
              </w:rPr>
              <w:t>珠江街2021年粤港深度合作区（启动区）临时排水设施日常运行管养项目</w:t>
            </w:r>
          </w:p>
          <w:p>
            <w:pPr>
              <w:pStyle w:val="18"/>
              <w:spacing w:line="400" w:lineRule="exact"/>
              <w:ind w:firstLine="900" w:firstLineChars="320"/>
              <w:rPr>
                <w:rFonts w:ascii="仿宋_GB2312" w:eastAsia="仿宋_GB2312"/>
                <w:b/>
                <w:color w:val="auto"/>
                <w:sz w:val="28"/>
                <w:szCs w:val="28"/>
                <w:u w:val="single"/>
              </w:rPr>
            </w:pPr>
          </w:p>
          <w:p>
            <w:pPr>
              <w:pStyle w:val="18"/>
              <w:spacing w:line="360" w:lineRule="auto"/>
              <w:ind w:firstLine="482" w:firstLineChars="150"/>
              <w:rPr>
                <w:rFonts w:ascii="仿宋_GB2312" w:eastAsia="仿宋_GB2312"/>
                <w:b/>
                <w:color w:val="auto"/>
                <w:sz w:val="32"/>
              </w:rPr>
            </w:pPr>
          </w:p>
          <w:p>
            <w:pPr>
              <w:pStyle w:val="18"/>
              <w:spacing w:line="360" w:lineRule="auto"/>
              <w:rPr>
                <w:rFonts w:ascii="仿宋_GB2312" w:eastAsia="仿宋_GB2312"/>
                <w:b/>
                <w:color w:val="auto"/>
                <w:sz w:val="32"/>
              </w:rPr>
            </w:pPr>
          </w:p>
          <w:p>
            <w:pPr>
              <w:pStyle w:val="18"/>
              <w:spacing w:line="360" w:lineRule="auto"/>
              <w:jc w:val="center"/>
              <w:rPr>
                <w:rFonts w:ascii="黑体" w:eastAsia="黑体"/>
                <w:b/>
                <w:color w:val="auto"/>
                <w:sz w:val="72"/>
                <w:szCs w:val="72"/>
              </w:rPr>
            </w:pPr>
            <w:r>
              <w:rPr>
                <w:rFonts w:hint="eastAsia" w:ascii="黑体" w:eastAsia="黑体"/>
                <w:b/>
                <w:color w:val="auto"/>
                <w:sz w:val="72"/>
                <w:szCs w:val="72"/>
              </w:rPr>
              <w:t>投 标 文 件</w:t>
            </w:r>
          </w:p>
          <w:p>
            <w:pPr>
              <w:pStyle w:val="18"/>
              <w:spacing w:line="360" w:lineRule="auto"/>
              <w:ind w:firstLine="3398" w:firstLineChars="651"/>
              <w:rPr>
                <w:rFonts w:ascii="黑体" w:eastAsia="黑体"/>
                <w:b/>
                <w:color w:val="auto"/>
                <w:sz w:val="32"/>
              </w:rPr>
            </w:pPr>
            <w:r>
              <w:rPr>
                <w:rFonts w:hint="eastAsia" w:ascii="黑体" w:eastAsia="黑体"/>
                <w:b/>
                <w:color w:val="auto"/>
                <w:sz w:val="52"/>
                <w:szCs w:val="52"/>
              </w:rPr>
              <w:t xml:space="preserve">口 </w:t>
            </w:r>
            <w:r>
              <w:rPr>
                <w:rFonts w:hint="eastAsia" w:ascii="黑体" w:eastAsia="黑体"/>
                <w:b/>
                <w:color w:val="auto"/>
                <w:sz w:val="32"/>
              </w:rPr>
              <w:t>正本</w:t>
            </w:r>
          </w:p>
          <w:p>
            <w:pPr>
              <w:pStyle w:val="18"/>
              <w:spacing w:line="360" w:lineRule="auto"/>
              <w:ind w:firstLine="3398" w:firstLineChars="651"/>
              <w:rPr>
                <w:rFonts w:ascii="黑体" w:eastAsia="黑体"/>
                <w:b/>
                <w:color w:val="auto"/>
                <w:sz w:val="32"/>
              </w:rPr>
            </w:pPr>
            <w:r>
              <w:rPr>
                <w:rFonts w:hint="eastAsia" w:ascii="黑体" w:eastAsia="黑体"/>
                <w:b/>
                <w:color w:val="auto"/>
                <w:sz w:val="52"/>
                <w:szCs w:val="52"/>
              </w:rPr>
              <w:t xml:space="preserve">口 </w:t>
            </w:r>
            <w:r>
              <w:rPr>
                <w:rFonts w:hint="eastAsia" w:ascii="黑体" w:eastAsia="黑体"/>
                <w:b/>
                <w:color w:val="auto"/>
                <w:sz w:val="32"/>
              </w:rPr>
              <w:t>副本</w:t>
            </w:r>
          </w:p>
          <w:p>
            <w:pPr>
              <w:pStyle w:val="18"/>
              <w:spacing w:line="360" w:lineRule="auto"/>
              <w:ind w:firstLine="3398" w:firstLineChars="651"/>
              <w:rPr>
                <w:rFonts w:ascii="黑体" w:eastAsia="黑体"/>
                <w:b/>
                <w:color w:val="auto"/>
                <w:sz w:val="32"/>
              </w:rPr>
            </w:pPr>
            <w:r>
              <w:rPr>
                <w:rFonts w:hint="eastAsia" w:ascii="黑体" w:eastAsia="黑体"/>
                <w:b/>
                <w:color w:val="auto"/>
                <w:sz w:val="52"/>
                <w:szCs w:val="52"/>
              </w:rPr>
              <w:t xml:space="preserve">口 </w:t>
            </w:r>
            <w:r>
              <w:rPr>
                <w:rFonts w:hint="eastAsia" w:ascii="黑体" w:eastAsia="黑体"/>
                <w:b/>
                <w:color w:val="auto"/>
                <w:sz w:val="32"/>
              </w:rPr>
              <w:t>单独密封资料</w:t>
            </w:r>
          </w:p>
          <w:p>
            <w:pPr>
              <w:pStyle w:val="18"/>
              <w:spacing w:line="360" w:lineRule="auto"/>
              <w:rPr>
                <w:rFonts w:ascii="仿宋_GB2312" w:eastAsia="仿宋_GB2312"/>
                <w:b/>
                <w:color w:val="auto"/>
                <w:sz w:val="32"/>
              </w:rPr>
            </w:pPr>
          </w:p>
          <w:p>
            <w:pPr>
              <w:pStyle w:val="18"/>
              <w:spacing w:line="400" w:lineRule="exact"/>
              <w:ind w:firstLine="1175" w:firstLineChars="418"/>
              <w:rPr>
                <w:rFonts w:ascii="仿宋_GB2312" w:eastAsia="仿宋_GB2312"/>
                <w:b/>
                <w:color w:val="auto"/>
                <w:sz w:val="28"/>
                <w:szCs w:val="28"/>
              </w:rPr>
            </w:pPr>
            <w:r>
              <w:rPr>
                <w:rFonts w:hint="eastAsia" w:ascii="仿宋_GB2312" w:eastAsia="仿宋_GB2312"/>
                <w:b/>
                <w:color w:val="auto"/>
                <w:sz w:val="28"/>
                <w:szCs w:val="28"/>
              </w:rPr>
              <w:t>投标人名称：（盖单位章）</w:t>
            </w:r>
          </w:p>
          <w:p>
            <w:pPr>
              <w:pStyle w:val="18"/>
              <w:spacing w:line="400" w:lineRule="exact"/>
              <w:ind w:firstLine="1175" w:firstLineChars="418"/>
              <w:rPr>
                <w:rFonts w:ascii="仿宋_GB2312" w:eastAsia="仿宋_GB2312"/>
                <w:b/>
                <w:strike/>
                <w:color w:val="auto"/>
                <w:sz w:val="32"/>
              </w:rPr>
            </w:pPr>
            <w:r>
              <w:rPr>
                <w:rFonts w:hint="eastAsia" w:ascii="仿宋_GB2312" w:eastAsia="仿宋_GB2312"/>
                <w:b/>
                <w:color w:val="auto"/>
                <w:sz w:val="28"/>
                <w:szCs w:val="28"/>
              </w:rPr>
              <w:t>投标人地址：</w:t>
            </w:r>
          </w:p>
        </w:tc>
      </w:tr>
    </w:tbl>
    <w:p>
      <w:pPr>
        <w:pStyle w:val="4"/>
        <w:spacing w:beforeLines="50" w:afterLines="50" w:line="360" w:lineRule="auto"/>
        <w:jc w:val="center"/>
        <w:rPr>
          <w:b w:val="0"/>
          <w:color w:val="auto"/>
        </w:rPr>
      </w:pPr>
      <w:r>
        <w:rPr>
          <w:rFonts w:hint="eastAsia"/>
          <w:b w:val="0"/>
          <w:color w:val="auto"/>
        </w:rPr>
        <w:t>投标文件目录表</w:t>
      </w:r>
    </w:p>
    <w:p>
      <w:pPr>
        <w:adjustRightInd w:val="0"/>
        <w:snapToGrid w:val="0"/>
        <w:spacing w:line="360" w:lineRule="auto"/>
        <w:rPr>
          <w:rFonts w:ascii="宋体" w:hAnsi="宋体"/>
          <w:b/>
          <w:color w:val="auto"/>
        </w:rPr>
      </w:pPr>
      <w:r>
        <w:rPr>
          <w:rFonts w:hint="eastAsia" w:ascii="宋体" w:hAnsi="宋体"/>
          <w:b/>
          <w:color w:val="auto"/>
        </w:rPr>
        <w:t xml:space="preserve">说明： </w:t>
      </w:r>
    </w:p>
    <w:p>
      <w:pPr>
        <w:pStyle w:val="90"/>
        <w:numPr>
          <w:ilvl w:val="0"/>
          <w:numId w:val="20"/>
        </w:numPr>
        <w:adjustRightInd w:val="0"/>
        <w:snapToGrid w:val="0"/>
        <w:spacing w:line="360" w:lineRule="auto"/>
        <w:ind w:firstLineChars="0"/>
        <w:rPr>
          <w:rFonts w:ascii="宋体" w:hAnsi="宋体"/>
          <w:color w:val="auto"/>
        </w:rPr>
      </w:pPr>
      <w:r>
        <w:rPr>
          <w:rFonts w:hint="eastAsia" w:ascii="宋体" w:hAnsi="宋体"/>
          <w:color w:val="auto"/>
        </w:rPr>
        <w:t>投标文件包括但不限于以下组成内容，请按顺序制作。</w:t>
      </w:r>
    </w:p>
    <w:p>
      <w:pPr>
        <w:pStyle w:val="90"/>
        <w:numPr>
          <w:ilvl w:val="0"/>
          <w:numId w:val="20"/>
        </w:numPr>
        <w:adjustRightInd w:val="0"/>
        <w:snapToGrid w:val="0"/>
        <w:spacing w:line="360" w:lineRule="auto"/>
        <w:ind w:firstLineChars="0"/>
        <w:rPr>
          <w:rFonts w:ascii="宋体" w:hAnsi="宋体"/>
          <w:color w:val="auto"/>
        </w:rPr>
      </w:pPr>
      <w:r>
        <w:rPr>
          <w:rFonts w:hint="eastAsia" w:ascii="宋体" w:hAnsi="宋体"/>
          <w:color w:val="auto"/>
        </w:rPr>
        <w:t>投标人编制投标文件中的项目编号应为</w:t>
      </w:r>
      <w:r>
        <w:rPr>
          <w:rFonts w:hint="eastAsia" w:ascii="宋体" w:hAnsi="宋体"/>
          <w:color w:val="auto"/>
          <w:u w:val="single"/>
        </w:rPr>
        <w:t>GZGX21GZ00QY-45</w:t>
      </w:r>
      <w:r>
        <w:rPr>
          <w:rFonts w:hint="eastAsia" w:ascii="宋体" w:hAnsi="宋体"/>
          <w:color w:val="auto"/>
        </w:rPr>
        <w:t>。</w:t>
      </w:r>
    </w:p>
    <w:p>
      <w:pPr>
        <w:pStyle w:val="90"/>
        <w:numPr>
          <w:ilvl w:val="0"/>
          <w:numId w:val="20"/>
        </w:numPr>
        <w:adjustRightInd w:val="0"/>
        <w:snapToGrid w:val="0"/>
        <w:spacing w:line="360" w:lineRule="auto"/>
        <w:ind w:firstLineChars="0"/>
        <w:rPr>
          <w:rFonts w:ascii="宋体" w:hAnsi="宋体"/>
          <w:color w:val="auto"/>
        </w:rPr>
      </w:pPr>
      <w:r>
        <w:rPr>
          <w:rFonts w:hint="eastAsia" w:ascii="宋体" w:hAnsi="宋体"/>
          <w:color w:val="auto"/>
        </w:rPr>
        <w:t>投标人必须严格按照《资格性审查表》的评审内容的要求如实提供证明材料并应加盖投标人公章。未通过资格性审查的投标人，不进入下一环节。</w:t>
      </w:r>
    </w:p>
    <w:p>
      <w:pPr>
        <w:pStyle w:val="90"/>
        <w:numPr>
          <w:ilvl w:val="0"/>
          <w:numId w:val="20"/>
        </w:numPr>
        <w:adjustRightInd w:val="0"/>
        <w:snapToGrid w:val="0"/>
        <w:spacing w:line="360" w:lineRule="auto"/>
        <w:ind w:firstLineChars="0"/>
        <w:rPr>
          <w:rFonts w:ascii="宋体" w:hAnsi="宋体"/>
          <w:color w:val="auto"/>
        </w:rPr>
      </w:pPr>
      <w:r>
        <w:rPr>
          <w:rFonts w:hint="eastAsia" w:ascii="宋体" w:hAnsi="宋体"/>
          <w:color w:val="auto"/>
        </w:rPr>
        <w:t>标人必须严格按照《符合性审查表》的评审内容的要求如实提供证明材料并应加盖投标人公章。未通过符合性审查的投标人，不进入下一个详细评审环节。</w:t>
      </w:r>
    </w:p>
    <w:p>
      <w:pPr>
        <w:pStyle w:val="90"/>
        <w:numPr>
          <w:ilvl w:val="0"/>
          <w:numId w:val="20"/>
        </w:numPr>
        <w:adjustRightInd w:val="0"/>
        <w:snapToGrid w:val="0"/>
        <w:spacing w:line="360" w:lineRule="auto"/>
        <w:ind w:firstLineChars="0"/>
        <w:rPr>
          <w:rFonts w:ascii="宋体" w:hAnsi="宋体"/>
          <w:color w:val="auto"/>
        </w:rPr>
      </w:pPr>
      <w:r>
        <w:rPr>
          <w:rFonts w:hint="eastAsia" w:ascii="宋体" w:hAnsi="宋体"/>
          <w:color w:val="auto"/>
        </w:rPr>
        <w:t>投标人应根据《综合评分表》要求提交的相关各类证明、资料等填写此表，同时应如实提交《综合评分表》要求提交的相关各类证明、资料等并应加盖投标人公章。</w:t>
      </w:r>
    </w:p>
    <w:p>
      <w:pPr>
        <w:adjustRightInd w:val="0"/>
        <w:snapToGrid w:val="0"/>
        <w:spacing w:line="360" w:lineRule="auto"/>
        <w:rPr>
          <w:rFonts w:ascii="宋体" w:hAnsi="宋体"/>
          <w:b/>
          <w:color w:val="auto"/>
        </w:rPr>
      </w:pPr>
    </w:p>
    <w:p>
      <w:pPr>
        <w:adjustRightInd w:val="0"/>
        <w:snapToGrid w:val="0"/>
        <w:spacing w:line="360" w:lineRule="auto"/>
        <w:jc w:val="center"/>
        <w:outlineLvl w:val="2"/>
        <w:rPr>
          <w:rFonts w:ascii="宋体" w:hAnsi="宋体"/>
          <w:b/>
          <w:color w:val="auto"/>
          <w:sz w:val="30"/>
          <w:szCs w:val="30"/>
        </w:rPr>
      </w:pPr>
      <w:r>
        <w:rPr>
          <w:rFonts w:hint="eastAsia" w:ascii="宋体" w:hAnsi="宋体"/>
          <w:b/>
          <w:color w:val="auto"/>
          <w:sz w:val="30"/>
          <w:szCs w:val="30"/>
        </w:rPr>
        <w:t>价格评审自查表</w:t>
      </w:r>
    </w:p>
    <w:tbl>
      <w:tblPr>
        <w:tblStyle w:val="44"/>
        <w:tblW w:w="88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5422"/>
        <w:gridCol w:w="2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746"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序号</w:t>
            </w:r>
          </w:p>
        </w:tc>
        <w:tc>
          <w:tcPr>
            <w:tcW w:w="542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评审分项</w:t>
            </w:r>
          </w:p>
        </w:tc>
        <w:tc>
          <w:tcPr>
            <w:tcW w:w="2702"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746" w:type="dxa"/>
            <w:tcBorders>
              <w:top w:val="single" w:color="auto" w:sz="4" w:space="0"/>
              <w:left w:val="single" w:color="auto" w:sz="12" w:space="0"/>
              <w:bottom w:val="single" w:color="auto" w:sz="4" w:space="0"/>
              <w:right w:val="single" w:color="auto" w:sz="4" w:space="0"/>
            </w:tcBorders>
            <w:vAlign w:val="center"/>
          </w:tcPr>
          <w:p>
            <w:pPr>
              <w:numPr>
                <w:ilvl w:val="0"/>
                <w:numId w:val="21"/>
              </w:numPr>
              <w:adjustRightInd w:val="0"/>
              <w:snapToGrid w:val="0"/>
              <w:rPr>
                <w:rFonts w:ascii="宋体" w:hAnsi="宋体"/>
                <w:color w:val="auto"/>
                <w:szCs w:val="21"/>
              </w:rPr>
            </w:pPr>
          </w:p>
        </w:tc>
        <w:tc>
          <w:tcPr>
            <w:tcW w:w="54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Cs w:val="21"/>
              </w:rPr>
            </w:pPr>
            <w:r>
              <w:rPr>
                <w:rFonts w:hint="eastAsia" w:ascii="宋体" w:hAnsi="宋体" w:cs="Courier New"/>
                <w:color w:val="auto"/>
              </w:rPr>
              <w:t>开标一览表(报价表)</w:t>
            </w:r>
          </w:p>
        </w:tc>
        <w:tc>
          <w:tcPr>
            <w:tcW w:w="2702"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746" w:type="dxa"/>
            <w:tcBorders>
              <w:top w:val="single" w:color="auto" w:sz="4" w:space="0"/>
              <w:left w:val="single" w:color="auto" w:sz="12" w:space="0"/>
              <w:bottom w:val="single" w:color="auto" w:sz="4" w:space="0"/>
              <w:right w:val="single" w:color="auto" w:sz="4" w:space="0"/>
            </w:tcBorders>
            <w:vAlign w:val="center"/>
          </w:tcPr>
          <w:p>
            <w:pPr>
              <w:numPr>
                <w:ilvl w:val="0"/>
                <w:numId w:val="21"/>
              </w:numPr>
              <w:adjustRightInd w:val="0"/>
              <w:snapToGrid w:val="0"/>
              <w:rPr>
                <w:rFonts w:ascii="宋体" w:hAnsi="宋体"/>
                <w:color w:val="auto"/>
                <w:szCs w:val="21"/>
              </w:rPr>
            </w:pPr>
          </w:p>
        </w:tc>
        <w:tc>
          <w:tcPr>
            <w:tcW w:w="54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Cs w:val="21"/>
              </w:rPr>
            </w:pPr>
            <w:r>
              <w:rPr>
                <w:rFonts w:hint="eastAsia" w:ascii="宋体" w:hAnsi="宋体"/>
                <w:color w:val="auto"/>
                <w:szCs w:val="21"/>
              </w:rPr>
              <w:t>投标分项报价表</w:t>
            </w:r>
          </w:p>
        </w:tc>
        <w:tc>
          <w:tcPr>
            <w:tcW w:w="2702"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746" w:type="dxa"/>
            <w:tcBorders>
              <w:top w:val="single" w:color="auto" w:sz="4" w:space="0"/>
              <w:left w:val="single" w:color="auto" w:sz="12" w:space="0"/>
              <w:bottom w:val="single" w:color="auto" w:sz="4" w:space="0"/>
              <w:right w:val="single" w:color="auto" w:sz="4" w:space="0"/>
            </w:tcBorders>
            <w:vAlign w:val="center"/>
          </w:tcPr>
          <w:p>
            <w:pPr>
              <w:numPr>
                <w:ilvl w:val="0"/>
                <w:numId w:val="21"/>
              </w:numPr>
              <w:adjustRightInd w:val="0"/>
              <w:snapToGrid w:val="0"/>
              <w:rPr>
                <w:rFonts w:ascii="宋体" w:hAnsi="宋体"/>
                <w:color w:val="auto"/>
                <w:szCs w:val="21"/>
              </w:rPr>
            </w:pPr>
          </w:p>
        </w:tc>
        <w:tc>
          <w:tcPr>
            <w:tcW w:w="54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Cs w:val="21"/>
              </w:rPr>
            </w:pPr>
            <w:r>
              <w:rPr>
                <w:rFonts w:hint="eastAsia" w:ascii="宋体" w:hAnsi="宋体" w:cs="Courier New"/>
                <w:color w:val="auto"/>
              </w:rPr>
              <w:t>中小企业声明函（如适用）</w:t>
            </w:r>
          </w:p>
        </w:tc>
        <w:tc>
          <w:tcPr>
            <w:tcW w:w="2702"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746" w:type="dxa"/>
            <w:tcBorders>
              <w:left w:val="single" w:color="auto" w:sz="12" w:space="0"/>
              <w:right w:val="single" w:color="auto" w:sz="4" w:space="0"/>
            </w:tcBorders>
            <w:vAlign w:val="center"/>
          </w:tcPr>
          <w:p>
            <w:pPr>
              <w:numPr>
                <w:ilvl w:val="0"/>
                <w:numId w:val="21"/>
              </w:numPr>
              <w:adjustRightInd w:val="0"/>
              <w:snapToGrid w:val="0"/>
              <w:rPr>
                <w:rFonts w:ascii="宋体" w:hAnsi="宋体"/>
                <w:color w:val="auto"/>
                <w:szCs w:val="21"/>
              </w:rPr>
            </w:pPr>
          </w:p>
        </w:tc>
        <w:tc>
          <w:tcPr>
            <w:tcW w:w="5422" w:type="dxa"/>
            <w:tcBorders>
              <w:left w:val="single" w:color="auto" w:sz="4" w:space="0"/>
              <w:right w:val="single" w:color="auto" w:sz="4" w:space="0"/>
            </w:tcBorders>
            <w:vAlign w:val="center"/>
          </w:tcPr>
          <w:p>
            <w:pPr>
              <w:adjustRightInd w:val="0"/>
              <w:snapToGrid w:val="0"/>
              <w:jc w:val="center"/>
              <w:rPr>
                <w:rFonts w:ascii="宋体" w:hAnsi="宋体" w:cs="Courier New"/>
                <w:color w:val="auto"/>
              </w:rPr>
            </w:pPr>
            <w:r>
              <w:rPr>
                <w:rFonts w:hint="eastAsia" w:ascii="宋体" w:hAnsi="宋体" w:cs="Courier New"/>
                <w:color w:val="auto"/>
              </w:rPr>
              <w:t>监狱企业的证明文件（如适用）</w:t>
            </w:r>
          </w:p>
        </w:tc>
        <w:tc>
          <w:tcPr>
            <w:tcW w:w="2702"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746" w:type="dxa"/>
            <w:tcBorders>
              <w:left w:val="single" w:color="auto" w:sz="12" w:space="0"/>
              <w:bottom w:val="single" w:color="auto" w:sz="12" w:space="0"/>
              <w:right w:val="single" w:color="auto" w:sz="4" w:space="0"/>
            </w:tcBorders>
            <w:vAlign w:val="center"/>
          </w:tcPr>
          <w:p>
            <w:pPr>
              <w:numPr>
                <w:ilvl w:val="0"/>
                <w:numId w:val="21"/>
              </w:numPr>
              <w:adjustRightInd w:val="0"/>
              <w:snapToGrid w:val="0"/>
              <w:rPr>
                <w:rFonts w:ascii="宋体" w:hAnsi="宋体"/>
                <w:color w:val="auto"/>
                <w:szCs w:val="21"/>
              </w:rPr>
            </w:pPr>
          </w:p>
        </w:tc>
        <w:tc>
          <w:tcPr>
            <w:tcW w:w="5422" w:type="dxa"/>
            <w:tcBorders>
              <w:left w:val="single" w:color="auto" w:sz="4" w:space="0"/>
              <w:bottom w:val="single" w:color="auto" w:sz="12" w:space="0"/>
              <w:right w:val="single" w:color="auto" w:sz="4" w:space="0"/>
            </w:tcBorders>
            <w:vAlign w:val="center"/>
          </w:tcPr>
          <w:p>
            <w:pPr>
              <w:adjustRightInd w:val="0"/>
              <w:snapToGrid w:val="0"/>
              <w:jc w:val="center"/>
              <w:rPr>
                <w:rFonts w:ascii="宋体" w:hAnsi="宋体"/>
                <w:color w:val="auto"/>
                <w:lang w:val="zh-CN"/>
              </w:rPr>
            </w:pPr>
            <w:r>
              <w:rPr>
                <w:rFonts w:hint="eastAsia" w:ascii="宋体" w:hAnsi="宋体" w:cs="Courier New"/>
                <w:color w:val="auto"/>
              </w:rPr>
              <w:t>残疾人福利性单位声明函（如适用）</w:t>
            </w:r>
          </w:p>
        </w:tc>
        <w:tc>
          <w:tcPr>
            <w:tcW w:w="2702" w:type="dxa"/>
            <w:tcBorders>
              <w:top w:val="single" w:color="auto" w:sz="4" w:space="0"/>
              <w:left w:val="single" w:color="auto" w:sz="4" w:space="0"/>
              <w:bottom w:val="single" w:color="auto" w:sz="12"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第（ ）页</w:t>
            </w:r>
          </w:p>
        </w:tc>
      </w:tr>
    </w:tbl>
    <w:p>
      <w:pPr>
        <w:adjustRightInd w:val="0"/>
        <w:snapToGrid w:val="0"/>
        <w:spacing w:beforeLines="50" w:line="360" w:lineRule="auto"/>
        <w:jc w:val="center"/>
        <w:outlineLvl w:val="2"/>
        <w:rPr>
          <w:rFonts w:ascii="宋体" w:hAnsi="宋体"/>
          <w:b/>
          <w:color w:val="auto"/>
          <w:sz w:val="30"/>
          <w:szCs w:val="30"/>
        </w:rPr>
      </w:pPr>
      <w:r>
        <w:rPr>
          <w:rFonts w:hint="eastAsia" w:ascii="宋体" w:hAnsi="宋体"/>
          <w:b/>
          <w:color w:val="auto"/>
          <w:sz w:val="30"/>
          <w:szCs w:val="30"/>
        </w:rPr>
        <w:t>资格性、符合性自查表</w:t>
      </w:r>
    </w:p>
    <w:tbl>
      <w:tblPr>
        <w:tblStyle w:val="44"/>
        <w:tblW w:w="896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
      <w:tblGrid>
        <w:gridCol w:w="858"/>
        <w:gridCol w:w="2184"/>
        <w:gridCol w:w="2301"/>
        <w:gridCol w:w="1526"/>
        <w:gridCol w:w="2047"/>
        <w:gridCol w:w="51"/>
        <w:tblGridChange w:id="1">
          <w:tblGrid>
            <w:gridCol w:w="42"/>
            <w:gridCol w:w="816"/>
            <w:gridCol w:w="42"/>
            <w:gridCol w:w="2142"/>
            <w:gridCol w:w="2301"/>
            <w:gridCol w:w="42"/>
            <w:gridCol w:w="1484"/>
            <w:gridCol w:w="42"/>
            <w:gridCol w:w="2005"/>
            <w:gridCol w:w="22"/>
            <w:gridCol w:w="29"/>
          </w:tblGrid>
        </w:tblGridChange>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gridAfter w:val="1"/>
          <w:wAfter w:w="51" w:type="dxa"/>
          <w:jc w:val="center"/>
        </w:trPr>
        <w:tc>
          <w:tcPr>
            <w:tcW w:w="858" w:type="dxa"/>
          </w:tcPr>
          <w:p>
            <w:pPr>
              <w:adjustRightInd w:val="0"/>
              <w:snapToGrid w:val="0"/>
              <w:jc w:val="center"/>
              <w:rPr>
                <w:rStyle w:val="38"/>
                <w:rFonts w:ascii="宋体" w:hAnsi="宋体"/>
                <w:color w:val="auto"/>
                <w:szCs w:val="21"/>
              </w:rPr>
            </w:pPr>
            <w:r>
              <w:rPr>
                <w:rFonts w:hint="eastAsia" w:ascii="宋体" w:hAnsi="宋体"/>
                <w:b/>
                <w:color w:val="auto"/>
                <w:szCs w:val="21"/>
              </w:rPr>
              <w:t>序号</w:t>
            </w:r>
          </w:p>
        </w:tc>
        <w:tc>
          <w:tcPr>
            <w:tcW w:w="4485" w:type="dxa"/>
            <w:gridSpan w:val="2"/>
            <w:vAlign w:val="center"/>
          </w:tcPr>
          <w:p>
            <w:pPr>
              <w:adjustRightInd w:val="0"/>
              <w:snapToGrid w:val="0"/>
              <w:jc w:val="center"/>
              <w:rPr>
                <w:rFonts w:ascii="宋体" w:hAnsi="宋体" w:cs="宋体"/>
                <w:color w:val="auto"/>
                <w:szCs w:val="21"/>
              </w:rPr>
            </w:pPr>
            <w:r>
              <w:rPr>
                <w:rStyle w:val="38"/>
                <w:rFonts w:hint="eastAsia" w:ascii="宋体" w:hAnsi="宋体"/>
                <w:color w:val="auto"/>
                <w:szCs w:val="21"/>
              </w:rPr>
              <w:t>招标文件要求</w:t>
            </w:r>
          </w:p>
        </w:tc>
        <w:tc>
          <w:tcPr>
            <w:tcW w:w="1526" w:type="dxa"/>
            <w:vAlign w:val="center"/>
          </w:tcPr>
          <w:p>
            <w:pPr>
              <w:adjustRightInd w:val="0"/>
              <w:snapToGrid w:val="0"/>
              <w:jc w:val="center"/>
              <w:rPr>
                <w:rFonts w:ascii="宋体" w:hAnsi="宋体" w:cs="宋体"/>
                <w:color w:val="auto"/>
                <w:szCs w:val="21"/>
              </w:rPr>
            </w:pPr>
            <w:r>
              <w:rPr>
                <w:rStyle w:val="38"/>
                <w:rFonts w:hint="eastAsia" w:ascii="宋体" w:hAnsi="宋体"/>
                <w:color w:val="auto"/>
                <w:szCs w:val="21"/>
              </w:rPr>
              <w:t>自查结论</w:t>
            </w:r>
          </w:p>
        </w:tc>
        <w:tc>
          <w:tcPr>
            <w:tcW w:w="2047" w:type="dxa"/>
            <w:vAlign w:val="center"/>
          </w:tcPr>
          <w:p>
            <w:pPr>
              <w:adjustRightInd w:val="0"/>
              <w:snapToGrid w:val="0"/>
              <w:jc w:val="center"/>
              <w:rPr>
                <w:rFonts w:ascii="宋体" w:hAnsi="宋体" w:cs="宋体"/>
                <w:color w:val="auto"/>
                <w:szCs w:val="21"/>
              </w:rPr>
            </w:pPr>
            <w:r>
              <w:rPr>
                <w:rFonts w:hint="eastAsia" w:ascii="宋体" w:hAnsi="宋体"/>
                <w:b/>
                <w:color w:val="auto"/>
                <w:szCs w:val="21"/>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gridAfter w:val="1"/>
          <w:wAfter w:w="51" w:type="dxa"/>
          <w:jc w:val="center"/>
        </w:trPr>
        <w:tc>
          <w:tcPr>
            <w:tcW w:w="858" w:type="dxa"/>
            <w:vMerge w:val="restart"/>
          </w:tcPr>
          <w:p>
            <w:pPr>
              <w:pStyle w:val="90"/>
              <w:numPr>
                <w:ilvl w:val="0"/>
                <w:numId w:val="22"/>
              </w:numPr>
              <w:adjustRightInd w:val="0"/>
              <w:snapToGrid w:val="0"/>
              <w:ind w:firstLineChars="0"/>
              <w:jc w:val="center"/>
              <w:rPr>
                <w:rFonts w:ascii="宋体" w:hAnsi="宋体"/>
                <w:bCs/>
                <w:color w:val="auto"/>
                <w:szCs w:val="21"/>
              </w:rPr>
            </w:pPr>
          </w:p>
        </w:tc>
        <w:tc>
          <w:tcPr>
            <w:tcW w:w="8058" w:type="dxa"/>
            <w:gridSpan w:val="4"/>
            <w:vAlign w:val="center"/>
          </w:tcPr>
          <w:p>
            <w:pPr>
              <w:adjustRightInd w:val="0"/>
              <w:snapToGrid w:val="0"/>
              <w:jc w:val="left"/>
              <w:rPr>
                <w:rFonts w:ascii="宋体" w:hAnsi="宋体"/>
                <w:b/>
                <w:color w:val="auto"/>
                <w:szCs w:val="21"/>
              </w:rPr>
            </w:pPr>
            <w:r>
              <w:rPr>
                <w:rFonts w:hint="eastAsia" w:ascii="宋体" w:hAnsi="宋体"/>
                <w:b/>
                <w:bCs/>
                <w:color w:val="auto"/>
                <w:szCs w:val="21"/>
              </w:rPr>
              <w:t>供应商应具备《中华人民共和国政府采购法》第二十二条规定的条件：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Change w:id="2" w:author="陈陈" w:date="2021-03-24T15:51:00Z">
            <w:tblPrEx>
              <w:tblW w:w="896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blPrExChange>
        </w:tblPrEx>
        <w:trPr>
          <w:gridAfter w:val="1"/>
          <w:wAfter w:w="51" w:type="dxa"/>
          <w:trHeight w:val="388" w:hRule="atLeast"/>
          <w:jc w:val="center"/>
          <w:trPrChange w:id="2" w:author="陈陈" w:date="2021-03-24T15:51:00Z">
            <w:trPr>
              <w:gridBefore w:val="1"/>
              <w:gridAfter w:val="1"/>
              <w:wBefore w:w="42" w:type="dxa"/>
              <w:wAfter w:w="29" w:type="dxa"/>
              <w:trHeight w:val="388" w:hRule="atLeast"/>
              <w:jc w:val="center"/>
            </w:trPr>
          </w:trPrChange>
        </w:trPr>
        <w:tc>
          <w:tcPr>
            <w:tcW w:w="858" w:type="dxa"/>
            <w:vMerge w:val="continue"/>
            <w:tcPrChange w:id="3" w:author="陈陈" w:date="2021-03-24T15:51:00Z">
              <w:tcPr>
                <w:tcW w:w="858" w:type="dxa"/>
                <w:gridSpan w:val="2"/>
                <w:vMerge w:val="continue"/>
              </w:tcPr>
            </w:tcPrChange>
          </w:tcPr>
          <w:p>
            <w:pPr>
              <w:pStyle w:val="90"/>
              <w:numPr>
                <w:ilvl w:val="0"/>
                <w:numId w:val="22"/>
              </w:numPr>
              <w:adjustRightInd w:val="0"/>
              <w:snapToGrid w:val="0"/>
              <w:ind w:firstLineChars="0"/>
              <w:jc w:val="center"/>
              <w:rPr>
                <w:rFonts w:ascii="宋体" w:hAnsi="宋体"/>
                <w:bCs/>
                <w:color w:val="auto"/>
                <w:szCs w:val="21"/>
              </w:rPr>
            </w:pPr>
          </w:p>
        </w:tc>
        <w:tc>
          <w:tcPr>
            <w:tcW w:w="4485" w:type="dxa"/>
            <w:gridSpan w:val="2"/>
            <w:vAlign w:val="center"/>
            <w:tcPrChange w:id="4" w:author="陈陈" w:date="2021-03-24T15:51:00Z">
              <w:tcPr>
                <w:tcW w:w="4485" w:type="dxa"/>
                <w:gridSpan w:val="3"/>
                <w:vAlign w:val="center"/>
              </w:tcPr>
            </w:tcPrChange>
          </w:tcPr>
          <w:p>
            <w:pPr>
              <w:adjustRightInd w:val="0"/>
              <w:snapToGrid w:val="0"/>
              <w:rPr>
                <w:rFonts w:ascii="宋体" w:hAnsi="宋体"/>
                <w:bCs/>
                <w:color w:val="auto"/>
                <w:szCs w:val="21"/>
              </w:rPr>
            </w:pPr>
            <w:r>
              <w:rPr>
                <w:rFonts w:hint="eastAsia" w:ascii="宋体" w:hAnsi="宋体" w:cs="宋体"/>
                <w:color w:val="auto"/>
                <w:kern w:val="0"/>
                <w:szCs w:val="21"/>
              </w:rPr>
              <w:t>提</w:t>
            </w:r>
            <w:r>
              <w:rPr>
                <w:rFonts w:hint="eastAsia" w:ascii="宋体" w:hAnsi="宋体"/>
                <w:bCs/>
                <w:color w:val="auto"/>
                <w:szCs w:val="21"/>
              </w:rPr>
              <w:t>供在中华人民共和国境内注册的</w:t>
            </w:r>
            <w:r>
              <w:rPr>
                <w:rFonts w:hint="eastAsia" w:ascii="宋体" w:hAnsi="宋体" w:cs="宋体"/>
                <w:color w:val="auto"/>
                <w:kern w:val="0"/>
                <w:szCs w:val="21"/>
              </w:rPr>
              <w:t>营业执照</w:t>
            </w:r>
            <w:r>
              <w:rPr>
                <w:rFonts w:hint="eastAsia" w:ascii="宋体" w:hAnsi="宋体"/>
                <w:bCs/>
                <w:color w:val="auto"/>
                <w:szCs w:val="21"/>
              </w:rPr>
              <w:t>（或事业单位法人证书，或社会团体法人</w:t>
            </w:r>
            <w:r>
              <w:rPr>
                <w:rFonts w:hint="eastAsia" w:ascii="宋体" w:hAnsi="宋体" w:cs="宋体"/>
                <w:color w:val="auto"/>
                <w:kern w:val="0"/>
                <w:szCs w:val="21"/>
              </w:rPr>
              <w:t>登记</w:t>
            </w:r>
            <w:r>
              <w:rPr>
                <w:rFonts w:hint="eastAsia" w:ascii="宋体" w:hAnsi="宋体"/>
                <w:bCs/>
                <w:color w:val="auto"/>
                <w:szCs w:val="21"/>
              </w:rPr>
              <w:t>证书，或执业许可证）（如非“多证合一”证照，同时提供组织机构代码证复印件和税务登记证复印件）；如投标人为自然人的需提供自然人身份证；</w:t>
            </w:r>
          </w:p>
        </w:tc>
        <w:tc>
          <w:tcPr>
            <w:tcW w:w="1526" w:type="dxa"/>
            <w:vAlign w:val="center"/>
            <w:tcPrChange w:id="5" w:author="陈陈" w:date="2021-03-24T15:51:00Z">
              <w:tcPr>
                <w:tcW w:w="1526" w:type="dxa"/>
                <w:gridSpan w:val="2"/>
                <w:vAlign w:val="center"/>
              </w:tcPr>
            </w:tcPrChange>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通过</w:t>
            </w:r>
          </w:p>
          <w:p>
            <w:pPr>
              <w:adjustRightInd w:val="0"/>
              <w:snapToGrid w:val="0"/>
              <w:rPr>
                <w:rFonts w:ascii="宋体" w:hAnsi="宋体" w:cs="Arial"/>
                <w:color w:val="auto"/>
                <w:szCs w:val="21"/>
              </w:rPr>
            </w:pPr>
            <w:r>
              <w:rPr>
                <w:rFonts w:hint="eastAsia" w:ascii="宋体" w:hAnsi="宋体" w:cs="Arial"/>
                <w:color w:val="auto"/>
                <w:szCs w:val="21"/>
              </w:rPr>
              <w:t>□</w:t>
            </w:r>
            <w:r>
              <w:rPr>
                <w:rFonts w:hint="eastAsia" w:ascii="宋体" w:hAnsi="宋体"/>
                <w:color w:val="auto"/>
                <w:szCs w:val="21"/>
              </w:rPr>
              <w:t>不通过</w:t>
            </w:r>
          </w:p>
        </w:tc>
        <w:tc>
          <w:tcPr>
            <w:tcW w:w="2047" w:type="dxa"/>
            <w:vAlign w:val="center"/>
            <w:tcPrChange w:id="6" w:author="陈陈" w:date="2021-03-24T15:51:00Z">
              <w:tcPr>
                <w:tcW w:w="2027" w:type="dxa"/>
                <w:gridSpan w:val="2"/>
                <w:vAlign w:val="center"/>
              </w:tcPr>
            </w:tcPrChange>
          </w:tcPr>
          <w:p>
            <w:pPr>
              <w:adjustRightInd w:val="0"/>
              <w:snapToGrid w:val="0"/>
              <w:jc w:val="center"/>
              <w:rPr>
                <w:rFonts w:ascii="宋体" w:hAnsi="宋体"/>
                <w:color w:val="auto"/>
                <w:szCs w:val="21"/>
              </w:rPr>
            </w:pPr>
            <w:r>
              <w:rPr>
                <w:rFonts w:hint="eastAsia" w:ascii="宋体" w:hAnsi="宋体"/>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Change w:id="7" w:author="陈陈" w:date="2021-03-24T15:51:00Z">
            <w:tblPrEx>
              <w:tblW w:w="896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blPrExChange>
        </w:tblPrEx>
        <w:trPr>
          <w:gridAfter w:val="1"/>
          <w:wAfter w:w="51" w:type="dxa"/>
          <w:jc w:val="center"/>
          <w:trPrChange w:id="7" w:author="陈陈" w:date="2021-03-24T15:51:00Z">
            <w:trPr>
              <w:gridBefore w:val="1"/>
              <w:gridAfter w:val="1"/>
              <w:wBefore w:w="42" w:type="dxa"/>
              <w:wAfter w:w="29" w:type="dxa"/>
              <w:jc w:val="center"/>
            </w:trPr>
          </w:trPrChange>
        </w:trPr>
        <w:tc>
          <w:tcPr>
            <w:tcW w:w="858" w:type="dxa"/>
            <w:vMerge w:val="continue"/>
            <w:tcPrChange w:id="8" w:author="陈陈" w:date="2021-03-24T15:51:00Z">
              <w:tcPr>
                <w:tcW w:w="858" w:type="dxa"/>
                <w:gridSpan w:val="2"/>
                <w:vMerge w:val="continue"/>
              </w:tcPr>
            </w:tcPrChange>
          </w:tcPr>
          <w:p>
            <w:pPr>
              <w:pStyle w:val="90"/>
              <w:numPr>
                <w:ilvl w:val="0"/>
                <w:numId w:val="22"/>
              </w:numPr>
              <w:adjustRightInd w:val="0"/>
              <w:snapToGrid w:val="0"/>
              <w:ind w:firstLineChars="0"/>
              <w:jc w:val="center"/>
              <w:rPr>
                <w:rFonts w:ascii="宋体" w:hAnsi="宋体"/>
                <w:bCs/>
                <w:color w:val="auto"/>
                <w:szCs w:val="21"/>
              </w:rPr>
            </w:pPr>
          </w:p>
        </w:tc>
        <w:tc>
          <w:tcPr>
            <w:tcW w:w="4485" w:type="dxa"/>
            <w:gridSpan w:val="2"/>
            <w:vAlign w:val="center"/>
            <w:tcPrChange w:id="9" w:author="陈陈" w:date="2021-03-24T15:51:00Z">
              <w:tcPr>
                <w:tcW w:w="4485" w:type="dxa"/>
                <w:gridSpan w:val="3"/>
                <w:vAlign w:val="center"/>
              </w:tcPr>
            </w:tcPrChange>
          </w:tcPr>
          <w:p>
            <w:pPr>
              <w:adjustRightInd w:val="0"/>
              <w:snapToGrid w:val="0"/>
              <w:rPr>
                <w:rFonts w:ascii="宋体" w:hAnsi="宋体" w:cs="宋体"/>
                <w:color w:val="auto"/>
                <w:kern w:val="0"/>
                <w:szCs w:val="21"/>
              </w:rPr>
            </w:pPr>
            <w:r>
              <w:rPr>
                <w:rFonts w:hint="eastAsia" w:ascii="宋体" w:hAnsi="宋体" w:cs="宋体"/>
                <w:color w:val="auto"/>
                <w:szCs w:val="21"/>
              </w:rPr>
              <w:t>投标供应商如果有名称变更的，应提供由行政主管部门出具的变更证明文件。</w:t>
            </w:r>
          </w:p>
        </w:tc>
        <w:tc>
          <w:tcPr>
            <w:tcW w:w="1526" w:type="dxa"/>
            <w:vAlign w:val="center"/>
            <w:tcPrChange w:id="10" w:author="陈陈" w:date="2021-03-24T15:51:00Z">
              <w:tcPr>
                <w:tcW w:w="1526" w:type="dxa"/>
                <w:gridSpan w:val="2"/>
                <w:vAlign w:val="center"/>
              </w:tcPr>
            </w:tcPrChange>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通过</w:t>
            </w:r>
          </w:p>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不通过</w:t>
            </w:r>
          </w:p>
          <w:p>
            <w:pPr>
              <w:adjustRightInd w:val="0"/>
              <w:snapToGrid w:val="0"/>
              <w:rPr>
                <w:rFonts w:ascii="宋体" w:hAnsi="宋体" w:cs="Arial"/>
                <w:color w:val="auto"/>
                <w:szCs w:val="21"/>
              </w:rPr>
            </w:pPr>
            <w:r>
              <w:rPr>
                <w:rFonts w:hint="eastAsia" w:ascii="宋体" w:hAnsi="宋体" w:cs="Arial"/>
                <w:color w:val="auto"/>
                <w:szCs w:val="21"/>
              </w:rPr>
              <w:t>□</w:t>
            </w:r>
            <w:r>
              <w:rPr>
                <w:rFonts w:hint="eastAsia" w:ascii="宋体" w:hAnsi="宋体"/>
                <w:color w:val="auto"/>
                <w:szCs w:val="21"/>
              </w:rPr>
              <w:t>不适用</w:t>
            </w:r>
          </w:p>
        </w:tc>
        <w:tc>
          <w:tcPr>
            <w:tcW w:w="2047" w:type="dxa"/>
            <w:vAlign w:val="center"/>
            <w:tcPrChange w:id="11" w:author="陈陈" w:date="2021-03-24T15:51:00Z">
              <w:tcPr>
                <w:tcW w:w="2027" w:type="dxa"/>
                <w:gridSpan w:val="2"/>
                <w:vAlign w:val="center"/>
              </w:tcPr>
            </w:tcPrChange>
          </w:tcPr>
          <w:p>
            <w:pPr>
              <w:adjustRightInd w:val="0"/>
              <w:snapToGrid w:val="0"/>
              <w:jc w:val="center"/>
              <w:rPr>
                <w:rFonts w:ascii="宋体" w:hAnsi="宋体"/>
                <w:color w:val="auto"/>
                <w:szCs w:val="21"/>
              </w:rPr>
            </w:pPr>
            <w:r>
              <w:rPr>
                <w:rFonts w:hint="eastAsia" w:ascii="宋体" w:hAnsi="宋体"/>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Change w:id="12" w:author="陈陈" w:date="2021-03-24T15:51:00Z">
            <w:tblPrEx>
              <w:tblW w:w="896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blPrExChange>
        </w:tblPrEx>
        <w:trPr>
          <w:gridAfter w:val="1"/>
          <w:wAfter w:w="51" w:type="dxa"/>
          <w:jc w:val="center"/>
          <w:trPrChange w:id="12" w:author="陈陈" w:date="2021-03-24T15:51:00Z">
            <w:trPr>
              <w:gridBefore w:val="1"/>
              <w:gridAfter w:val="1"/>
              <w:wBefore w:w="42" w:type="dxa"/>
              <w:wAfter w:w="29" w:type="dxa"/>
              <w:jc w:val="center"/>
            </w:trPr>
          </w:trPrChange>
        </w:trPr>
        <w:tc>
          <w:tcPr>
            <w:tcW w:w="858" w:type="dxa"/>
            <w:vMerge w:val="continue"/>
            <w:tcPrChange w:id="13" w:author="陈陈" w:date="2021-03-24T15:51:00Z">
              <w:tcPr>
                <w:tcW w:w="858" w:type="dxa"/>
                <w:gridSpan w:val="2"/>
                <w:vMerge w:val="continue"/>
              </w:tcPr>
            </w:tcPrChange>
          </w:tcPr>
          <w:p>
            <w:pPr>
              <w:pStyle w:val="90"/>
              <w:numPr>
                <w:ilvl w:val="0"/>
                <w:numId w:val="22"/>
              </w:numPr>
              <w:adjustRightInd w:val="0"/>
              <w:snapToGrid w:val="0"/>
              <w:ind w:firstLineChars="0"/>
              <w:jc w:val="center"/>
              <w:rPr>
                <w:rFonts w:ascii="宋体" w:hAnsi="宋体"/>
                <w:bCs/>
                <w:color w:val="auto"/>
                <w:szCs w:val="21"/>
              </w:rPr>
            </w:pPr>
          </w:p>
        </w:tc>
        <w:tc>
          <w:tcPr>
            <w:tcW w:w="4485" w:type="dxa"/>
            <w:gridSpan w:val="2"/>
            <w:vAlign w:val="center"/>
            <w:tcPrChange w:id="14" w:author="陈陈" w:date="2021-03-24T15:51:00Z">
              <w:tcPr>
                <w:tcW w:w="4485" w:type="dxa"/>
                <w:gridSpan w:val="3"/>
                <w:vAlign w:val="center"/>
              </w:tcPr>
            </w:tcPrChange>
          </w:tcPr>
          <w:p>
            <w:pPr>
              <w:adjustRightInd w:val="0"/>
              <w:snapToGrid w:val="0"/>
              <w:rPr>
                <w:rFonts w:ascii="宋体" w:hAnsi="宋体" w:cs="宋体"/>
                <w:color w:val="auto"/>
                <w:szCs w:val="21"/>
              </w:rPr>
            </w:pPr>
            <w:r>
              <w:rPr>
                <w:rFonts w:hint="eastAsia" w:ascii="宋体" w:hAnsi="宋体" w:cs="宋体"/>
                <w:color w:val="auto"/>
                <w:szCs w:val="21"/>
              </w:rPr>
              <w:t>若以不具有独立承担民事责任能力的分支机构投标，须取得</w:t>
            </w:r>
            <w:r>
              <w:rPr>
                <w:rFonts w:hint="eastAsia" w:ascii="宋体" w:hAnsi="宋体" w:cs="黑体"/>
                <w:color w:val="auto"/>
                <w:szCs w:val="21"/>
              </w:rPr>
              <w:t>具有法人资格的总公司的授权书，并提供总公司营业执照复印件。</w:t>
            </w:r>
          </w:p>
        </w:tc>
        <w:tc>
          <w:tcPr>
            <w:tcW w:w="1526" w:type="dxa"/>
            <w:vAlign w:val="center"/>
            <w:tcPrChange w:id="15" w:author="陈陈" w:date="2021-03-24T15:51:00Z">
              <w:tcPr>
                <w:tcW w:w="1526" w:type="dxa"/>
                <w:gridSpan w:val="2"/>
                <w:vAlign w:val="center"/>
              </w:tcPr>
            </w:tcPrChange>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通过</w:t>
            </w:r>
          </w:p>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不通过</w:t>
            </w:r>
          </w:p>
          <w:p>
            <w:pPr>
              <w:adjustRightInd w:val="0"/>
              <w:snapToGrid w:val="0"/>
              <w:rPr>
                <w:rFonts w:ascii="宋体" w:hAnsi="宋体" w:cs="Arial"/>
                <w:color w:val="auto"/>
                <w:szCs w:val="21"/>
              </w:rPr>
            </w:pPr>
            <w:r>
              <w:rPr>
                <w:rFonts w:hint="eastAsia" w:ascii="宋体" w:hAnsi="宋体" w:cs="Arial"/>
                <w:color w:val="auto"/>
                <w:szCs w:val="21"/>
              </w:rPr>
              <w:t>□</w:t>
            </w:r>
            <w:r>
              <w:rPr>
                <w:rFonts w:hint="eastAsia" w:ascii="宋体" w:hAnsi="宋体"/>
                <w:color w:val="auto"/>
                <w:szCs w:val="21"/>
              </w:rPr>
              <w:t>不适用</w:t>
            </w:r>
          </w:p>
        </w:tc>
        <w:tc>
          <w:tcPr>
            <w:tcW w:w="2047" w:type="dxa"/>
            <w:vAlign w:val="center"/>
            <w:tcPrChange w:id="16" w:author="陈陈" w:date="2021-03-24T15:51:00Z">
              <w:tcPr>
                <w:tcW w:w="2027" w:type="dxa"/>
                <w:gridSpan w:val="2"/>
                <w:vAlign w:val="center"/>
              </w:tcPr>
            </w:tcPrChange>
          </w:tcPr>
          <w:p>
            <w:pPr>
              <w:adjustRightInd w:val="0"/>
              <w:snapToGrid w:val="0"/>
              <w:jc w:val="center"/>
              <w:rPr>
                <w:rFonts w:ascii="宋体" w:hAnsi="宋体"/>
                <w:color w:val="auto"/>
                <w:szCs w:val="21"/>
              </w:rPr>
            </w:pPr>
            <w:r>
              <w:rPr>
                <w:rFonts w:hint="eastAsia" w:ascii="宋体" w:hAnsi="宋体"/>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Change w:id="17" w:author="陈陈" w:date="2021-03-24T15:51:00Z">
            <w:tblPrEx>
              <w:tblW w:w="896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blPrExChange>
        </w:tblPrEx>
        <w:trPr>
          <w:gridAfter w:val="1"/>
          <w:wAfter w:w="51" w:type="dxa"/>
          <w:jc w:val="center"/>
          <w:trPrChange w:id="17" w:author="陈陈" w:date="2021-03-24T15:51:00Z">
            <w:trPr>
              <w:gridBefore w:val="1"/>
              <w:gridAfter w:val="1"/>
              <w:wBefore w:w="42" w:type="dxa"/>
              <w:wAfter w:w="29" w:type="dxa"/>
              <w:jc w:val="center"/>
            </w:trPr>
          </w:trPrChange>
        </w:trPr>
        <w:tc>
          <w:tcPr>
            <w:tcW w:w="858" w:type="dxa"/>
            <w:vMerge w:val="continue"/>
            <w:tcPrChange w:id="18" w:author="陈陈" w:date="2021-03-24T15:51:00Z">
              <w:tcPr>
                <w:tcW w:w="858" w:type="dxa"/>
                <w:gridSpan w:val="2"/>
                <w:vMerge w:val="continue"/>
              </w:tcPr>
            </w:tcPrChange>
          </w:tcPr>
          <w:p>
            <w:pPr>
              <w:pStyle w:val="90"/>
              <w:numPr>
                <w:ilvl w:val="0"/>
                <w:numId w:val="22"/>
              </w:numPr>
              <w:adjustRightInd w:val="0"/>
              <w:snapToGrid w:val="0"/>
              <w:ind w:firstLineChars="0"/>
              <w:jc w:val="center"/>
              <w:rPr>
                <w:rFonts w:ascii="宋体" w:hAnsi="宋体"/>
                <w:bCs/>
                <w:color w:val="auto"/>
                <w:szCs w:val="21"/>
              </w:rPr>
            </w:pPr>
          </w:p>
        </w:tc>
        <w:tc>
          <w:tcPr>
            <w:tcW w:w="4485" w:type="dxa"/>
            <w:gridSpan w:val="2"/>
            <w:vAlign w:val="center"/>
            <w:tcPrChange w:id="19" w:author="陈陈" w:date="2021-03-24T15:51:00Z">
              <w:tcPr>
                <w:tcW w:w="4485" w:type="dxa"/>
                <w:gridSpan w:val="3"/>
                <w:vAlign w:val="center"/>
              </w:tcPr>
            </w:tcPrChange>
          </w:tcPr>
          <w:p>
            <w:pPr>
              <w:adjustRightInd w:val="0"/>
              <w:snapToGrid w:val="0"/>
              <w:rPr>
                <w:rFonts w:ascii="宋体" w:hAnsi="宋体" w:cs="宋体"/>
                <w:color w:val="auto"/>
                <w:kern w:val="0"/>
                <w:szCs w:val="21"/>
              </w:rPr>
            </w:pPr>
            <w:r>
              <w:rPr>
                <w:rFonts w:hint="eastAsia"/>
                <w:color w:val="auto"/>
              </w:rPr>
              <w:t>提供</w:t>
            </w:r>
            <w:r>
              <w:rPr>
                <w:rFonts w:hint="eastAsia" w:ascii="宋体" w:hAnsi="宋体"/>
                <w:bCs/>
                <w:color w:val="auto"/>
                <w:szCs w:val="21"/>
              </w:rPr>
              <w:t>20</w:t>
            </w:r>
            <w:r>
              <w:rPr>
                <w:rFonts w:ascii="宋体" w:hAnsi="宋体"/>
                <w:bCs/>
                <w:color w:val="auto"/>
                <w:szCs w:val="21"/>
              </w:rPr>
              <w:t>19</w:t>
            </w:r>
            <w:r>
              <w:rPr>
                <w:rFonts w:hint="eastAsia" w:ascii="宋体" w:hAnsi="宋体"/>
                <w:bCs/>
                <w:color w:val="auto"/>
                <w:szCs w:val="21"/>
              </w:rPr>
              <w:t>年或2020年</w:t>
            </w:r>
            <w:r>
              <w:rPr>
                <w:rFonts w:hint="eastAsia" w:ascii="宋体" w:hAnsi="宋体"/>
                <w:color w:val="auto"/>
                <w:szCs w:val="21"/>
              </w:rPr>
              <w:t>的年度</w:t>
            </w:r>
            <w:r>
              <w:rPr>
                <w:rFonts w:hint="eastAsia"/>
                <w:color w:val="auto"/>
              </w:rPr>
              <w:t>财务状况报告复印件，或</w:t>
            </w:r>
            <w:r>
              <w:rPr>
                <w:rFonts w:hint="eastAsia" w:ascii="宋体" w:hAnsi="宋体"/>
                <w:color w:val="auto"/>
                <w:szCs w:val="21"/>
              </w:rPr>
              <w:t>2021年任意1个月</w:t>
            </w:r>
            <w:r>
              <w:rPr>
                <w:rFonts w:hint="eastAsia"/>
                <w:color w:val="auto"/>
              </w:rPr>
              <w:t>的财务状况报告复印件；或银行出具的资信证明材料复印件；若已对接“粤省事”“粤商通”“粤信签”等系统的，可提供书面承诺声明函（格式自拟）；</w:t>
            </w:r>
          </w:p>
        </w:tc>
        <w:tc>
          <w:tcPr>
            <w:tcW w:w="1526" w:type="dxa"/>
            <w:vAlign w:val="center"/>
            <w:tcPrChange w:id="20" w:author="陈陈" w:date="2021-03-24T15:51:00Z">
              <w:tcPr>
                <w:tcW w:w="1526" w:type="dxa"/>
                <w:gridSpan w:val="2"/>
                <w:vAlign w:val="center"/>
              </w:tcPr>
            </w:tcPrChange>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通过</w:t>
            </w:r>
          </w:p>
          <w:p>
            <w:pPr>
              <w:adjustRightInd w:val="0"/>
              <w:snapToGrid w:val="0"/>
              <w:rPr>
                <w:rFonts w:ascii="宋体" w:hAnsi="宋体" w:cs="Arial"/>
                <w:color w:val="auto"/>
                <w:szCs w:val="21"/>
              </w:rPr>
            </w:pPr>
            <w:r>
              <w:rPr>
                <w:rFonts w:hint="eastAsia" w:ascii="宋体" w:hAnsi="宋体" w:cs="Arial"/>
                <w:color w:val="auto"/>
                <w:szCs w:val="21"/>
              </w:rPr>
              <w:t>□</w:t>
            </w:r>
            <w:r>
              <w:rPr>
                <w:rFonts w:hint="eastAsia" w:ascii="宋体" w:hAnsi="宋体"/>
                <w:color w:val="auto"/>
                <w:szCs w:val="21"/>
              </w:rPr>
              <w:t>不通过</w:t>
            </w:r>
          </w:p>
        </w:tc>
        <w:tc>
          <w:tcPr>
            <w:tcW w:w="2047" w:type="dxa"/>
            <w:vAlign w:val="center"/>
            <w:tcPrChange w:id="21" w:author="陈陈" w:date="2021-03-24T15:51:00Z">
              <w:tcPr>
                <w:tcW w:w="2027" w:type="dxa"/>
                <w:gridSpan w:val="2"/>
                <w:vAlign w:val="center"/>
              </w:tcPr>
            </w:tcPrChange>
          </w:tcPr>
          <w:p>
            <w:pPr>
              <w:adjustRightInd w:val="0"/>
              <w:snapToGrid w:val="0"/>
              <w:jc w:val="center"/>
              <w:rPr>
                <w:rFonts w:ascii="宋体" w:hAnsi="宋体"/>
                <w:color w:val="auto"/>
                <w:szCs w:val="21"/>
              </w:rPr>
            </w:pPr>
            <w:r>
              <w:rPr>
                <w:rFonts w:hint="eastAsia" w:ascii="宋体" w:hAnsi="宋体"/>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Change w:id="22" w:author="陈陈" w:date="2021-03-24T15:51:00Z">
            <w:tblPrEx>
              <w:tblW w:w="896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blPrExChange>
        </w:tblPrEx>
        <w:trPr>
          <w:gridAfter w:val="1"/>
          <w:wAfter w:w="51" w:type="dxa"/>
          <w:jc w:val="center"/>
          <w:trPrChange w:id="22" w:author="陈陈" w:date="2021-03-24T15:51:00Z">
            <w:trPr>
              <w:gridBefore w:val="1"/>
              <w:gridAfter w:val="1"/>
              <w:wBefore w:w="42" w:type="dxa"/>
              <w:wAfter w:w="29" w:type="dxa"/>
              <w:jc w:val="center"/>
            </w:trPr>
          </w:trPrChange>
        </w:trPr>
        <w:tc>
          <w:tcPr>
            <w:tcW w:w="858" w:type="dxa"/>
            <w:vMerge w:val="continue"/>
            <w:tcPrChange w:id="23" w:author="陈陈" w:date="2021-03-24T15:51:00Z">
              <w:tcPr>
                <w:tcW w:w="858" w:type="dxa"/>
                <w:gridSpan w:val="2"/>
                <w:vMerge w:val="continue"/>
              </w:tcPr>
            </w:tcPrChange>
          </w:tcPr>
          <w:p>
            <w:pPr>
              <w:pStyle w:val="90"/>
              <w:numPr>
                <w:ilvl w:val="0"/>
                <w:numId w:val="22"/>
              </w:numPr>
              <w:adjustRightInd w:val="0"/>
              <w:snapToGrid w:val="0"/>
              <w:ind w:firstLineChars="0"/>
              <w:jc w:val="center"/>
              <w:rPr>
                <w:rFonts w:ascii="宋体" w:hAnsi="宋体"/>
                <w:bCs/>
                <w:color w:val="auto"/>
                <w:szCs w:val="21"/>
              </w:rPr>
            </w:pPr>
          </w:p>
        </w:tc>
        <w:tc>
          <w:tcPr>
            <w:tcW w:w="4485" w:type="dxa"/>
            <w:gridSpan w:val="2"/>
            <w:vAlign w:val="center"/>
            <w:tcPrChange w:id="24" w:author="陈陈" w:date="2021-03-24T15:51:00Z">
              <w:tcPr>
                <w:tcW w:w="4485" w:type="dxa"/>
                <w:gridSpan w:val="3"/>
                <w:vAlign w:val="center"/>
              </w:tcPr>
            </w:tcPrChange>
          </w:tcPr>
          <w:p>
            <w:pPr>
              <w:adjustRightInd w:val="0"/>
              <w:snapToGrid w:val="0"/>
              <w:rPr>
                <w:rFonts w:ascii="宋体" w:hAnsi="宋体" w:cs="宋体"/>
                <w:color w:val="auto"/>
                <w:kern w:val="0"/>
                <w:szCs w:val="21"/>
              </w:rPr>
            </w:pPr>
            <w:r>
              <w:rPr>
                <w:rFonts w:hint="eastAsia" w:ascii="宋体" w:hAnsi="宋体" w:cs="宋体"/>
                <w:color w:val="auto"/>
                <w:kern w:val="0"/>
                <w:szCs w:val="21"/>
              </w:rPr>
              <w:t>提供</w:t>
            </w:r>
            <w:r>
              <w:rPr>
                <w:rFonts w:hint="eastAsia" w:ascii="宋体" w:hAnsi="宋体" w:cs="宋体"/>
                <w:bCs/>
                <w:color w:val="auto"/>
                <w:kern w:val="0"/>
                <w:szCs w:val="21"/>
              </w:rPr>
              <w:t>2020年或2021年</w:t>
            </w:r>
            <w:r>
              <w:rPr>
                <w:rFonts w:hint="eastAsia" w:ascii="宋体" w:hAnsi="宋体" w:cs="宋体"/>
                <w:color w:val="auto"/>
                <w:kern w:val="0"/>
                <w:szCs w:val="21"/>
              </w:rPr>
              <w:t>任意1个月的依法缴纳税收的证明（纳税凭证）复印件，如依法免税的，应提供相应文件证明其依法免税；</w:t>
            </w:r>
            <w:r>
              <w:rPr>
                <w:rFonts w:hint="eastAsia"/>
                <w:color w:val="auto"/>
              </w:rPr>
              <w:t>若已对接“粤省事”“粤商通”“粤信签”等系统的，可提供书面承诺声明函（格式自拟）</w:t>
            </w:r>
            <w:r>
              <w:rPr>
                <w:rFonts w:hint="eastAsia" w:ascii="宋体" w:hAnsi="宋体" w:cs="宋体"/>
                <w:color w:val="auto"/>
                <w:kern w:val="0"/>
                <w:szCs w:val="21"/>
              </w:rPr>
              <w:t xml:space="preserve">； </w:t>
            </w:r>
          </w:p>
        </w:tc>
        <w:tc>
          <w:tcPr>
            <w:tcW w:w="1526" w:type="dxa"/>
            <w:vAlign w:val="center"/>
            <w:tcPrChange w:id="25" w:author="陈陈" w:date="2021-03-24T15:51:00Z">
              <w:tcPr>
                <w:tcW w:w="1526" w:type="dxa"/>
                <w:gridSpan w:val="2"/>
                <w:vAlign w:val="center"/>
              </w:tcPr>
            </w:tcPrChange>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通过</w:t>
            </w:r>
          </w:p>
          <w:p>
            <w:pPr>
              <w:adjustRightInd w:val="0"/>
              <w:snapToGrid w:val="0"/>
              <w:rPr>
                <w:rFonts w:ascii="宋体" w:hAnsi="宋体" w:cs="Arial"/>
                <w:color w:val="auto"/>
                <w:szCs w:val="21"/>
              </w:rPr>
            </w:pPr>
            <w:r>
              <w:rPr>
                <w:rFonts w:hint="eastAsia" w:ascii="宋体" w:hAnsi="宋体" w:cs="Arial"/>
                <w:color w:val="auto"/>
                <w:szCs w:val="21"/>
              </w:rPr>
              <w:t>□</w:t>
            </w:r>
            <w:r>
              <w:rPr>
                <w:rFonts w:hint="eastAsia" w:ascii="宋体" w:hAnsi="宋体"/>
                <w:color w:val="auto"/>
                <w:szCs w:val="21"/>
              </w:rPr>
              <w:t>不通过</w:t>
            </w:r>
          </w:p>
        </w:tc>
        <w:tc>
          <w:tcPr>
            <w:tcW w:w="2047" w:type="dxa"/>
            <w:vAlign w:val="center"/>
            <w:tcPrChange w:id="26" w:author="陈陈" w:date="2021-03-24T15:51:00Z">
              <w:tcPr>
                <w:tcW w:w="2027" w:type="dxa"/>
                <w:gridSpan w:val="2"/>
                <w:vAlign w:val="center"/>
              </w:tcPr>
            </w:tcPrChange>
          </w:tcPr>
          <w:p>
            <w:pPr>
              <w:adjustRightInd w:val="0"/>
              <w:snapToGrid w:val="0"/>
              <w:jc w:val="center"/>
              <w:rPr>
                <w:rFonts w:ascii="宋体" w:hAnsi="宋体"/>
                <w:color w:val="auto"/>
                <w:szCs w:val="21"/>
              </w:rPr>
            </w:pPr>
            <w:r>
              <w:rPr>
                <w:rFonts w:hint="eastAsia" w:ascii="宋体" w:hAnsi="宋体"/>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Change w:id="27" w:author="陈陈" w:date="2021-03-24T15:51:00Z">
            <w:tblPrEx>
              <w:tblW w:w="896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blPrExChange>
        </w:tblPrEx>
        <w:trPr>
          <w:gridAfter w:val="1"/>
          <w:wAfter w:w="51" w:type="dxa"/>
          <w:jc w:val="center"/>
          <w:trPrChange w:id="27" w:author="陈陈" w:date="2021-03-24T15:51:00Z">
            <w:trPr>
              <w:gridBefore w:val="1"/>
              <w:gridAfter w:val="1"/>
              <w:wBefore w:w="42" w:type="dxa"/>
              <w:wAfter w:w="29" w:type="dxa"/>
              <w:jc w:val="center"/>
            </w:trPr>
          </w:trPrChange>
        </w:trPr>
        <w:tc>
          <w:tcPr>
            <w:tcW w:w="858" w:type="dxa"/>
            <w:vMerge w:val="continue"/>
            <w:tcPrChange w:id="28" w:author="陈陈" w:date="2021-03-24T15:51:00Z">
              <w:tcPr>
                <w:tcW w:w="858" w:type="dxa"/>
                <w:gridSpan w:val="2"/>
                <w:vMerge w:val="continue"/>
              </w:tcPr>
            </w:tcPrChange>
          </w:tcPr>
          <w:p>
            <w:pPr>
              <w:pStyle w:val="90"/>
              <w:numPr>
                <w:ilvl w:val="0"/>
                <w:numId w:val="22"/>
              </w:numPr>
              <w:adjustRightInd w:val="0"/>
              <w:snapToGrid w:val="0"/>
              <w:ind w:firstLineChars="0"/>
              <w:jc w:val="center"/>
              <w:rPr>
                <w:rFonts w:ascii="宋体" w:hAnsi="宋体"/>
                <w:bCs/>
                <w:color w:val="auto"/>
                <w:szCs w:val="21"/>
              </w:rPr>
            </w:pPr>
          </w:p>
        </w:tc>
        <w:tc>
          <w:tcPr>
            <w:tcW w:w="4485" w:type="dxa"/>
            <w:gridSpan w:val="2"/>
            <w:vAlign w:val="center"/>
            <w:tcPrChange w:id="29" w:author="陈陈" w:date="2021-03-24T15:51:00Z">
              <w:tcPr>
                <w:tcW w:w="4485" w:type="dxa"/>
                <w:gridSpan w:val="3"/>
                <w:vAlign w:val="center"/>
              </w:tcPr>
            </w:tcPrChange>
          </w:tcPr>
          <w:p>
            <w:pPr>
              <w:adjustRightInd w:val="0"/>
              <w:snapToGrid w:val="0"/>
              <w:rPr>
                <w:rFonts w:ascii="宋体" w:hAnsi="宋体" w:cs="宋体"/>
                <w:color w:val="auto"/>
                <w:kern w:val="0"/>
                <w:szCs w:val="21"/>
              </w:rPr>
            </w:pPr>
            <w:r>
              <w:rPr>
                <w:rFonts w:hint="eastAsia" w:ascii="宋体" w:hAnsi="宋体" w:cs="宋体"/>
                <w:color w:val="auto"/>
                <w:kern w:val="0"/>
                <w:szCs w:val="21"/>
              </w:rPr>
              <w:t>提供</w:t>
            </w:r>
            <w:r>
              <w:rPr>
                <w:rFonts w:hint="eastAsia" w:ascii="宋体" w:hAnsi="宋体" w:cs="宋体"/>
                <w:bCs/>
                <w:color w:val="auto"/>
                <w:kern w:val="0"/>
                <w:szCs w:val="21"/>
              </w:rPr>
              <w:t>2020年或2021年</w:t>
            </w:r>
            <w:r>
              <w:rPr>
                <w:rFonts w:hint="eastAsia" w:ascii="宋体" w:hAnsi="宋体" w:cs="宋体"/>
                <w:color w:val="auto"/>
                <w:kern w:val="0"/>
                <w:szCs w:val="21"/>
              </w:rPr>
              <w:t>任意1个月的依法缴纳社会保险的证明（缴费凭证）复印件，如依法不需要缴纳社会保障资金的，应提供相应文件证明其依法不需要缴纳社会保障资金；</w:t>
            </w:r>
            <w:r>
              <w:rPr>
                <w:rFonts w:hint="eastAsia"/>
                <w:color w:val="auto"/>
              </w:rPr>
              <w:t>若已对接“粤省事”“粤商通”“粤信签”等系统的，可提供书面承诺声明函（格式自拟）</w:t>
            </w:r>
            <w:r>
              <w:rPr>
                <w:rFonts w:hint="eastAsia" w:ascii="宋体" w:hAnsi="宋体" w:cs="宋体"/>
                <w:color w:val="auto"/>
                <w:kern w:val="0"/>
                <w:szCs w:val="21"/>
              </w:rPr>
              <w:t>；</w:t>
            </w:r>
          </w:p>
        </w:tc>
        <w:tc>
          <w:tcPr>
            <w:tcW w:w="1526" w:type="dxa"/>
            <w:vAlign w:val="center"/>
            <w:tcPrChange w:id="30" w:author="陈陈" w:date="2021-03-24T15:51:00Z">
              <w:tcPr>
                <w:tcW w:w="1526" w:type="dxa"/>
                <w:gridSpan w:val="2"/>
                <w:vAlign w:val="center"/>
              </w:tcPr>
            </w:tcPrChange>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通过</w:t>
            </w:r>
          </w:p>
          <w:p>
            <w:pPr>
              <w:adjustRightInd w:val="0"/>
              <w:snapToGrid w:val="0"/>
              <w:rPr>
                <w:rFonts w:ascii="宋体" w:hAnsi="宋体" w:cs="Arial"/>
                <w:color w:val="auto"/>
                <w:szCs w:val="21"/>
              </w:rPr>
            </w:pPr>
            <w:r>
              <w:rPr>
                <w:rFonts w:hint="eastAsia" w:ascii="宋体" w:hAnsi="宋体" w:cs="Arial"/>
                <w:color w:val="auto"/>
                <w:szCs w:val="21"/>
              </w:rPr>
              <w:t>□</w:t>
            </w:r>
            <w:r>
              <w:rPr>
                <w:rFonts w:hint="eastAsia" w:ascii="宋体" w:hAnsi="宋体"/>
                <w:color w:val="auto"/>
                <w:szCs w:val="21"/>
              </w:rPr>
              <w:t>不通过</w:t>
            </w:r>
          </w:p>
        </w:tc>
        <w:tc>
          <w:tcPr>
            <w:tcW w:w="2047" w:type="dxa"/>
            <w:vAlign w:val="center"/>
            <w:tcPrChange w:id="31" w:author="陈陈" w:date="2021-03-24T15:51:00Z">
              <w:tcPr>
                <w:tcW w:w="2027" w:type="dxa"/>
                <w:gridSpan w:val="2"/>
                <w:vAlign w:val="center"/>
              </w:tcPr>
            </w:tcPrChange>
          </w:tcPr>
          <w:p>
            <w:pPr>
              <w:adjustRightInd w:val="0"/>
              <w:snapToGrid w:val="0"/>
              <w:jc w:val="center"/>
              <w:rPr>
                <w:rFonts w:ascii="宋体" w:hAnsi="宋体"/>
                <w:color w:val="auto"/>
                <w:szCs w:val="21"/>
              </w:rPr>
            </w:pPr>
            <w:r>
              <w:rPr>
                <w:rFonts w:hint="eastAsia" w:ascii="宋体" w:hAnsi="宋体"/>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Change w:id="32" w:author="陈陈" w:date="2021-03-24T15:51:00Z">
            <w:tblPrEx>
              <w:tblW w:w="896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blPrExChange>
        </w:tblPrEx>
        <w:trPr>
          <w:gridAfter w:val="1"/>
          <w:wAfter w:w="51" w:type="dxa"/>
          <w:jc w:val="center"/>
          <w:trPrChange w:id="32" w:author="陈陈" w:date="2021-03-24T15:51:00Z">
            <w:trPr>
              <w:gridBefore w:val="1"/>
              <w:gridAfter w:val="1"/>
              <w:wBefore w:w="42" w:type="dxa"/>
              <w:wAfter w:w="29" w:type="dxa"/>
              <w:jc w:val="center"/>
            </w:trPr>
          </w:trPrChange>
        </w:trPr>
        <w:tc>
          <w:tcPr>
            <w:tcW w:w="858" w:type="dxa"/>
            <w:vMerge w:val="continue"/>
            <w:tcPrChange w:id="33" w:author="陈陈" w:date="2021-03-24T15:51:00Z">
              <w:tcPr>
                <w:tcW w:w="858" w:type="dxa"/>
                <w:gridSpan w:val="2"/>
                <w:vMerge w:val="continue"/>
              </w:tcPr>
            </w:tcPrChange>
          </w:tcPr>
          <w:p>
            <w:pPr>
              <w:pStyle w:val="90"/>
              <w:numPr>
                <w:ilvl w:val="0"/>
                <w:numId w:val="22"/>
              </w:numPr>
              <w:adjustRightInd w:val="0"/>
              <w:snapToGrid w:val="0"/>
              <w:ind w:firstLineChars="0"/>
              <w:jc w:val="center"/>
              <w:rPr>
                <w:rFonts w:ascii="宋体" w:hAnsi="宋体"/>
                <w:bCs/>
                <w:color w:val="auto"/>
                <w:szCs w:val="21"/>
              </w:rPr>
            </w:pPr>
          </w:p>
        </w:tc>
        <w:tc>
          <w:tcPr>
            <w:tcW w:w="4485" w:type="dxa"/>
            <w:gridSpan w:val="2"/>
            <w:vAlign w:val="center"/>
            <w:tcPrChange w:id="34" w:author="陈陈" w:date="2021-03-24T15:51:00Z">
              <w:tcPr>
                <w:tcW w:w="4485" w:type="dxa"/>
                <w:gridSpan w:val="3"/>
                <w:vAlign w:val="center"/>
              </w:tcPr>
            </w:tcPrChange>
          </w:tcPr>
          <w:p>
            <w:pPr>
              <w:adjustRightInd w:val="0"/>
              <w:snapToGrid w:val="0"/>
              <w:rPr>
                <w:rFonts w:ascii="宋体" w:hAnsi="宋体" w:cs="宋体"/>
                <w:color w:val="auto"/>
                <w:kern w:val="0"/>
                <w:szCs w:val="21"/>
              </w:rPr>
            </w:pPr>
            <w:r>
              <w:rPr>
                <w:rFonts w:hint="eastAsia" w:ascii="宋体" w:hAnsi="宋体" w:cs="宋体"/>
                <w:color w:val="auto"/>
                <w:kern w:val="0"/>
                <w:szCs w:val="21"/>
              </w:rPr>
              <w:t>提供履行合同所必需的设备和专业技术能力的书面声明；</w:t>
            </w:r>
            <w:r>
              <w:rPr>
                <w:rFonts w:hint="eastAsia" w:ascii="宋体" w:hAnsi="宋体" w:cs="宋体"/>
                <w:bCs/>
                <w:color w:val="auto"/>
                <w:kern w:val="0"/>
                <w:szCs w:val="21"/>
              </w:rPr>
              <w:t>（详见《</w:t>
            </w:r>
            <w:r>
              <w:rPr>
                <w:rFonts w:hint="eastAsia" w:ascii="宋体" w:hAnsi="宋体"/>
                <w:bCs/>
                <w:color w:val="auto"/>
                <w:szCs w:val="21"/>
              </w:rPr>
              <w:t>投标人资格声明函》</w:t>
            </w:r>
            <w:r>
              <w:rPr>
                <w:rFonts w:hint="eastAsia" w:ascii="宋体" w:hAnsi="宋体" w:cs="宋体"/>
                <w:bCs/>
                <w:color w:val="auto"/>
                <w:kern w:val="0"/>
                <w:szCs w:val="21"/>
              </w:rPr>
              <w:t>）</w:t>
            </w:r>
          </w:p>
        </w:tc>
        <w:tc>
          <w:tcPr>
            <w:tcW w:w="1526" w:type="dxa"/>
            <w:vAlign w:val="center"/>
            <w:tcPrChange w:id="35" w:author="陈陈" w:date="2021-03-24T15:51:00Z">
              <w:tcPr>
                <w:tcW w:w="1526" w:type="dxa"/>
                <w:gridSpan w:val="2"/>
                <w:vAlign w:val="center"/>
              </w:tcPr>
            </w:tcPrChange>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通过</w:t>
            </w:r>
          </w:p>
          <w:p>
            <w:pPr>
              <w:adjustRightInd w:val="0"/>
              <w:snapToGrid w:val="0"/>
              <w:rPr>
                <w:rFonts w:ascii="宋体" w:hAnsi="宋体" w:cs="Arial"/>
                <w:color w:val="auto"/>
                <w:szCs w:val="21"/>
              </w:rPr>
            </w:pPr>
            <w:r>
              <w:rPr>
                <w:rFonts w:hint="eastAsia" w:ascii="宋体" w:hAnsi="宋体" w:cs="Arial"/>
                <w:color w:val="auto"/>
                <w:szCs w:val="21"/>
              </w:rPr>
              <w:t>□</w:t>
            </w:r>
            <w:r>
              <w:rPr>
                <w:rFonts w:hint="eastAsia" w:ascii="宋体" w:hAnsi="宋体"/>
                <w:color w:val="auto"/>
                <w:szCs w:val="21"/>
              </w:rPr>
              <w:t>不通过</w:t>
            </w:r>
          </w:p>
        </w:tc>
        <w:tc>
          <w:tcPr>
            <w:tcW w:w="2047" w:type="dxa"/>
            <w:vAlign w:val="center"/>
            <w:tcPrChange w:id="36" w:author="陈陈" w:date="2021-03-24T15:51:00Z">
              <w:tcPr>
                <w:tcW w:w="2027" w:type="dxa"/>
                <w:gridSpan w:val="2"/>
                <w:vAlign w:val="center"/>
              </w:tcPr>
            </w:tcPrChange>
          </w:tcPr>
          <w:p>
            <w:pPr>
              <w:adjustRightInd w:val="0"/>
              <w:snapToGrid w:val="0"/>
              <w:jc w:val="center"/>
              <w:rPr>
                <w:rFonts w:ascii="宋体" w:hAnsi="宋体"/>
                <w:color w:val="auto"/>
                <w:szCs w:val="21"/>
              </w:rPr>
            </w:pPr>
            <w:r>
              <w:rPr>
                <w:rFonts w:hint="eastAsia" w:ascii="宋体" w:hAnsi="宋体"/>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Change w:id="37" w:author="陈陈" w:date="2021-03-24T15:51:00Z">
            <w:tblPrEx>
              <w:tblW w:w="896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blPrExChange>
        </w:tblPrEx>
        <w:trPr>
          <w:gridAfter w:val="1"/>
          <w:wAfter w:w="51" w:type="dxa"/>
          <w:jc w:val="center"/>
          <w:trPrChange w:id="37" w:author="陈陈" w:date="2021-03-24T15:51:00Z">
            <w:trPr>
              <w:gridBefore w:val="1"/>
              <w:gridAfter w:val="1"/>
              <w:wBefore w:w="42" w:type="dxa"/>
              <w:wAfter w:w="29" w:type="dxa"/>
              <w:jc w:val="center"/>
            </w:trPr>
          </w:trPrChange>
        </w:trPr>
        <w:tc>
          <w:tcPr>
            <w:tcW w:w="858" w:type="dxa"/>
            <w:vMerge w:val="continue"/>
            <w:tcPrChange w:id="38" w:author="陈陈" w:date="2021-03-24T15:51:00Z">
              <w:tcPr>
                <w:tcW w:w="858" w:type="dxa"/>
                <w:gridSpan w:val="2"/>
                <w:vMerge w:val="continue"/>
              </w:tcPr>
            </w:tcPrChange>
          </w:tcPr>
          <w:p>
            <w:pPr>
              <w:pStyle w:val="90"/>
              <w:numPr>
                <w:ilvl w:val="0"/>
                <w:numId w:val="22"/>
              </w:numPr>
              <w:adjustRightInd w:val="0"/>
              <w:snapToGrid w:val="0"/>
              <w:ind w:firstLineChars="0"/>
              <w:jc w:val="center"/>
              <w:rPr>
                <w:rFonts w:ascii="宋体" w:hAnsi="宋体"/>
                <w:bCs/>
                <w:color w:val="auto"/>
                <w:szCs w:val="21"/>
              </w:rPr>
            </w:pPr>
          </w:p>
        </w:tc>
        <w:tc>
          <w:tcPr>
            <w:tcW w:w="4485" w:type="dxa"/>
            <w:gridSpan w:val="2"/>
            <w:vAlign w:val="center"/>
            <w:tcPrChange w:id="39" w:author="陈陈" w:date="2021-03-24T15:51:00Z">
              <w:tcPr>
                <w:tcW w:w="4485" w:type="dxa"/>
                <w:gridSpan w:val="3"/>
                <w:vAlign w:val="center"/>
              </w:tcPr>
            </w:tcPrChange>
          </w:tcPr>
          <w:p>
            <w:pPr>
              <w:adjustRightInd w:val="0"/>
              <w:snapToGrid w:val="0"/>
              <w:rPr>
                <w:rFonts w:ascii="宋体" w:hAnsi="宋体" w:cs="宋体"/>
                <w:color w:val="auto"/>
                <w:kern w:val="0"/>
                <w:szCs w:val="21"/>
              </w:rPr>
            </w:pPr>
            <w:r>
              <w:rPr>
                <w:rFonts w:hint="eastAsia" w:ascii="宋体" w:hAnsi="宋体" w:cs="宋体"/>
                <w:color w:val="auto"/>
                <w:kern w:val="0"/>
                <w:szCs w:val="21"/>
              </w:rPr>
              <w:t>提供参加采购活动前3年内在经营活动中没有重大违法记录的书面声明。</w:t>
            </w:r>
            <w:r>
              <w:rPr>
                <w:rFonts w:hint="eastAsia" w:ascii="宋体" w:hAnsi="宋体" w:cs="宋体"/>
                <w:bCs/>
                <w:color w:val="auto"/>
                <w:kern w:val="0"/>
                <w:szCs w:val="21"/>
              </w:rPr>
              <w:t>（详见《</w:t>
            </w:r>
            <w:r>
              <w:rPr>
                <w:rFonts w:hint="eastAsia" w:ascii="宋体" w:hAnsi="宋体"/>
                <w:bCs/>
                <w:color w:val="auto"/>
                <w:szCs w:val="21"/>
              </w:rPr>
              <w:t>投标人资格声明函》</w:t>
            </w:r>
            <w:r>
              <w:rPr>
                <w:rFonts w:hint="eastAsia" w:ascii="宋体" w:hAnsi="宋体" w:cs="宋体"/>
                <w:bCs/>
                <w:color w:val="auto"/>
                <w:kern w:val="0"/>
                <w:szCs w:val="21"/>
              </w:rPr>
              <w:t>）</w:t>
            </w:r>
          </w:p>
        </w:tc>
        <w:tc>
          <w:tcPr>
            <w:tcW w:w="1526" w:type="dxa"/>
            <w:vAlign w:val="center"/>
            <w:tcPrChange w:id="40" w:author="陈陈" w:date="2021-03-24T15:51:00Z">
              <w:tcPr>
                <w:tcW w:w="1526" w:type="dxa"/>
                <w:gridSpan w:val="2"/>
                <w:vAlign w:val="center"/>
              </w:tcPr>
            </w:tcPrChange>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通过</w:t>
            </w:r>
          </w:p>
          <w:p>
            <w:pPr>
              <w:adjustRightInd w:val="0"/>
              <w:snapToGrid w:val="0"/>
              <w:rPr>
                <w:rFonts w:ascii="宋体" w:hAnsi="宋体" w:cs="Arial"/>
                <w:color w:val="auto"/>
                <w:szCs w:val="21"/>
              </w:rPr>
            </w:pPr>
            <w:r>
              <w:rPr>
                <w:rFonts w:hint="eastAsia" w:ascii="宋体" w:hAnsi="宋体" w:cs="Arial"/>
                <w:color w:val="auto"/>
                <w:szCs w:val="21"/>
              </w:rPr>
              <w:t>□</w:t>
            </w:r>
            <w:r>
              <w:rPr>
                <w:rFonts w:hint="eastAsia" w:ascii="宋体" w:hAnsi="宋体"/>
                <w:color w:val="auto"/>
                <w:szCs w:val="21"/>
              </w:rPr>
              <w:t>不通过</w:t>
            </w:r>
          </w:p>
        </w:tc>
        <w:tc>
          <w:tcPr>
            <w:tcW w:w="2047" w:type="dxa"/>
            <w:vAlign w:val="center"/>
            <w:tcPrChange w:id="41" w:author="陈陈" w:date="2021-03-24T15:51:00Z">
              <w:tcPr>
                <w:tcW w:w="2027" w:type="dxa"/>
                <w:gridSpan w:val="2"/>
                <w:vAlign w:val="center"/>
              </w:tcPr>
            </w:tcPrChange>
          </w:tcPr>
          <w:p>
            <w:pPr>
              <w:adjustRightInd w:val="0"/>
              <w:snapToGrid w:val="0"/>
              <w:jc w:val="center"/>
              <w:rPr>
                <w:rFonts w:ascii="宋体" w:hAnsi="宋体"/>
                <w:color w:val="auto"/>
                <w:szCs w:val="21"/>
              </w:rPr>
            </w:pPr>
            <w:r>
              <w:rPr>
                <w:rFonts w:hint="eastAsia" w:ascii="宋体" w:hAnsi="宋体"/>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Change w:id="42" w:author="陈陈" w:date="2021-03-24T15:51:00Z">
            <w:tblPrEx>
              <w:tblW w:w="896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blPrExChange>
        </w:tblPrEx>
        <w:trPr>
          <w:gridAfter w:val="1"/>
          <w:wAfter w:w="51" w:type="dxa"/>
          <w:jc w:val="center"/>
          <w:trPrChange w:id="42" w:author="陈陈" w:date="2021-03-24T15:51:00Z">
            <w:trPr>
              <w:gridBefore w:val="1"/>
              <w:gridAfter w:val="1"/>
              <w:wBefore w:w="42" w:type="dxa"/>
              <w:wAfter w:w="29" w:type="dxa"/>
              <w:jc w:val="center"/>
            </w:trPr>
          </w:trPrChange>
        </w:trPr>
        <w:tc>
          <w:tcPr>
            <w:tcW w:w="858" w:type="dxa"/>
            <w:tcPrChange w:id="43" w:author="陈陈" w:date="2021-03-24T15:51:00Z">
              <w:tcPr>
                <w:tcW w:w="858" w:type="dxa"/>
                <w:gridSpan w:val="2"/>
              </w:tcPr>
            </w:tcPrChange>
          </w:tcPr>
          <w:p>
            <w:pPr>
              <w:pStyle w:val="90"/>
              <w:numPr>
                <w:ilvl w:val="0"/>
                <w:numId w:val="22"/>
              </w:numPr>
              <w:adjustRightInd w:val="0"/>
              <w:snapToGrid w:val="0"/>
              <w:ind w:firstLineChars="0"/>
              <w:jc w:val="center"/>
              <w:rPr>
                <w:rFonts w:ascii="宋体" w:hAnsi="宋体"/>
                <w:bCs/>
                <w:color w:val="auto"/>
                <w:szCs w:val="21"/>
              </w:rPr>
            </w:pPr>
          </w:p>
        </w:tc>
        <w:tc>
          <w:tcPr>
            <w:tcW w:w="4485" w:type="dxa"/>
            <w:gridSpan w:val="2"/>
            <w:vAlign w:val="center"/>
            <w:tcPrChange w:id="44" w:author="陈陈" w:date="2021-03-24T15:51:00Z">
              <w:tcPr>
                <w:tcW w:w="4485" w:type="dxa"/>
                <w:gridSpan w:val="3"/>
                <w:vAlign w:val="center"/>
              </w:tcPr>
            </w:tcPrChange>
          </w:tcPr>
          <w:p>
            <w:pPr>
              <w:pStyle w:val="90"/>
              <w:adjustRightInd w:val="0"/>
              <w:snapToGrid w:val="0"/>
              <w:ind w:firstLine="0" w:firstLineChars="0"/>
              <w:rPr>
                <w:rFonts w:ascii="宋体" w:hAnsi="宋体" w:cs="宋体"/>
                <w:color w:val="auto"/>
                <w:kern w:val="0"/>
                <w:szCs w:val="21"/>
              </w:rPr>
            </w:pPr>
            <w:r>
              <w:rPr>
                <w:rFonts w:ascii="宋体" w:hAnsi="宋体" w:cs="宋体"/>
                <w:color w:val="auto"/>
                <w:kern w:val="0"/>
                <w:szCs w:val="21"/>
              </w:rPr>
              <w:t>投标人必须具备有效的</w:t>
            </w:r>
            <w:r>
              <w:rPr>
                <w:rFonts w:hint="eastAsia" w:ascii="宋体" w:hAnsi="宋体" w:cs="宋体"/>
                <w:color w:val="auto"/>
                <w:kern w:val="0"/>
                <w:szCs w:val="21"/>
              </w:rPr>
              <w:t>水利水电工程施工总承包三级或以上资质</w:t>
            </w:r>
            <w:r>
              <w:rPr>
                <w:rFonts w:ascii="宋体" w:hAnsi="宋体" w:cs="宋体"/>
                <w:color w:val="auto"/>
                <w:kern w:val="0"/>
                <w:szCs w:val="21"/>
              </w:rPr>
              <w:t>及安全生产许可证</w:t>
            </w:r>
            <w:r>
              <w:rPr>
                <w:rFonts w:hint="eastAsia" w:ascii="宋体" w:hAnsi="宋体" w:cs="宋体"/>
                <w:color w:val="auto"/>
                <w:kern w:val="0"/>
                <w:szCs w:val="21"/>
              </w:rPr>
              <w:t>，</w:t>
            </w:r>
            <w:r>
              <w:rPr>
                <w:rFonts w:ascii="宋体" w:hAnsi="宋体" w:cs="宋体"/>
                <w:color w:val="auto"/>
                <w:kern w:val="0"/>
                <w:szCs w:val="21"/>
              </w:rPr>
              <w:t>提供复印件</w:t>
            </w:r>
            <w:r>
              <w:rPr>
                <w:rFonts w:hint="eastAsia" w:ascii="宋体" w:hAnsi="宋体" w:cs="宋体"/>
                <w:bCs/>
                <w:color w:val="auto"/>
                <w:kern w:val="0"/>
                <w:szCs w:val="21"/>
              </w:rPr>
              <w:t>；</w:t>
            </w:r>
          </w:p>
        </w:tc>
        <w:tc>
          <w:tcPr>
            <w:tcW w:w="1526" w:type="dxa"/>
            <w:vAlign w:val="center"/>
            <w:tcPrChange w:id="45" w:author="陈陈" w:date="2021-03-24T15:51:00Z">
              <w:tcPr>
                <w:tcW w:w="1526" w:type="dxa"/>
                <w:gridSpan w:val="2"/>
                <w:vAlign w:val="center"/>
              </w:tcPr>
            </w:tcPrChange>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通过</w:t>
            </w:r>
          </w:p>
          <w:p>
            <w:pPr>
              <w:adjustRightInd w:val="0"/>
              <w:snapToGrid w:val="0"/>
              <w:rPr>
                <w:rFonts w:ascii="宋体" w:hAnsi="宋体" w:cs="Arial"/>
                <w:color w:val="auto"/>
                <w:szCs w:val="21"/>
              </w:rPr>
            </w:pPr>
            <w:r>
              <w:rPr>
                <w:rFonts w:hint="eastAsia" w:ascii="宋体" w:hAnsi="宋体" w:cs="Arial"/>
                <w:color w:val="auto"/>
                <w:szCs w:val="21"/>
              </w:rPr>
              <w:t>□</w:t>
            </w:r>
            <w:r>
              <w:rPr>
                <w:rFonts w:hint="eastAsia" w:ascii="宋体" w:hAnsi="宋体"/>
                <w:color w:val="auto"/>
                <w:szCs w:val="21"/>
              </w:rPr>
              <w:t>不通过</w:t>
            </w:r>
          </w:p>
        </w:tc>
        <w:tc>
          <w:tcPr>
            <w:tcW w:w="2047" w:type="dxa"/>
            <w:vAlign w:val="center"/>
            <w:tcPrChange w:id="46" w:author="陈陈" w:date="2021-03-24T15:51:00Z">
              <w:tcPr>
                <w:tcW w:w="2027" w:type="dxa"/>
                <w:gridSpan w:val="2"/>
                <w:vAlign w:val="center"/>
              </w:tcPr>
            </w:tcPrChange>
          </w:tcPr>
          <w:p>
            <w:pPr>
              <w:adjustRightInd w:val="0"/>
              <w:snapToGrid w:val="0"/>
              <w:jc w:val="center"/>
              <w:rPr>
                <w:rFonts w:ascii="宋体" w:hAnsi="宋体"/>
                <w:color w:val="auto"/>
                <w:szCs w:val="21"/>
              </w:rPr>
            </w:pPr>
            <w:r>
              <w:rPr>
                <w:rFonts w:hint="eastAsia" w:ascii="宋体" w:hAnsi="宋体"/>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gridAfter w:val="1"/>
          <w:wAfter w:w="51" w:type="dxa"/>
          <w:jc w:val="center"/>
        </w:trPr>
        <w:tc>
          <w:tcPr>
            <w:tcW w:w="858" w:type="dxa"/>
          </w:tcPr>
          <w:p>
            <w:pPr>
              <w:pStyle w:val="90"/>
              <w:numPr>
                <w:ilvl w:val="0"/>
                <w:numId w:val="22"/>
              </w:numPr>
              <w:adjustRightInd w:val="0"/>
              <w:snapToGrid w:val="0"/>
              <w:ind w:firstLineChars="0"/>
              <w:jc w:val="center"/>
              <w:rPr>
                <w:rFonts w:ascii="宋体" w:hAnsi="宋体"/>
                <w:bCs/>
                <w:color w:val="auto"/>
                <w:szCs w:val="21"/>
              </w:rPr>
            </w:pPr>
          </w:p>
        </w:tc>
        <w:tc>
          <w:tcPr>
            <w:tcW w:w="4485" w:type="dxa"/>
            <w:gridSpan w:val="2"/>
            <w:vAlign w:val="center"/>
          </w:tcPr>
          <w:p>
            <w:pPr>
              <w:adjustRightInd w:val="0"/>
              <w:snapToGrid w:val="0"/>
              <w:rPr>
                <w:rFonts w:ascii="宋体" w:hAnsi="宋体"/>
                <w:bCs/>
                <w:color w:val="auto"/>
                <w:szCs w:val="21"/>
              </w:rPr>
            </w:pPr>
            <w:r>
              <w:rPr>
                <w:rFonts w:hint="eastAsia" w:ascii="宋体" w:hAnsi="宋体" w:cs="宋体"/>
                <w:bCs/>
                <w:color w:val="auto"/>
                <w:kern w:val="0"/>
                <w:szCs w:val="21"/>
              </w:rPr>
              <w:t>为采购项目提供整体设计、规范编制或者项目管理、监理、检测等服务的供应商，不得再参加同一采购项目的其他采购活动的书面声明（详见《</w:t>
            </w:r>
            <w:r>
              <w:rPr>
                <w:rFonts w:hint="eastAsia" w:ascii="宋体" w:hAnsi="宋体"/>
                <w:bCs/>
                <w:color w:val="auto"/>
                <w:szCs w:val="21"/>
              </w:rPr>
              <w:t>投标人资格声明函》</w:t>
            </w:r>
            <w:r>
              <w:rPr>
                <w:rFonts w:hint="eastAsia" w:ascii="宋体" w:hAnsi="宋体" w:cs="宋体"/>
                <w:bCs/>
                <w:color w:val="auto"/>
                <w:kern w:val="0"/>
                <w:szCs w:val="21"/>
              </w:rPr>
              <w:t>）</w:t>
            </w:r>
          </w:p>
        </w:tc>
        <w:tc>
          <w:tcPr>
            <w:tcW w:w="1526" w:type="dxa"/>
            <w:vAlign w:val="center"/>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通过</w:t>
            </w:r>
          </w:p>
          <w:p>
            <w:pPr>
              <w:adjustRightInd w:val="0"/>
              <w:snapToGrid w:val="0"/>
              <w:rPr>
                <w:rFonts w:ascii="宋体" w:hAnsi="宋体" w:cs="Arial"/>
                <w:color w:val="auto"/>
                <w:szCs w:val="21"/>
              </w:rPr>
            </w:pPr>
            <w:r>
              <w:rPr>
                <w:rFonts w:hint="eastAsia" w:ascii="宋体" w:hAnsi="宋体" w:cs="Arial"/>
                <w:color w:val="auto"/>
                <w:szCs w:val="21"/>
              </w:rPr>
              <w:t>□</w:t>
            </w:r>
            <w:r>
              <w:rPr>
                <w:rFonts w:hint="eastAsia" w:ascii="宋体" w:hAnsi="宋体"/>
                <w:color w:val="auto"/>
                <w:szCs w:val="21"/>
              </w:rPr>
              <w:t>不通过</w:t>
            </w:r>
          </w:p>
        </w:tc>
        <w:tc>
          <w:tcPr>
            <w:tcW w:w="2047" w:type="dxa"/>
            <w:vAlign w:val="center"/>
          </w:tcPr>
          <w:p>
            <w:pPr>
              <w:adjustRightInd w:val="0"/>
              <w:snapToGrid w:val="0"/>
              <w:jc w:val="center"/>
              <w:rPr>
                <w:rFonts w:ascii="宋体" w:hAnsi="宋体"/>
                <w:color w:val="auto"/>
                <w:szCs w:val="21"/>
              </w:rPr>
            </w:pPr>
            <w:r>
              <w:rPr>
                <w:rFonts w:hint="eastAsia" w:ascii="宋体" w:hAnsi="宋体"/>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gridAfter w:val="1"/>
          <w:wAfter w:w="51" w:type="dxa"/>
          <w:jc w:val="center"/>
        </w:trPr>
        <w:tc>
          <w:tcPr>
            <w:tcW w:w="858" w:type="dxa"/>
          </w:tcPr>
          <w:p>
            <w:pPr>
              <w:pStyle w:val="90"/>
              <w:numPr>
                <w:ilvl w:val="0"/>
                <w:numId w:val="22"/>
              </w:numPr>
              <w:adjustRightInd w:val="0"/>
              <w:snapToGrid w:val="0"/>
              <w:ind w:firstLineChars="0"/>
              <w:jc w:val="center"/>
              <w:rPr>
                <w:rFonts w:ascii="宋体" w:hAnsi="宋体"/>
                <w:bCs/>
                <w:color w:val="auto"/>
                <w:szCs w:val="21"/>
              </w:rPr>
            </w:pPr>
          </w:p>
        </w:tc>
        <w:tc>
          <w:tcPr>
            <w:tcW w:w="4485" w:type="dxa"/>
            <w:gridSpan w:val="2"/>
            <w:vAlign w:val="center"/>
          </w:tcPr>
          <w:p>
            <w:pPr>
              <w:adjustRightInd w:val="0"/>
              <w:snapToGrid w:val="0"/>
              <w:rPr>
                <w:rFonts w:ascii="宋体" w:hAnsi="宋体" w:cs="宋体"/>
                <w:bCs/>
                <w:color w:val="auto"/>
                <w:kern w:val="0"/>
                <w:szCs w:val="21"/>
              </w:rPr>
            </w:pPr>
            <w:r>
              <w:rPr>
                <w:rFonts w:hint="eastAsia" w:ascii="宋体" w:hAnsi="宋体" w:cs="宋体"/>
                <w:bCs/>
                <w:color w:val="auto"/>
                <w:kern w:val="0"/>
                <w:szCs w:val="21"/>
              </w:rPr>
              <w:t>单位负责人为同一人或者存在直接控股、管理关系的不同供应商，不得参加同一合同项下的政府采购活动的书面声明。（详见《</w:t>
            </w:r>
            <w:r>
              <w:rPr>
                <w:rFonts w:hint="eastAsia" w:ascii="宋体" w:hAnsi="宋体"/>
                <w:bCs/>
                <w:color w:val="auto"/>
                <w:szCs w:val="21"/>
              </w:rPr>
              <w:t>投标人资格声明函》）</w:t>
            </w:r>
          </w:p>
        </w:tc>
        <w:tc>
          <w:tcPr>
            <w:tcW w:w="1526" w:type="dxa"/>
            <w:vAlign w:val="center"/>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通过</w:t>
            </w:r>
          </w:p>
          <w:p>
            <w:pPr>
              <w:adjustRightInd w:val="0"/>
              <w:snapToGrid w:val="0"/>
              <w:rPr>
                <w:rFonts w:ascii="宋体" w:hAnsi="宋体" w:cs="Arial"/>
                <w:color w:val="auto"/>
                <w:szCs w:val="21"/>
              </w:rPr>
            </w:pPr>
            <w:r>
              <w:rPr>
                <w:rFonts w:hint="eastAsia" w:ascii="宋体" w:hAnsi="宋体" w:cs="Arial"/>
                <w:color w:val="auto"/>
                <w:szCs w:val="21"/>
              </w:rPr>
              <w:t>□</w:t>
            </w:r>
            <w:r>
              <w:rPr>
                <w:rFonts w:hint="eastAsia" w:ascii="宋体" w:hAnsi="宋体"/>
                <w:color w:val="auto"/>
                <w:szCs w:val="21"/>
              </w:rPr>
              <w:t>不通过</w:t>
            </w:r>
          </w:p>
        </w:tc>
        <w:tc>
          <w:tcPr>
            <w:tcW w:w="2047" w:type="dxa"/>
            <w:vAlign w:val="center"/>
          </w:tcPr>
          <w:p>
            <w:pPr>
              <w:adjustRightInd w:val="0"/>
              <w:snapToGrid w:val="0"/>
              <w:jc w:val="center"/>
              <w:rPr>
                <w:rFonts w:ascii="宋体" w:hAnsi="宋体"/>
                <w:color w:val="auto"/>
                <w:szCs w:val="21"/>
              </w:rPr>
            </w:pPr>
            <w:r>
              <w:rPr>
                <w:rFonts w:hint="eastAsia" w:ascii="宋体" w:hAnsi="宋体"/>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gridAfter w:val="1"/>
          <w:wAfter w:w="51" w:type="dxa"/>
          <w:jc w:val="center"/>
        </w:trPr>
        <w:tc>
          <w:tcPr>
            <w:tcW w:w="858" w:type="dxa"/>
          </w:tcPr>
          <w:p>
            <w:pPr>
              <w:pStyle w:val="90"/>
              <w:numPr>
                <w:ilvl w:val="0"/>
                <w:numId w:val="22"/>
              </w:numPr>
              <w:adjustRightInd w:val="0"/>
              <w:snapToGrid w:val="0"/>
              <w:ind w:firstLineChars="0"/>
              <w:rPr>
                <w:rFonts w:ascii="宋体" w:hAnsi="宋体"/>
                <w:bCs/>
                <w:color w:val="auto"/>
                <w:szCs w:val="21"/>
              </w:rPr>
            </w:pPr>
          </w:p>
        </w:tc>
        <w:tc>
          <w:tcPr>
            <w:tcW w:w="4485" w:type="dxa"/>
            <w:gridSpan w:val="2"/>
            <w:vAlign w:val="center"/>
          </w:tcPr>
          <w:p>
            <w:pPr>
              <w:adjustRightInd w:val="0"/>
              <w:snapToGrid w:val="0"/>
              <w:rPr>
                <w:rFonts w:ascii="宋体" w:hAnsi="宋体"/>
                <w:bCs/>
                <w:color w:val="auto"/>
                <w:szCs w:val="21"/>
              </w:rPr>
            </w:pPr>
            <w:r>
              <w:rPr>
                <w:rFonts w:hint="eastAsia" w:ascii="宋体" w:hAnsi="宋体"/>
                <w:bCs/>
                <w:color w:val="auto"/>
                <w:szCs w:val="21"/>
              </w:rPr>
              <w:t>投标人资格声明函已提交并符合招标文件要求（签署、盖章）的；</w:t>
            </w:r>
          </w:p>
        </w:tc>
        <w:tc>
          <w:tcPr>
            <w:tcW w:w="1526" w:type="dxa"/>
            <w:vAlign w:val="center"/>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通过</w:t>
            </w:r>
          </w:p>
          <w:p>
            <w:pPr>
              <w:adjustRightInd w:val="0"/>
              <w:snapToGrid w:val="0"/>
              <w:rPr>
                <w:rFonts w:ascii="宋体" w:hAnsi="宋体" w:cs="Arial"/>
                <w:color w:val="auto"/>
                <w:szCs w:val="21"/>
              </w:rPr>
            </w:pPr>
            <w:r>
              <w:rPr>
                <w:rFonts w:hint="eastAsia" w:ascii="宋体" w:hAnsi="宋体" w:cs="Arial"/>
                <w:color w:val="auto"/>
                <w:szCs w:val="21"/>
              </w:rPr>
              <w:t>□</w:t>
            </w:r>
            <w:r>
              <w:rPr>
                <w:rFonts w:hint="eastAsia" w:ascii="宋体" w:hAnsi="宋体"/>
                <w:color w:val="auto"/>
                <w:szCs w:val="21"/>
              </w:rPr>
              <w:t>不通过</w:t>
            </w:r>
          </w:p>
        </w:tc>
        <w:tc>
          <w:tcPr>
            <w:tcW w:w="2047" w:type="dxa"/>
            <w:vAlign w:val="center"/>
          </w:tcPr>
          <w:p>
            <w:pPr>
              <w:adjustRightInd w:val="0"/>
              <w:snapToGrid w:val="0"/>
              <w:jc w:val="center"/>
              <w:rPr>
                <w:rFonts w:ascii="宋体" w:hAnsi="宋体"/>
                <w:color w:val="auto"/>
                <w:szCs w:val="21"/>
              </w:rPr>
            </w:pPr>
            <w:r>
              <w:rPr>
                <w:rFonts w:hint="eastAsia" w:ascii="宋体" w:hAnsi="宋体"/>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gridAfter w:val="1"/>
          <w:wAfter w:w="51" w:type="dxa"/>
          <w:jc w:val="center"/>
        </w:trPr>
        <w:tc>
          <w:tcPr>
            <w:tcW w:w="858" w:type="dxa"/>
          </w:tcPr>
          <w:p>
            <w:pPr>
              <w:pStyle w:val="90"/>
              <w:numPr>
                <w:ilvl w:val="0"/>
                <w:numId w:val="22"/>
              </w:numPr>
              <w:adjustRightInd w:val="0"/>
              <w:snapToGrid w:val="0"/>
              <w:ind w:firstLineChars="0"/>
              <w:rPr>
                <w:rFonts w:ascii="宋体" w:hAnsi="宋体"/>
                <w:bCs/>
                <w:color w:val="auto"/>
                <w:szCs w:val="21"/>
              </w:rPr>
            </w:pPr>
          </w:p>
        </w:tc>
        <w:tc>
          <w:tcPr>
            <w:tcW w:w="4485" w:type="dxa"/>
            <w:gridSpan w:val="2"/>
            <w:vAlign w:val="center"/>
          </w:tcPr>
          <w:p>
            <w:pPr>
              <w:tabs>
                <w:tab w:val="left" w:pos="612"/>
              </w:tabs>
              <w:wordWrap w:val="0"/>
              <w:adjustRightInd w:val="0"/>
              <w:snapToGrid w:val="0"/>
              <w:rPr>
                <w:rFonts w:ascii="宋体" w:hAnsi="宋体"/>
                <w:color w:val="auto"/>
                <w:szCs w:val="21"/>
              </w:rPr>
            </w:pPr>
            <w:r>
              <w:rPr>
                <w:rFonts w:hint="eastAsia" w:asciiTheme="majorEastAsia" w:hAnsiTheme="majorEastAsia" w:eastAsiaTheme="majorEastAsia"/>
                <w:color w:val="auto"/>
                <w:szCs w:val="21"/>
              </w:rPr>
              <w:t>本项目</w:t>
            </w:r>
            <w:r>
              <w:rPr>
                <w:rFonts w:asciiTheme="majorEastAsia" w:hAnsiTheme="majorEastAsia" w:eastAsiaTheme="majorEastAsia"/>
                <w:color w:val="auto"/>
                <w:szCs w:val="21"/>
              </w:rPr>
              <w:t>投标人未被列入“信用中国”网站(</w:t>
            </w:r>
            <w:r>
              <w:rPr>
                <w:color w:val="auto"/>
              </w:rPr>
              <w:fldChar w:fldCharType="begin"/>
            </w:r>
            <w:r>
              <w:rPr>
                <w:color w:val="auto"/>
              </w:rPr>
              <w:instrText xml:space="preserve"> HYPERLINK "http://www.creditchina.gov.cn" </w:instrText>
            </w:r>
            <w:r>
              <w:rPr>
                <w:color w:val="auto"/>
              </w:rPr>
              <w:fldChar w:fldCharType="separate"/>
            </w:r>
            <w:r>
              <w:rPr>
                <w:rFonts w:asciiTheme="majorEastAsia" w:hAnsiTheme="majorEastAsia" w:eastAsiaTheme="majorEastAsia"/>
                <w:color w:val="auto"/>
              </w:rPr>
              <w:t>www.creditchina.gov.cn</w:t>
            </w:r>
            <w:r>
              <w:rPr>
                <w:rFonts w:asciiTheme="majorEastAsia" w:hAnsiTheme="majorEastAsia" w:eastAsiaTheme="majorEastAsia"/>
                <w:color w:val="auto"/>
              </w:rPr>
              <w:fldChar w:fldCharType="end"/>
            </w:r>
            <w:r>
              <w:rPr>
                <w:rFonts w:asciiTheme="majorEastAsia" w:hAnsiTheme="majorEastAsia" w:eastAsiaTheme="majorEastAsia"/>
                <w:color w:val="auto"/>
                <w:szCs w:val="21"/>
              </w:rPr>
              <w:t>)</w:t>
            </w:r>
            <w:r>
              <w:rPr>
                <w:rFonts w:hint="eastAsia" w:asciiTheme="majorEastAsia" w:hAnsiTheme="majorEastAsia" w:eastAsiaTheme="majorEastAsia"/>
                <w:color w:val="auto"/>
                <w:szCs w:val="21"/>
              </w:rPr>
              <w:t>以下情形之一：①</w:t>
            </w:r>
            <w:r>
              <w:rPr>
                <w:rFonts w:asciiTheme="majorEastAsia" w:hAnsiTheme="majorEastAsia" w:eastAsiaTheme="majorEastAsia"/>
                <w:color w:val="auto"/>
                <w:szCs w:val="21"/>
              </w:rPr>
              <w:t>记录失信被执行人</w:t>
            </w:r>
            <w:r>
              <w:rPr>
                <w:rFonts w:hint="eastAsia" w:asciiTheme="majorEastAsia" w:hAnsiTheme="majorEastAsia" w:eastAsiaTheme="majorEastAsia"/>
                <w:color w:val="auto"/>
                <w:szCs w:val="21"/>
              </w:rPr>
              <w:t>；②</w:t>
            </w:r>
            <w:r>
              <w:rPr>
                <w:rFonts w:asciiTheme="majorEastAsia" w:hAnsiTheme="majorEastAsia" w:eastAsiaTheme="majorEastAsia"/>
                <w:color w:val="auto"/>
                <w:szCs w:val="21"/>
              </w:rPr>
              <w:t>重大税收违法案件当事人名单</w:t>
            </w:r>
            <w:r>
              <w:rPr>
                <w:rFonts w:hint="eastAsia" w:asciiTheme="majorEastAsia" w:hAnsiTheme="majorEastAsia" w:eastAsiaTheme="majorEastAsia"/>
                <w:color w:val="auto"/>
                <w:szCs w:val="21"/>
              </w:rPr>
              <w:t>；③</w:t>
            </w:r>
            <w:r>
              <w:rPr>
                <w:rFonts w:asciiTheme="majorEastAsia" w:hAnsiTheme="majorEastAsia" w:eastAsiaTheme="majorEastAsia"/>
                <w:color w:val="auto"/>
                <w:szCs w:val="21"/>
              </w:rPr>
              <w:t>政府采购严重违法失信行为</w:t>
            </w:r>
            <w:r>
              <w:rPr>
                <w:rFonts w:hint="eastAsia" w:asciiTheme="majorEastAsia" w:hAnsiTheme="majorEastAsia" w:eastAsiaTheme="majorEastAsia"/>
                <w:color w:val="auto"/>
                <w:szCs w:val="21"/>
              </w:rPr>
              <w:t>。同时，在</w:t>
            </w:r>
            <w:r>
              <w:rPr>
                <w:rFonts w:asciiTheme="majorEastAsia" w:hAnsiTheme="majorEastAsia" w:eastAsiaTheme="majorEastAsia"/>
                <w:color w:val="auto"/>
                <w:szCs w:val="21"/>
              </w:rPr>
              <w:t>中国政府采购网(</w:t>
            </w:r>
            <w:r>
              <w:rPr>
                <w:color w:val="auto"/>
              </w:rPr>
              <w:fldChar w:fldCharType="begin"/>
            </w:r>
            <w:r>
              <w:rPr>
                <w:color w:val="auto"/>
              </w:rPr>
              <w:instrText xml:space="preserve"> HYPERLINK "http://www.ccgp.gov.cn" </w:instrText>
            </w:r>
            <w:r>
              <w:rPr>
                <w:color w:val="auto"/>
              </w:rPr>
              <w:fldChar w:fldCharType="separate"/>
            </w:r>
            <w:r>
              <w:rPr>
                <w:rFonts w:asciiTheme="majorEastAsia" w:hAnsiTheme="majorEastAsia" w:eastAsiaTheme="majorEastAsia"/>
                <w:color w:val="auto"/>
              </w:rPr>
              <w:t>www.ccgp.gov.cn</w:t>
            </w:r>
            <w:r>
              <w:rPr>
                <w:rFonts w:asciiTheme="majorEastAsia" w:hAnsiTheme="majorEastAsia" w:eastAsiaTheme="majorEastAsia"/>
                <w:color w:val="auto"/>
              </w:rPr>
              <w:fldChar w:fldCharType="end"/>
            </w:r>
            <w:r>
              <w:rPr>
                <w:rFonts w:asciiTheme="majorEastAsia" w:hAnsiTheme="majorEastAsia" w:eastAsiaTheme="majorEastAsia"/>
                <w:color w:val="auto"/>
                <w:szCs w:val="21"/>
              </w:rPr>
              <w:t>)“政府采购严重违法失信行为信息记录”中</w:t>
            </w:r>
            <w:r>
              <w:rPr>
                <w:rFonts w:hint="eastAsia" w:asciiTheme="majorEastAsia" w:hAnsiTheme="majorEastAsia" w:eastAsiaTheme="majorEastAsia"/>
                <w:color w:val="auto"/>
                <w:szCs w:val="21"/>
              </w:rPr>
              <w:t>查询没有处于</w:t>
            </w:r>
            <w:r>
              <w:rPr>
                <w:rFonts w:asciiTheme="majorEastAsia" w:hAnsiTheme="majorEastAsia" w:eastAsiaTheme="majorEastAsia"/>
                <w:color w:val="auto"/>
                <w:szCs w:val="21"/>
              </w:rPr>
              <w:t>禁止参加政府采购活动</w:t>
            </w:r>
            <w:r>
              <w:rPr>
                <w:rFonts w:hint="eastAsia" w:asciiTheme="majorEastAsia" w:hAnsiTheme="majorEastAsia" w:eastAsiaTheme="majorEastAsia"/>
                <w:color w:val="auto"/>
                <w:szCs w:val="21"/>
              </w:rPr>
              <w:t>的记录名单</w:t>
            </w:r>
            <w:r>
              <w:rPr>
                <w:rFonts w:asciiTheme="majorEastAsia" w:hAnsiTheme="majorEastAsia" w:eastAsiaTheme="majorEastAsia"/>
                <w:color w:val="auto"/>
                <w:szCs w:val="21"/>
              </w:rPr>
              <w:t>。</w:t>
            </w:r>
          </w:p>
        </w:tc>
        <w:tc>
          <w:tcPr>
            <w:tcW w:w="1526" w:type="dxa"/>
            <w:vAlign w:val="center"/>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通过</w:t>
            </w:r>
          </w:p>
          <w:p>
            <w:pPr>
              <w:adjustRightInd w:val="0"/>
              <w:snapToGrid w:val="0"/>
              <w:rPr>
                <w:rFonts w:ascii="宋体" w:hAnsi="宋体" w:cs="Arial"/>
                <w:color w:val="auto"/>
                <w:szCs w:val="21"/>
              </w:rPr>
            </w:pPr>
            <w:r>
              <w:rPr>
                <w:rFonts w:hint="eastAsia" w:ascii="宋体" w:hAnsi="宋体" w:cs="Arial"/>
                <w:color w:val="auto"/>
                <w:szCs w:val="21"/>
              </w:rPr>
              <w:t>□</w:t>
            </w:r>
            <w:r>
              <w:rPr>
                <w:rFonts w:hint="eastAsia" w:ascii="宋体" w:hAnsi="宋体"/>
                <w:color w:val="auto"/>
                <w:szCs w:val="21"/>
              </w:rPr>
              <w:t>不通过</w:t>
            </w:r>
          </w:p>
        </w:tc>
        <w:tc>
          <w:tcPr>
            <w:tcW w:w="2047" w:type="dxa"/>
            <w:vAlign w:val="center"/>
          </w:tcPr>
          <w:p>
            <w:pPr>
              <w:tabs>
                <w:tab w:val="left" w:pos="612"/>
              </w:tabs>
              <w:wordWrap w:val="0"/>
              <w:adjustRightInd w:val="0"/>
              <w:snapToGrid w:val="0"/>
              <w:rPr>
                <w:rFonts w:ascii="宋体" w:hAnsi="宋体"/>
                <w:color w:val="auto"/>
                <w:szCs w:val="21"/>
              </w:rPr>
            </w:pPr>
            <w:r>
              <w:rPr>
                <w:rFonts w:hint="eastAsia" w:ascii="宋体" w:hAnsi="宋体"/>
                <w:color w:val="auto"/>
                <w:szCs w:val="21"/>
              </w:rPr>
              <w:t>1、由采购代理机构</w:t>
            </w:r>
            <w:r>
              <w:rPr>
                <w:rFonts w:ascii="宋体" w:hAnsi="宋体"/>
                <w:color w:val="auto"/>
                <w:szCs w:val="21"/>
              </w:rPr>
              <w:t>于</w:t>
            </w:r>
            <w:r>
              <w:rPr>
                <w:rFonts w:hint="eastAsia" w:ascii="宋体" w:hAnsi="宋体"/>
                <w:color w:val="auto"/>
                <w:szCs w:val="21"/>
              </w:rPr>
              <w:t>投标截止日在上述网站进行</w:t>
            </w:r>
            <w:r>
              <w:rPr>
                <w:rFonts w:ascii="宋体" w:hAnsi="宋体"/>
                <w:color w:val="auto"/>
                <w:szCs w:val="21"/>
              </w:rPr>
              <w:t>查询</w:t>
            </w:r>
            <w:r>
              <w:rPr>
                <w:rFonts w:hint="eastAsia" w:ascii="宋体" w:hAnsi="宋体"/>
                <w:color w:val="auto"/>
                <w:szCs w:val="21"/>
              </w:rPr>
              <w:t>，同时对信息查询记录和证据截图或下载存档；</w:t>
            </w:r>
          </w:p>
          <w:p>
            <w:pPr>
              <w:tabs>
                <w:tab w:val="left" w:pos="612"/>
              </w:tabs>
              <w:wordWrap w:val="0"/>
              <w:adjustRightInd w:val="0"/>
              <w:snapToGrid w:val="0"/>
              <w:rPr>
                <w:rFonts w:ascii="宋体" w:hAnsi="宋体"/>
                <w:color w:val="auto"/>
                <w:szCs w:val="21"/>
              </w:rPr>
            </w:pPr>
            <w:r>
              <w:rPr>
                <w:rFonts w:hint="eastAsia" w:ascii="宋体" w:hAnsi="宋体"/>
                <w:color w:val="auto"/>
                <w:szCs w:val="21"/>
              </w:rPr>
              <w:t>2、若分公司投标：供应商为非独立法人（即由合法法人依法建立的分公司），除了对供应商进行信息查询外，同时对总公司的信息查询记录和证据截图或下载存档；</w:t>
            </w:r>
          </w:p>
          <w:p>
            <w:pPr>
              <w:tabs>
                <w:tab w:val="left" w:pos="612"/>
              </w:tabs>
              <w:wordWrap w:val="0"/>
              <w:adjustRightInd w:val="0"/>
              <w:snapToGrid w:val="0"/>
              <w:rPr>
                <w:rFonts w:ascii="宋体" w:hAnsi="宋体"/>
                <w:color w:val="auto"/>
                <w:szCs w:val="21"/>
              </w:rPr>
            </w:pPr>
            <w:r>
              <w:rPr>
                <w:rFonts w:hint="eastAsia" w:ascii="宋体" w:hAnsi="宋体" w:cs="Arial"/>
                <w:color w:val="auto"/>
                <w:szCs w:val="21"/>
              </w:rPr>
              <w:t>3、</w:t>
            </w:r>
            <w:r>
              <w:rPr>
                <w:rFonts w:ascii="宋体" w:hAnsi="宋体"/>
                <w:color w:val="auto"/>
                <w:szCs w:val="21"/>
              </w:rPr>
              <w:t>如相关失信记录已失效，</w:t>
            </w:r>
            <w:r>
              <w:rPr>
                <w:rFonts w:hint="eastAsia" w:ascii="宋体" w:hAnsi="宋体"/>
                <w:color w:val="auto"/>
                <w:szCs w:val="21"/>
              </w:rPr>
              <w:t>投标人必须</w:t>
            </w:r>
            <w:r>
              <w:rPr>
                <w:rFonts w:ascii="宋体" w:hAnsi="宋体"/>
                <w:color w:val="auto"/>
                <w:szCs w:val="21"/>
              </w:rPr>
              <w:t>提供相关证明资料。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gridAfter w:val="1"/>
          <w:wAfter w:w="51" w:type="dxa"/>
          <w:jc w:val="center"/>
        </w:trPr>
        <w:tc>
          <w:tcPr>
            <w:tcW w:w="858" w:type="dxa"/>
          </w:tcPr>
          <w:p>
            <w:pPr>
              <w:pStyle w:val="90"/>
              <w:numPr>
                <w:ilvl w:val="0"/>
                <w:numId w:val="22"/>
              </w:numPr>
              <w:adjustRightInd w:val="0"/>
              <w:snapToGrid w:val="0"/>
              <w:ind w:firstLineChars="0"/>
              <w:rPr>
                <w:rFonts w:ascii="宋体" w:hAnsi="宋体"/>
                <w:bCs/>
                <w:color w:val="auto"/>
                <w:szCs w:val="21"/>
              </w:rPr>
            </w:pPr>
          </w:p>
        </w:tc>
        <w:tc>
          <w:tcPr>
            <w:tcW w:w="4485" w:type="dxa"/>
            <w:gridSpan w:val="2"/>
            <w:vAlign w:val="center"/>
          </w:tcPr>
          <w:p>
            <w:pPr>
              <w:adjustRightInd w:val="0"/>
              <w:snapToGrid w:val="0"/>
              <w:rPr>
                <w:rFonts w:ascii="宋体" w:hAnsi="宋体"/>
                <w:color w:val="auto"/>
                <w:szCs w:val="21"/>
              </w:rPr>
            </w:pPr>
            <w:r>
              <w:rPr>
                <w:rFonts w:hint="eastAsia" w:ascii="宋体" w:hAnsi="宋体"/>
                <w:bCs/>
                <w:color w:val="auto"/>
                <w:szCs w:val="21"/>
              </w:rPr>
              <w:t>已办理报名并成功购买本招标文件的供应商。</w:t>
            </w:r>
          </w:p>
        </w:tc>
        <w:tc>
          <w:tcPr>
            <w:tcW w:w="1526" w:type="dxa"/>
            <w:vAlign w:val="center"/>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通过</w:t>
            </w:r>
          </w:p>
          <w:p>
            <w:pPr>
              <w:adjustRightInd w:val="0"/>
              <w:snapToGrid w:val="0"/>
              <w:rPr>
                <w:rFonts w:ascii="宋体" w:hAnsi="宋体" w:cs="Arial"/>
                <w:color w:val="auto"/>
                <w:szCs w:val="21"/>
              </w:rPr>
            </w:pPr>
            <w:r>
              <w:rPr>
                <w:rFonts w:hint="eastAsia" w:ascii="宋体" w:hAnsi="宋体" w:cs="Arial"/>
                <w:color w:val="auto"/>
                <w:szCs w:val="21"/>
              </w:rPr>
              <w:t>□</w:t>
            </w:r>
            <w:r>
              <w:rPr>
                <w:rFonts w:hint="eastAsia" w:ascii="宋体" w:hAnsi="宋体"/>
                <w:color w:val="auto"/>
                <w:szCs w:val="21"/>
              </w:rPr>
              <w:t>不通过</w:t>
            </w:r>
          </w:p>
        </w:tc>
        <w:tc>
          <w:tcPr>
            <w:tcW w:w="2047" w:type="dxa"/>
            <w:vAlign w:val="center"/>
          </w:tcPr>
          <w:p>
            <w:pPr>
              <w:adjustRightInd w:val="0"/>
              <w:snapToGrid w:val="0"/>
              <w:jc w:val="center"/>
              <w:rPr>
                <w:rFonts w:ascii="宋体" w:hAnsi="宋体"/>
                <w:color w:val="auto"/>
                <w:szCs w:val="21"/>
              </w:rPr>
            </w:pPr>
            <w:r>
              <w:rPr>
                <w:rFonts w:hint="eastAsia" w:ascii="宋体" w:hAnsi="宋体"/>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411" w:hRule="atLeast"/>
          <w:jc w:val="center"/>
        </w:trPr>
        <w:tc>
          <w:tcPr>
            <w:tcW w:w="858" w:type="dxa"/>
          </w:tcPr>
          <w:p>
            <w:pPr>
              <w:pStyle w:val="90"/>
              <w:numPr>
                <w:ilvl w:val="0"/>
                <w:numId w:val="22"/>
              </w:numPr>
              <w:adjustRightInd w:val="0"/>
              <w:snapToGrid w:val="0"/>
              <w:ind w:firstLineChars="0"/>
              <w:rPr>
                <w:rFonts w:ascii="宋体" w:hAnsi="宋体"/>
                <w:bCs/>
                <w:color w:val="auto"/>
                <w:szCs w:val="21"/>
              </w:rPr>
            </w:pPr>
          </w:p>
        </w:tc>
        <w:tc>
          <w:tcPr>
            <w:tcW w:w="4485" w:type="dxa"/>
            <w:gridSpan w:val="2"/>
            <w:vAlign w:val="center"/>
          </w:tcPr>
          <w:p>
            <w:pPr>
              <w:tabs>
                <w:tab w:val="left" w:pos="2846"/>
              </w:tabs>
              <w:adjustRightInd w:val="0"/>
              <w:snapToGrid w:val="0"/>
              <w:jc w:val="left"/>
              <w:rPr>
                <w:rFonts w:ascii="宋体" w:hAnsi="宋体" w:cs="宋体"/>
                <w:b/>
                <w:bCs/>
                <w:color w:val="auto"/>
                <w:szCs w:val="21"/>
              </w:rPr>
            </w:pPr>
            <w:r>
              <w:rPr>
                <w:rFonts w:hint="eastAsia" w:ascii="宋体" w:hAnsi="宋体" w:cs="宋体"/>
                <w:color w:val="auto"/>
                <w:szCs w:val="21"/>
              </w:rPr>
              <w:t>按照招标文件规定要求签署和盖章</w:t>
            </w:r>
          </w:p>
        </w:tc>
        <w:tc>
          <w:tcPr>
            <w:tcW w:w="1526" w:type="dxa"/>
            <w:vAlign w:val="center"/>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通过</w:t>
            </w:r>
          </w:p>
          <w:p>
            <w:pPr>
              <w:adjustRightInd w:val="0"/>
              <w:snapToGrid w:val="0"/>
              <w:rPr>
                <w:rFonts w:ascii="宋体" w:hAnsi="宋体" w:cs="宋体"/>
                <w:color w:val="auto"/>
                <w:szCs w:val="21"/>
              </w:rPr>
            </w:pPr>
            <w:r>
              <w:rPr>
                <w:rFonts w:hint="eastAsia" w:ascii="宋体" w:hAnsi="宋体" w:cs="Arial"/>
                <w:color w:val="auto"/>
                <w:szCs w:val="21"/>
              </w:rPr>
              <w:t>□</w:t>
            </w:r>
            <w:r>
              <w:rPr>
                <w:rFonts w:hint="eastAsia" w:ascii="宋体" w:hAnsi="宋体"/>
                <w:color w:val="auto"/>
                <w:szCs w:val="21"/>
              </w:rPr>
              <w:t>不通过</w:t>
            </w:r>
          </w:p>
        </w:tc>
        <w:tc>
          <w:tcPr>
            <w:tcW w:w="2098" w:type="dxa"/>
            <w:gridSpan w:val="2"/>
            <w:vAlign w:val="center"/>
          </w:tcPr>
          <w:p>
            <w:pPr>
              <w:adjustRightInd w:val="0"/>
              <w:snapToGrid w:val="0"/>
              <w:jc w:val="center"/>
              <w:rPr>
                <w:rFonts w:ascii="宋体" w:hAnsi="宋体" w:cs="宋体"/>
                <w:color w:val="auto"/>
                <w:szCs w:val="21"/>
              </w:rPr>
            </w:pPr>
            <w:r>
              <w:rPr>
                <w:rFonts w:hint="eastAsia" w:ascii="宋体" w:hAnsi="宋体"/>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932" w:hRule="atLeast"/>
          <w:jc w:val="center"/>
        </w:trPr>
        <w:tc>
          <w:tcPr>
            <w:tcW w:w="858" w:type="dxa"/>
          </w:tcPr>
          <w:p>
            <w:pPr>
              <w:pStyle w:val="90"/>
              <w:numPr>
                <w:ilvl w:val="0"/>
                <w:numId w:val="22"/>
              </w:numPr>
              <w:adjustRightInd w:val="0"/>
              <w:snapToGrid w:val="0"/>
              <w:ind w:firstLineChars="0"/>
              <w:rPr>
                <w:rFonts w:ascii="宋体" w:hAnsi="宋体"/>
                <w:bCs/>
                <w:color w:val="auto"/>
                <w:szCs w:val="21"/>
              </w:rPr>
            </w:pPr>
          </w:p>
        </w:tc>
        <w:tc>
          <w:tcPr>
            <w:tcW w:w="2184" w:type="dxa"/>
            <w:tcBorders>
              <w:right w:val="single" w:color="auto" w:sz="4" w:space="0"/>
            </w:tcBorders>
            <w:vAlign w:val="center"/>
          </w:tcPr>
          <w:p>
            <w:pPr>
              <w:tabs>
                <w:tab w:val="left" w:pos="2846"/>
              </w:tabs>
              <w:adjustRightInd w:val="0"/>
              <w:snapToGrid w:val="0"/>
              <w:jc w:val="left"/>
              <w:rPr>
                <w:rFonts w:ascii="宋体" w:hAnsi="宋体" w:cs="宋体"/>
                <w:b/>
                <w:bCs/>
                <w:color w:val="auto"/>
                <w:szCs w:val="21"/>
              </w:rPr>
            </w:pPr>
            <w:r>
              <w:rPr>
                <w:rFonts w:hint="eastAsia" w:ascii="宋体" w:hAnsi="宋体" w:cs="宋体"/>
                <w:color w:val="auto"/>
                <w:szCs w:val="21"/>
              </w:rPr>
              <w:t>法定代表人证明书和法定代表人授权委托书</w:t>
            </w:r>
          </w:p>
        </w:tc>
        <w:tc>
          <w:tcPr>
            <w:tcW w:w="2301" w:type="dxa"/>
            <w:tcBorders>
              <w:left w:val="single" w:color="auto" w:sz="4" w:space="0"/>
            </w:tcBorders>
            <w:vAlign w:val="center"/>
          </w:tcPr>
          <w:p>
            <w:pPr>
              <w:tabs>
                <w:tab w:val="left" w:pos="2846"/>
              </w:tabs>
              <w:adjustRightInd w:val="0"/>
              <w:snapToGrid w:val="0"/>
              <w:jc w:val="left"/>
              <w:rPr>
                <w:rFonts w:ascii="宋体" w:hAnsi="宋体" w:cs="宋体"/>
                <w:color w:val="auto"/>
                <w:szCs w:val="21"/>
              </w:rPr>
            </w:pPr>
            <w:r>
              <w:rPr>
                <w:rFonts w:hint="eastAsia" w:ascii="宋体" w:hAnsi="宋体" w:cs="宋体"/>
                <w:color w:val="auto"/>
                <w:szCs w:val="21"/>
              </w:rPr>
              <w:t>按照招标文件规定</w:t>
            </w:r>
            <w:r>
              <w:rPr>
                <w:rFonts w:hint="eastAsia" w:ascii="宋体" w:hAnsi="宋体" w:cs="宋体"/>
                <w:color w:val="auto"/>
                <w:szCs w:val="21"/>
                <w:lang w:eastAsia="zh-TW"/>
              </w:rPr>
              <w:t>签署本人姓名（或印盖本人姓名章）</w:t>
            </w:r>
            <w:r>
              <w:rPr>
                <w:rFonts w:hint="eastAsia" w:ascii="宋体" w:hAnsi="宋体" w:cs="宋体"/>
                <w:color w:val="auto"/>
                <w:szCs w:val="21"/>
              </w:rPr>
              <w:t>和盖章</w:t>
            </w:r>
          </w:p>
        </w:tc>
        <w:tc>
          <w:tcPr>
            <w:tcW w:w="1526" w:type="dxa"/>
            <w:vAlign w:val="center"/>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通过</w:t>
            </w:r>
          </w:p>
          <w:p>
            <w:pPr>
              <w:adjustRightInd w:val="0"/>
              <w:snapToGrid w:val="0"/>
              <w:rPr>
                <w:rFonts w:ascii="宋体" w:hAnsi="宋体" w:cs="宋体"/>
                <w:color w:val="auto"/>
                <w:szCs w:val="21"/>
              </w:rPr>
            </w:pPr>
            <w:r>
              <w:rPr>
                <w:rFonts w:hint="eastAsia" w:ascii="宋体" w:hAnsi="宋体" w:cs="Arial"/>
                <w:color w:val="auto"/>
                <w:szCs w:val="21"/>
              </w:rPr>
              <w:t>□</w:t>
            </w:r>
            <w:r>
              <w:rPr>
                <w:rFonts w:hint="eastAsia" w:ascii="宋体" w:hAnsi="宋体"/>
                <w:color w:val="auto"/>
                <w:szCs w:val="21"/>
              </w:rPr>
              <w:t>不通过</w:t>
            </w:r>
          </w:p>
        </w:tc>
        <w:tc>
          <w:tcPr>
            <w:tcW w:w="2098" w:type="dxa"/>
            <w:gridSpan w:val="2"/>
            <w:vAlign w:val="center"/>
          </w:tcPr>
          <w:p>
            <w:pPr>
              <w:adjustRightInd w:val="0"/>
              <w:snapToGrid w:val="0"/>
              <w:jc w:val="center"/>
              <w:rPr>
                <w:rFonts w:ascii="宋体" w:hAnsi="宋体" w:cs="宋体"/>
                <w:color w:val="auto"/>
                <w:szCs w:val="21"/>
              </w:rPr>
            </w:pPr>
            <w:r>
              <w:rPr>
                <w:rFonts w:hint="eastAsia" w:ascii="宋体" w:hAnsi="宋体"/>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255" w:hRule="atLeast"/>
          <w:jc w:val="center"/>
        </w:trPr>
        <w:tc>
          <w:tcPr>
            <w:tcW w:w="858" w:type="dxa"/>
          </w:tcPr>
          <w:p>
            <w:pPr>
              <w:pStyle w:val="90"/>
              <w:numPr>
                <w:ilvl w:val="0"/>
                <w:numId w:val="22"/>
              </w:numPr>
              <w:adjustRightInd w:val="0"/>
              <w:snapToGrid w:val="0"/>
              <w:ind w:firstLineChars="0"/>
              <w:rPr>
                <w:rFonts w:ascii="宋体" w:hAnsi="宋体"/>
                <w:bCs/>
                <w:color w:val="auto"/>
                <w:szCs w:val="21"/>
              </w:rPr>
            </w:pPr>
          </w:p>
        </w:tc>
        <w:tc>
          <w:tcPr>
            <w:tcW w:w="2184" w:type="dxa"/>
            <w:tcBorders>
              <w:right w:val="single" w:color="auto" w:sz="4" w:space="0"/>
            </w:tcBorders>
            <w:vAlign w:val="center"/>
          </w:tcPr>
          <w:p>
            <w:pPr>
              <w:adjustRightInd w:val="0"/>
              <w:snapToGrid w:val="0"/>
              <w:jc w:val="left"/>
              <w:rPr>
                <w:rFonts w:ascii="宋体" w:hAnsi="宋体" w:cs="宋体"/>
                <w:color w:val="auto"/>
                <w:szCs w:val="21"/>
              </w:rPr>
            </w:pPr>
            <w:r>
              <w:rPr>
                <w:rFonts w:hint="eastAsia" w:ascii="宋体" w:hAnsi="宋体" w:cs="宋体"/>
                <w:color w:val="auto"/>
                <w:szCs w:val="21"/>
              </w:rPr>
              <w:t>投标函</w:t>
            </w:r>
          </w:p>
        </w:tc>
        <w:tc>
          <w:tcPr>
            <w:tcW w:w="2301" w:type="dxa"/>
            <w:tcBorders>
              <w:left w:val="single" w:color="auto" w:sz="4" w:space="0"/>
            </w:tcBorders>
            <w:vAlign w:val="center"/>
          </w:tcPr>
          <w:p>
            <w:pPr>
              <w:adjustRightInd w:val="0"/>
              <w:snapToGrid w:val="0"/>
              <w:jc w:val="left"/>
              <w:rPr>
                <w:rFonts w:ascii="宋体" w:hAnsi="宋体" w:cs="宋体"/>
                <w:color w:val="auto"/>
                <w:szCs w:val="21"/>
              </w:rPr>
            </w:pPr>
            <w:r>
              <w:rPr>
                <w:rFonts w:hint="eastAsia" w:ascii="宋体" w:hAnsi="宋体" w:cs="宋体"/>
                <w:color w:val="auto"/>
                <w:szCs w:val="21"/>
              </w:rPr>
              <w:t>已提交并符合招标文件要求的，且投标有效期满足招标文件要求；</w:t>
            </w:r>
          </w:p>
        </w:tc>
        <w:tc>
          <w:tcPr>
            <w:tcW w:w="1526" w:type="dxa"/>
            <w:vAlign w:val="center"/>
          </w:tcPr>
          <w:p>
            <w:pPr>
              <w:adjustRightInd w:val="0"/>
              <w:snapToGrid w:val="0"/>
              <w:rPr>
                <w:rFonts w:ascii="宋体" w:hAnsi="宋体"/>
                <w:color w:val="auto"/>
                <w:szCs w:val="21"/>
              </w:rPr>
            </w:pPr>
            <w:r>
              <w:rPr>
                <w:rFonts w:hint="eastAsia" w:ascii="宋体" w:hAnsi="宋体"/>
                <w:color w:val="auto"/>
                <w:szCs w:val="21"/>
              </w:rPr>
              <w:t>□通过</w:t>
            </w:r>
          </w:p>
          <w:p>
            <w:pPr>
              <w:adjustRightInd w:val="0"/>
              <w:snapToGrid w:val="0"/>
              <w:rPr>
                <w:rFonts w:ascii="宋体" w:hAnsi="宋体"/>
                <w:color w:val="auto"/>
                <w:szCs w:val="21"/>
              </w:rPr>
            </w:pPr>
            <w:r>
              <w:rPr>
                <w:rFonts w:hint="eastAsia" w:ascii="宋体" w:hAnsi="宋体"/>
                <w:color w:val="auto"/>
                <w:szCs w:val="21"/>
              </w:rPr>
              <w:t>□不通过</w:t>
            </w:r>
          </w:p>
        </w:tc>
        <w:tc>
          <w:tcPr>
            <w:tcW w:w="2098" w:type="dxa"/>
            <w:gridSpan w:val="2"/>
            <w:vAlign w:val="center"/>
          </w:tcPr>
          <w:p>
            <w:pPr>
              <w:adjustRightInd w:val="0"/>
              <w:snapToGrid w:val="0"/>
              <w:jc w:val="center"/>
              <w:rPr>
                <w:rFonts w:ascii="宋体" w:hAnsi="宋体"/>
                <w:color w:val="auto"/>
                <w:szCs w:val="21"/>
              </w:rPr>
            </w:pPr>
            <w:r>
              <w:rPr>
                <w:rFonts w:hint="eastAsia" w:ascii="宋体" w:hAnsi="宋体"/>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204" w:hRule="atLeast"/>
          <w:jc w:val="center"/>
        </w:trPr>
        <w:tc>
          <w:tcPr>
            <w:tcW w:w="858" w:type="dxa"/>
            <w:vMerge w:val="restart"/>
          </w:tcPr>
          <w:p>
            <w:pPr>
              <w:pStyle w:val="90"/>
              <w:numPr>
                <w:ilvl w:val="0"/>
                <w:numId w:val="22"/>
              </w:numPr>
              <w:adjustRightInd w:val="0"/>
              <w:snapToGrid w:val="0"/>
              <w:ind w:firstLineChars="0"/>
              <w:rPr>
                <w:rFonts w:ascii="宋体" w:hAnsi="宋体"/>
                <w:bCs/>
                <w:color w:val="auto"/>
                <w:szCs w:val="21"/>
              </w:rPr>
            </w:pPr>
          </w:p>
        </w:tc>
        <w:tc>
          <w:tcPr>
            <w:tcW w:w="2184" w:type="dxa"/>
            <w:vMerge w:val="restart"/>
            <w:tcBorders>
              <w:right w:val="single" w:color="auto" w:sz="4" w:space="0"/>
            </w:tcBorders>
            <w:vAlign w:val="center"/>
          </w:tcPr>
          <w:p>
            <w:pPr>
              <w:adjustRightInd w:val="0"/>
              <w:snapToGrid w:val="0"/>
              <w:jc w:val="left"/>
              <w:rPr>
                <w:rFonts w:ascii="宋体" w:hAnsi="宋体" w:cs="宋体"/>
                <w:color w:val="auto"/>
                <w:szCs w:val="21"/>
              </w:rPr>
            </w:pPr>
            <w:r>
              <w:rPr>
                <w:rFonts w:hint="eastAsia" w:ascii="宋体" w:hAnsi="宋体" w:cs="宋体"/>
                <w:color w:val="auto"/>
                <w:szCs w:val="21"/>
              </w:rPr>
              <w:t>投标报价</w:t>
            </w:r>
          </w:p>
        </w:tc>
        <w:tc>
          <w:tcPr>
            <w:tcW w:w="2301" w:type="dxa"/>
            <w:tcBorders>
              <w:left w:val="single" w:color="auto" w:sz="4" w:space="0"/>
            </w:tcBorders>
            <w:vAlign w:val="center"/>
          </w:tcPr>
          <w:p>
            <w:pPr>
              <w:adjustRightInd w:val="0"/>
              <w:snapToGrid w:val="0"/>
              <w:jc w:val="left"/>
              <w:rPr>
                <w:rFonts w:ascii="宋体" w:hAnsi="宋体" w:cs="宋体"/>
                <w:color w:val="auto"/>
                <w:szCs w:val="21"/>
              </w:rPr>
            </w:pPr>
            <w:r>
              <w:rPr>
                <w:rFonts w:hint="eastAsia" w:cs="宋体" w:asciiTheme="majorEastAsia" w:hAnsiTheme="majorEastAsia" w:eastAsiaTheme="majorEastAsia"/>
                <w:color w:val="auto"/>
              </w:rPr>
              <w:t>确定且</w:t>
            </w:r>
            <w:r>
              <w:rPr>
                <w:rFonts w:hint="eastAsia" w:ascii="宋体" w:hAnsi="宋体" w:cs="宋体"/>
                <w:color w:val="auto"/>
                <w:szCs w:val="21"/>
              </w:rPr>
              <w:t>未超过最高限价；</w:t>
            </w:r>
          </w:p>
        </w:tc>
        <w:tc>
          <w:tcPr>
            <w:tcW w:w="1526" w:type="dxa"/>
            <w:vAlign w:val="center"/>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通过</w:t>
            </w:r>
          </w:p>
          <w:p>
            <w:pPr>
              <w:adjustRightInd w:val="0"/>
              <w:snapToGrid w:val="0"/>
              <w:rPr>
                <w:rFonts w:ascii="宋体" w:hAnsi="宋体" w:cs="宋体"/>
                <w:color w:val="auto"/>
                <w:szCs w:val="21"/>
              </w:rPr>
            </w:pPr>
            <w:r>
              <w:rPr>
                <w:rFonts w:hint="eastAsia" w:ascii="宋体" w:hAnsi="宋体" w:cs="Arial"/>
                <w:color w:val="auto"/>
                <w:szCs w:val="21"/>
              </w:rPr>
              <w:t>□</w:t>
            </w:r>
            <w:r>
              <w:rPr>
                <w:rFonts w:hint="eastAsia" w:ascii="宋体" w:hAnsi="宋体"/>
                <w:color w:val="auto"/>
                <w:szCs w:val="21"/>
              </w:rPr>
              <w:t>不通过</w:t>
            </w:r>
          </w:p>
        </w:tc>
        <w:tc>
          <w:tcPr>
            <w:tcW w:w="2098" w:type="dxa"/>
            <w:gridSpan w:val="2"/>
            <w:vAlign w:val="center"/>
          </w:tcPr>
          <w:p>
            <w:pPr>
              <w:adjustRightInd w:val="0"/>
              <w:snapToGrid w:val="0"/>
              <w:jc w:val="center"/>
              <w:rPr>
                <w:rFonts w:ascii="宋体" w:hAnsi="宋体" w:cs="宋体"/>
                <w:color w:val="auto"/>
                <w:szCs w:val="21"/>
              </w:rPr>
            </w:pPr>
            <w:r>
              <w:rPr>
                <w:rFonts w:hint="eastAsia" w:ascii="宋体" w:hAnsi="宋体"/>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530" w:hRule="atLeast"/>
          <w:jc w:val="center"/>
        </w:trPr>
        <w:tc>
          <w:tcPr>
            <w:tcW w:w="858" w:type="dxa"/>
            <w:vMerge w:val="continue"/>
          </w:tcPr>
          <w:p>
            <w:pPr>
              <w:pStyle w:val="90"/>
              <w:numPr>
                <w:ilvl w:val="0"/>
                <w:numId w:val="22"/>
              </w:numPr>
              <w:adjustRightInd w:val="0"/>
              <w:snapToGrid w:val="0"/>
              <w:ind w:firstLineChars="0"/>
              <w:rPr>
                <w:rFonts w:ascii="宋体" w:hAnsi="宋体"/>
                <w:bCs/>
                <w:color w:val="auto"/>
                <w:szCs w:val="21"/>
              </w:rPr>
            </w:pPr>
          </w:p>
        </w:tc>
        <w:tc>
          <w:tcPr>
            <w:tcW w:w="2184" w:type="dxa"/>
            <w:vMerge w:val="continue"/>
            <w:tcBorders>
              <w:right w:val="single" w:color="auto" w:sz="4" w:space="0"/>
            </w:tcBorders>
            <w:vAlign w:val="center"/>
          </w:tcPr>
          <w:p>
            <w:pPr>
              <w:adjustRightInd w:val="0"/>
              <w:snapToGrid w:val="0"/>
              <w:jc w:val="left"/>
              <w:rPr>
                <w:rFonts w:ascii="宋体" w:hAnsi="宋体" w:cs="宋体"/>
                <w:color w:val="auto"/>
                <w:szCs w:val="21"/>
              </w:rPr>
            </w:pPr>
          </w:p>
        </w:tc>
        <w:tc>
          <w:tcPr>
            <w:tcW w:w="2301" w:type="dxa"/>
            <w:tcBorders>
              <w:left w:val="single" w:color="auto" w:sz="4" w:space="0"/>
            </w:tcBorders>
            <w:vAlign w:val="center"/>
          </w:tcPr>
          <w:p>
            <w:pPr>
              <w:adjustRightInd w:val="0"/>
              <w:snapToGrid w:val="0"/>
              <w:jc w:val="left"/>
              <w:rPr>
                <w:rFonts w:ascii="宋体" w:hAnsi="宋体" w:cs="宋体"/>
                <w:color w:val="auto"/>
                <w:szCs w:val="21"/>
              </w:rPr>
            </w:pPr>
            <w:r>
              <w:rPr>
                <w:rFonts w:hint="eastAsia" w:ascii="宋体" w:hAnsi="宋体"/>
                <w:color w:val="auto"/>
                <w:szCs w:val="21"/>
              </w:rPr>
              <w:t>唯一或固定不变；</w:t>
            </w:r>
          </w:p>
        </w:tc>
        <w:tc>
          <w:tcPr>
            <w:tcW w:w="1526" w:type="dxa"/>
            <w:vAlign w:val="center"/>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通过</w:t>
            </w:r>
          </w:p>
          <w:p>
            <w:pPr>
              <w:adjustRightInd w:val="0"/>
              <w:snapToGrid w:val="0"/>
              <w:rPr>
                <w:rFonts w:ascii="宋体" w:hAnsi="宋体" w:cs="宋体"/>
                <w:color w:val="auto"/>
                <w:szCs w:val="21"/>
              </w:rPr>
            </w:pPr>
            <w:r>
              <w:rPr>
                <w:rFonts w:hint="eastAsia" w:ascii="宋体" w:hAnsi="宋体" w:cs="Arial"/>
                <w:color w:val="auto"/>
                <w:szCs w:val="21"/>
              </w:rPr>
              <w:t>□</w:t>
            </w:r>
            <w:r>
              <w:rPr>
                <w:rFonts w:hint="eastAsia" w:ascii="宋体" w:hAnsi="宋体"/>
                <w:color w:val="auto"/>
                <w:szCs w:val="21"/>
              </w:rPr>
              <w:t>不通过</w:t>
            </w:r>
          </w:p>
        </w:tc>
        <w:tc>
          <w:tcPr>
            <w:tcW w:w="2098" w:type="dxa"/>
            <w:gridSpan w:val="2"/>
            <w:vAlign w:val="center"/>
          </w:tcPr>
          <w:p>
            <w:pPr>
              <w:adjustRightInd w:val="0"/>
              <w:snapToGrid w:val="0"/>
              <w:jc w:val="center"/>
              <w:rPr>
                <w:rFonts w:ascii="宋体" w:hAnsi="宋体" w:cs="宋体"/>
                <w:color w:val="auto"/>
                <w:szCs w:val="21"/>
              </w:rPr>
            </w:pPr>
            <w:r>
              <w:rPr>
                <w:rFonts w:hint="eastAsia" w:ascii="宋体" w:hAnsi="宋体"/>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381" w:hRule="atLeast"/>
          <w:jc w:val="center"/>
        </w:trPr>
        <w:tc>
          <w:tcPr>
            <w:tcW w:w="858" w:type="dxa"/>
          </w:tcPr>
          <w:p>
            <w:pPr>
              <w:pStyle w:val="90"/>
              <w:numPr>
                <w:ilvl w:val="0"/>
                <w:numId w:val="22"/>
              </w:numPr>
              <w:adjustRightInd w:val="0"/>
              <w:snapToGrid w:val="0"/>
              <w:ind w:firstLineChars="0"/>
              <w:rPr>
                <w:rFonts w:ascii="宋体" w:hAnsi="宋体"/>
                <w:bCs/>
                <w:color w:val="auto"/>
                <w:szCs w:val="21"/>
              </w:rPr>
            </w:pPr>
          </w:p>
        </w:tc>
        <w:tc>
          <w:tcPr>
            <w:tcW w:w="4485" w:type="dxa"/>
            <w:gridSpan w:val="2"/>
            <w:vAlign w:val="center"/>
          </w:tcPr>
          <w:p>
            <w:pPr>
              <w:adjustRightInd w:val="0"/>
              <w:snapToGrid w:val="0"/>
              <w:jc w:val="left"/>
              <w:rPr>
                <w:rFonts w:ascii="宋体" w:hAnsi="宋体" w:cs="宋体"/>
                <w:color w:val="auto"/>
                <w:szCs w:val="21"/>
              </w:rPr>
            </w:pPr>
            <w:r>
              <w:rPr>
                <w:rFonts w:hint="eastAsia" w:ascii="宋体" w:hAnsi="宋体"/>
                <w:color w:val="auto"/>
                <w:szCs w:val="21"/>
              </w:rPr>
              <w:t>投标文件没有采购人不能接受的附加条件的；</w:t>
            </w:r>
          </w:p>
        </w:tc>
        <w:tc>
          <w:tcPr>
            <w:tcW w:w="1526" w:type="dxa"/>
            <w:vAlign w:val="center"/>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通过</w:t>
            </w:r>
          </w:p>
          <w:p>
            <w:pPr>
              <w:adjustRightInd w:val="0"/>
              <w:snapToGrid w:val="0"/>
              <w:rPr>
                <w:rFonts w:ascii="宋体" w:hAnsi="宋体" w:cs="宋体"/>
                <w:color w:val="auto"/>
                <w:szCs w:val="21"/>
              </w:rPr>
            </w:pPr>
            <w:r>
              <w:rPr>
                <w:rFonts w:hint="eastAsia" w:ascii="宋体" w:hAnsi="宋体" w:cs="Arial"/>
                <w:color w:val="auto"/>
                <w:szCs w:val="21"/>
              </w:rPr>
              <w:t>□</w:t>
            </w:r>
            <w:r>
              <w:rPr>
                <w:rFonts w:hint="eastAsia" w:ascii="宋体" w:hAnsi="宋体"/>
                <w:color w:val="auto"/>
                <w:szCs w:val="21"/>
              </w:rPr>
              <w:t>不通过</w:t>
            </w:r>
          </w:p>
        </w:tc>
        <w:tc>
          <w:tcPr>
            <w:tcW w:w="2098" w:type="dxa"/>
            <w:gridSpan w:val="2"/>
            <w:vAlign w:val="center"/>
          </w:tcPr>
          <w:p>
            <w:pPr>
              <w:adjustRightInd w:val="0"/>
              <w:snapToGrid w:val="0"/>
              <w:jc w:val="center"/>
              <w:rPr>
                <w:rFonts w:ascii="宋体" w:hAnsi="宋体" w:cs="宋体"/>
                <w:color w:val="auto"/>
                <w:szCs w:val="21"/>
              </w:rPr>
            </w:pPr>
            <w:r>
              <w:rPr>
                <w:rFonts w:hint="eastAsia" w:ascii="宋体" w:hAnsi="宋体"/>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454" w:hRule="atLeast"/>
          <w:jc w:val="center"/>
        </w:trPr>
        <w:tc>
          <w:tcPr>
            <w:tcW w:w="858" w:type="dxa"/>
          </w:tcPr>
          <w:p>
            <w:pPr>
              <w:pStyle w:val="90"/>
              <w:numPr>
                <w:ilvl w:val="0"/>
                <w:numId w:val="22"/>
              </w:numPr>
              <w:adjustRightInd w:val="0"/>
              <w:snapToGrid w:val="0"/>
              <w:ind w:firstLineChars="0"/>
              <w:rPr>
                <w:rFonts w:ascii="宋体" w:hAnsi="宋体"/>
                <w:bCs/>
                <w:color w:val="auto"/>
                <w:szCs w:val="21"/>
              </w:rPr>
            </w:pPr>
          </w:p>
        </w:tc>
        <w:tc>
          <w:tcPr>
            <w:tcW w:w="4485" w:type="dxa"/>
            <w:gridSpan w:val="2"/>
            <w:vAlign w:val="center"/>
          </w:tcPr>
          <w:p>
            <w:pPr>
              <w:adjustRightInd w:val="0"/>
              <w:snapToGrid w:val="0"/>
              <w:jc w:val="left"/>
              <w:rPr>
                <w:rFonts w:ascii="宋体" w:hAnsi="宋体"/>
                <w:color w:val="auto"/>
                <w:szCs w:val="21"/>
              </w:rPr>
            </w:pPr>
            <w:r>
              <w:rPr>
                <w:rFonts w:hint="eastAsia" w:ascii="宋体" w:hAnsi="宋体"/>
                <w:color w:val="auto"/>
                <w:szCs w:val="21"/>
              </w:rPr>
              <w:t>投标文件没有出现串通投标情形的；</w:t>
            </w:r>
          </w:p>
        </w:tc>
        <w:tc>
          <w:tcPr>
            <w:tcW w:w="1526" w:type="dxa"/>
            <w:vAlign w:val="center"/>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通过</w:t>
            </w:r>
          </w:p>
          <w:p>
            <w:pPr>
              <w:adjustRightInd w:val="0"/>
              <w:snapToGrid w:val="0"/>
              <w:rPr>
                <w:rFonts w:ascii="宋体" w:hAnsi="宋体" w:cs="宋体"/>
                <w:color w:val="auto"/>
                <w:szCs w:val="21"/>
              </w:rPr>
            </w:pPr>
            <w:r>
              <w:rPr>
                <w:rFonts w:hint="eastAsia" w:ascii="宋体" w:hAnsi="宋体" w:cs="Arial"/>
                <w:color w:val="auto"/>
                <w:szCs w:val="21"/>
              </w:rPr>
              <w:t>□</w:t>
            </w:r>
            <w:r>
              <w:rPr>
                <w:rFonts w:hint="eastAsia" w:ascii="宋体" w:hAnsi="宋体"/>
                <w:color w:val="auto"/>
                <w:szCs w:val="21"/>
              </w:rPr>
              <w:t>不通过</w:t>
            </w:r>
          </w:p>
        </w:tc>
        <w:tc>
          <w:tcPr>
            <w:tcW w:w="2098" w:type="dxa"/>
            <w:gridSpan w:val="2"/>
            <w:vAlign w:val="center"/>
          </w:tcPr>
          <w:p>
            <w:pPr>
              <w:adjustRightInd w:val="0"/>
              <w:snapToGrid w:val="0"/>
              <w:jc w:val="center"/>
              <w:rPr>
                <w:rFonts w:ascii="宋体" w:hAnsi="宋体" w:cs="宋体"/>
                <w:color w:val="auto"/>
                <w:szCs w:val="21"/>
              </w:rPr>
            </w:pPr>
            <w:r>
              <w:rPr>
                <w:rFonts w:hint="eastAsia" w:ascii="宋体" w:hAnsi="宋体"/>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263" w:hRule="atLeast"/>
          <w:jc w:val="center"/>
        </w:trPr>
        <w:tc>
          <w:tcPr>
            <w:tcW w:w="858" w:type="dxa"/>
          </w:tcPr>
          <w:p>
            <w:pPr>
              <w:pStyle w:val="90"/>
              <w:numPr>
                <w:ilvl w:val="0"/>
                <w:numId w:val="22"/>
              </w:numPr>
              <w:adjustRightInd w:val="0"/>
              <w:snapToGrid w:val="0"/>
              <w:ind w:firstLineChars="0"/>
              <w:rPr>
                <w:rFonts w:ascii="宋体" w:hAnsi="宋体"/>
                <w:bCs/>
                <w:color w:val="auto"/>
                <w:szCs w:val="21"/>
              </w:rPr>
            </w:pPr>
          </w:p>
        </w:tc>
        <w:tc>
          <w:tcPr>
            <w:tcW w:w="4485" w:type="dxa"/>
            <w:gridSpan w:val="2"/>
            <w:vAlign w:val="center"/>
          </w:tcPr>
          <w:p>
            <w:pPr>
              <w:adjustRightInd w:val="0"/>
              <w:snapToGrid w:val="0"/>
              <w:jc w:val="left"/>
              <w:rPr>
                <w:rFonts w:ascii="宋体" w:hAnsi="宋体" w:cs="宋体"/>
                <w:color w:val="auto"/>
                <w:szCs w:val="21"/>
              </w:rPr>
            </w:pPr>
            <w:r>
              <w:rPr>
                <w:rFonts w:hint="eastAsia" w:ascii="宋体" w:hAnsi="宋体" w:cs="宋体"/>
                <w:color w:val="auto"/>
                <w:szCs w:val="21"/>
              </w:rPr>
              <w:t>投标文件没有招标文件中规定的其它无效投标条款的；</w:t>
            </w:r>
          </w:p>
        </w:tc>
        <w:tc>
          <w:tcPr>
            <w:tcW w:w="1526" w:type="dxa"/>
            <w:vAlign w:val="center"/>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通过</w:t>
            </w:r>
          </w:p>
          <w:p>
            <w:pPr>
              <w:adjustRightInd w:val="0"/>
              <w:snapToGrid w:val="0"/>
              <w:rPr>
                <w:rFonts w:ascii="宋体" w:hAnsi="宋体" w:cs="宋体"/>
                <w:color w:val="auto"/>
                <w:szCs w:val="21"/>
              </w:rPr>
            </w:pPr>
            <w:r>
              <w:rPr>
                <w:rFonts w:hint="eastAsia" w:ascii="宋体" w:hAnsi="宋体" w:cs="Arial"/>
                <w:color w:val="auto"/>
                <w:szCs w:val="21"/>
              </w:rPr>
              <w:t>□</w:t>
            </w:r>
            <w:r>
              <w:rPr>
                <w:rFonts w:hint="eastAsia" w:ascii="宋体" w:hAnsi="宋体"/>
                <w:color w:val="auto"/>
                <w:szCs w:val="21"/>
              </w:rPr>
              <w:t>不通过</w:t>
            </w:r>
          </w:p>
        </w:tc>
        <w:tc>
          <w:tcPr>
            <w:tcW w:w="2098" w:type="dxa"/>
            <w:gridSpan w:val="2"/>
            <w:vAlign w:val="center"/>
          </w:tcPr>
          <w:p>
            <w:pPr>
              <w:adjustRightInd w:val="0"/>
              <w:snapToGrid w:val="0"/>
              <w:jc w:val="center"/>
              <w:rPr>
                <w:rFonts w:ascii="宋体" w:hAnsi="宋体" w:cs="宋体"/>
                <w:color w:val="auto"/>
                <w:szCs w:val="21"/>
              </w:rPr>
            </w:pPr>
            <w:r>
              <w:rPr>
                <w:rFonts w:hint="eastAsia" w:ascii="宋体" w:hAnsi="宋体"/>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263" w:hRule="atLeast"/>
          <w:jc w:val="center"/>
        </w:trPr>
        <w:tc>
          <w:tcPr>
            <w:tcW w:w="858" w:type="dxa"/>
          </w:tcPr>
          <w:p>
            <w:pPr>
              <w:pStyle w:val="90"/>
              <w:numPr>
                <w:ilvl w:val="0"/>
                <w:numId w:val="22"/>
              </w:numPr>
              <w:adjustRightInd w:val="0"/>
              <w:snapToGrid w:val="0"/>
              <w:ind w:firstLineChars="0"/>
              <w:rPr>
                <w:rFonts w:ascii="宋体" w:hAnsi="宋体" w:cs="宋体"/>
                <w:color w:val="auto"/>
                <w:szCs w:val="21"/>
              </w:rPr>
            </w:pPr>
          </w:p>
        </w:tc>
        <w:tc>
          <w:tcPr>
            <w:tcW w:w="4485" w:type="dxa"/>
            <w:gridSpan w:val="2"/>
            <w:vAlign w:val="center"/>
          </w:tcPr>
          <w:p>
            <w:pPr>
              <w:adjustRightInd w:val="0"/>
              <w:snapToGrid w:val="0"/>
              <w:jc w:val="left"/>
              <w:rPr>
                <w:rFonts w:ascii="宋体" w:hAnsi="宋体" w:cs="宋体"/>
                <w:color w:val="auto"/>
                <w:szCs w:val="21"/>
              </w:rPr>
            </w:pPr>
            <w:r>
              <w:rPr>
                <w:rFonts w:hint="eastAsia" w:ascii="宋体" w:hAnsi="宋体"/>
                <w:color w:val="auto"/>
                <w:szCs w:val="21"/>
              </w:rPr>
              <w:t>没有法律、法规规定的其他无效情形；</w:t>
            </w:r>
          </w:p>
        </w:tc>
        <w:tc>
          <w:tcPr>
            <w:tcW w:w="1526" w:type="dxa"/>
            <w:vAlign w:val="center"/>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通过</w:t>
            </w:r>
          </w:p>
          <w:p>
            <w:pPr>
              <w:adjustRightInd w:val="0"/>
              <w:snapToGrid w:val="0"/>
              <w:rPr>
                <w:rFonts w:ascii="宋体" w:hAnsi="宋体" w:cs="宋体"/>
                <w:color w:val="auto"/>
                <w:szCs w:val="21"/>
              </w:rPr>
            </w:pPr>
            <w:r>
              <w:rPr>
                <w:rFonts w:hint="eastAsia" w:ascii="宋体" w:hAnsi="宋体" w:cs="Arial"/>
                <w:color w:val="auto"/>
                <w:szCs w:val="21"/>
              </w:rPr>
              <w:t>□</w:t>
            </w:r>
            <w:r>
              <w:rPr>
                <w:rFonts w:hint="eastAsia" w:ascii="宋体" w:hAnsi="宋体"/>
                <w:color w:val="auto"/>
                <w:szCs w:val="21"/>
              </w:rPr>
              <w:t>不通过</w:t>
            </w:r>
          </w:p>
        </w:tc>
        <w:tc>
          <w:tcPr>
            <w:tcW w:w="2098" w:type="dxa"/>
            <w:gridSpan w:val="2"/>
            <w:vAlign w:val="center"/>
          </w:tcPr>
          <w:p>
            <w:pPr>
              <w:adjustRightInd w:val="0"/>
              <w:snapToGrid w:val="0"/>
              <w:jc w:val="center"/>
              <w:rPr>
                <w:rFonts w:ascii="宋体" w:hAnsi="宋体" w:cs="宋体"/>
                <w:color w:val="auto"/>
                <w:szCs w:val="21"/>
              </w:rPr>
            </w:pPr>
            <w:r>
              <w:rPr>
                <w:rFonts w:hint="eastAsia" w:ascii="宋体" w:hAnsi="宋体"/>
                <w:color w:val="auto"/>
                <w:szCs w:val="21"/>
              </w:rPr>
              <w:t>第（ ）页</w:t>
            </w:r>
          </w:p>
        </w:tc>
      </w:tr>
    </w:tbl>
    <w:p>
      <w:pPr>
        <w:adjustRightInd w:val="0"/>
        <w:snapToGrid w:val="0"/>
        <w:spacing w:beforeLines="50" w:line="360" w:lineRule="auto"/>
        <w:jc w:val="center"/>
        <w:outlineLvl w:val="2"/>
        <w:rPr>
          <w:rFonts w:ascii="宋体" w:hAnsi="宋体"/>
          <w:b/>
          <w:color w:val="auto"/>
          <w:sz w:val="30"/>
          <w:szCs w:val="30"/>
        </w:rPr>
      </w:pPr>
      <w:r>
        <w:rPr>
          <w:rFonts w:hint="eastAsia" w:ascii="宋体" w:hAnsi="宋体"/>
          <w:b/>
          <w:color w:val="auto"/>
          <w:sz w:val="30"/>
          <w:szCs w:val="30"/>
        </w:rPr>
        <w:t>综合评分表</w:t>
      </w:r>
    </w:p>
    <w:tbl>
      <w:tblPr>
        <w:tblStyle w:val="44"/>
        <w:tblW w:w="896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46"/>
        <w:gridCol w:w="3209"/>
        <w:gridCol w:w="3116"/>
        <w:gridCol w:w="18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8963" w:type="dxa"/>
            <w:gridSpan w:val="4"/>
            <w:vAlign w:val="center"/>
          </w:tcPr>
          <w:p>
            <w:pPr>
              <w:adjustRightInd w:val="0"/>
              <w:snapToGrid w:val="0"/>
              <w:jc w:val="center"/>
              <w:rPr>
                <w:rFonts w:ascii="宋体" w:hAnsi="宋体"/>
                <w:b/>
                <w:color w:val="auto"/>
                <w:szCs w:val="21"/>
              </w:rPr>
            </w:pPr>
            <w:r>
              <w:rPr>
                <w:rFonts w:hint="eastAsia" w:ascii="宋体" w:hAnsi="宋体"/>
                <w:b/>
                <w:color w:val="auto"/>
                <w:sz w:val="30"/>
                <w:szCs w:val="30"/>
              </w:rPr>
              <w:t>技术评审自查表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6" w:hRule="atLeast"/>
          <w:jc w:val="center"/>
        </w:trPr>
        <w:tc>
          <w:tcPr>
            <w:tcW w:w="746" w:type="dxa"/>
            <w:vAlign w:val="center"/>
          </w:tcPr>
          <w:p>
            <w:pPr>
              <w:adjustRightInd w:val="0"/>
              <w:snapToGrid w:val="0"/>
              <w:jc w:val="center"/>
              <w:rPr>
                <w:rFonts w:ascii="宋体" w:hAnsi="宋体"/>
                <w:b/>
                <w:color w:val="auto"/>
                <w:szCs w:val="21"/>
              </w:rPr>
            </w:pPr>
            <w:r>
              <w:rPr>
                <w:rFonts w:hint="eastAsia" w:ascii="宋体" w:hAnsi="宋体"/>
                <w:b/>
                <w:color w:val="auto"/>
                <w:szCs w:val="21"/>
              </w:rPr>
              <w:t>序号</w:t>
            </w:r>
          </w:p>
        </w:tc>
        <w:tc>
          <w:tcPr>
            <w:tcW w:w="3209" w:type="dxa"/>
            <w:vAlign w:val="center"/>
          </w:tcPr>
          <w:p>
            <w:pPr>
              <w:adjustRightInd w:val="0"/>
              <w:snapToGrid w:val="0"/>
              <w:jc w:val="center"/>
              <w:rPr>
                <w:rFonts w:ascii="宋体" w:hAnsi="宋体"/>
                <w:b/>
                <w:color w:val="auto"/>
                <w:szCs w:val="21"/>
              </w:rPr>
            </w:pPr>
            <w:r>
              <w:rPr>
                <w:rFonts w:hint="eastAsia" w:ascii="宋体" w:hAnsi="宋体" w:cs="宋体"/>
                <w:b/>
                <w:color w:val="auto"/>
                <w:szCs w:val="21"/>
              </w:rPr>
              <w:t>评审因素</w:t>
            </w:r>
          </w:p>
        </w:tc>
        <w:tc>
          <w:tcPr>
            <w:tcW w:w="3116" w:type="dxa"/>
            <w:vAlign w:val="center"/>
          </w:tcPr>
          <w:p>
            <w:pPr>
              <w:adjustRightInd w:val="0"/>
              <w:snapToGrid w:val="0"/>
              <w:jc w:val="center"/>
              <w:rPr>
                <w:rFonts w:ascii="宋体" w:hAnsi="宋体"/>
                <w:b/>
                <w:color w:val="auto"/>
                <w:szCs w:val="21"/>
              </w:rPr>
            </w:pPr>
            <w:r>
              <w:rPr>
                <w:rFonts w:hint="eastAsia" w:ascii="宋体" w:hAnsi="宋体"/>
                <w:b/>
                <w:color w:val="auto"/>
                <w:szCs w:val="21"/>
              </w:rPr>
              <w:t>提交内容</w:t>
            </w:r>
          </w:p>
        </w:tc>
        <w:tc>
          <w:tcPr>
            <w:tcW w:w="1892" w:type="dxa"/>
            <w:vAlign w:val="center"/>
          </w:tcPr>
          <w:p>
            <w:pPr>
              <w:adjustRightInd w:val="0"/>
              <w:snapToGrid w:val="0"/>
              <w:jc w:val="center"/>
              <w:rPr>
                <w:rFonts w:ascii="宋体" w:hAnsi="宋体"/>
                <w:b/>
                <w:color w:val="auto"/>
                <w:szCs w:val="21"/>
              </w:rPr>
            </w:pPr>
            <w:r>
              <w:rPr>
                <w:rFonts w:hint="eastAsia" w:ascii="宋体" w:hAnsi="宋体"/>
                <w:b/>
                <w:color w:val="auto"/>
                <w:szCs w:val="21"/>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6" w:hRule="atLeast"/>
          <w:jc w:val="center"/>
        </w:trPr>
        <w:tc>
          <w:tcPr>
            <w:tcW w:w="746" w:type="dxa"/>
            <w:vAlign w:val="center"/>
          </w:tcPr>
          <w:p>
            <w:pPr>
              <w:numPr>
                <w:ilvl w:val="0"/>
                <w:numId w:val="23"/>
              </w:numPr>
              <w:adjustRightInd w:val="0"/>
              <w:snapToGrid w:val="0"/>
              <w:rPr>
                <w:rFonts w:ascii="宋体" w:hAnsi="宋体"/>
                <w:color w:val="auto"/>
                <w:szCs w:val="21"/>
              </w:rPr>
            </w:pPr>
          </w:p>
        </w:tc>
        <w:tc>
          <w:tcPr>
            <w:tcW w:w="3209" w:type="dxa"/>
            <w:vAlign w:val="center"/>
          </w:tcPr>
          <w:p>
            <w:pPr>
              <w:jc w:val="center"/>
              <w:rPr>
                <w:rFonts w:hAnsi="宋体"/>
                <w:bCs/>
                <w:color w:val="auto"/>
              </w:rPr>
            </w:pPr>
            <w:r>
              <w:rPr>
                <w:rFonts w:hint="eastAsia" w:ascii="宋体" w:hAnsi="宋体"/>
                <w:bCs/>
                <w:color w:val="auto"/>
                <w:szCs w:val="21"/>
              </w:rPr>
              <w:t>用户需求书响应一览表</w:t>
            </w:r>
          </w:p>
        </w:tc>
        <w:tc>
          <w:tcPr>
            <w:tcW w:w="3116" w:type="dxa"/>
            <w:vAlign w:val="center"/>
          </w:tcPr>
          <w:p>
            <w:pPr>
              <w:adjustRightInd w:val="0"/>
              <w:snapToGrid w:val="0"/>
              <w:jc w:val="left"/>
              <w:rPr>
                <w:rFonts w:ascii="宋体" w:hAnsi="宋体"/>
                <w:color w:val="auto"/>
                <w:szCs w:val="21"/>
              </w:rPr>
            </w:pPr>
          </w:p>
        </w:tc>
        <w:tc>
          <w:tcPr>
            <w:tcW w:w="1892" w:type="dxa"/>
            <w:vAlign w:val="center"/>
          </w:tcPr>
          <w:p>
            <w:pPr>
              <w:adjustRightInd w:val="0"/>
              <w:snapToGrid w:val="0"/>
              <w:jc w:val="center"/>
              <w:rPr>
                <w:rFonts w:ascii="宋体" w:hAnsi="宋体"/>
                <w:color w:val="auto"/>
                <w:szCs w:val="21"/>
              </w:rPr>
            </w:pPr>
            <w:r>
              <w:rPr>
                <w:rFonts w:hint="eastAsia" w:asciiTheme="minorEastAsia" w:hAnsiTheme="minorEastAsia" w:eastAsiaTheme="minorEastAsia"/>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6" w:hRule="atLeast"/>
          <w:jc w:val="center"/>
        </w:trPr>
        <w:tc>
          <w:tcPr>
            <w:tcW w:w="746" w:type="dxa"/>
            <w:vAlign w:val="center"/>
          </w:tcPr>
          <w:p>
            <w:pPr>
              <w:numPr>
                <w:ilvl w:val="0"/>
                <w:numId w:val="23"/>
              </w:numPr>
              <w:adjustRightInd w:val="0"/>
              <w:snapToGrid w:val="0"/>
              <w:rPr>
                <w:rFonts w:ascii="宋体" w:hAnsi="宋体"/>
                <w:color w:val="auto"/>
                <w:szCs w:val="21"/>
              </w:rPr>
            </w:pPr>
          </w:p>
        </w:tc>
        <w:tc>
          <w:tcPr>
            <w:tcW w:w="3209" w:type="dxa"/>
            <w:vAlign w:val="center"/>
          </w:tcPr>
          <w:p>
            <w:pPr>
              <w:jc w:val="center"/>
              <w:rPr>
                <w:rFonts w:hAnsi="宋体"/>
                <w:bCs/>
                <w:color w:val="auto"/>
              </w:rPr>
            </w:pPr>
            <w:r>
              <w:rPr>
                <w:rFonts w:hint="eastAsia" w:ascii="宋体" w:hAnsi="宋体" w:cs="宋体"/>
                <w:color w:val="auto"/>
                <w:szCs w:val="21"/>
              </w:rPr>
              <w:t>运营维护方案</w:t>
            </w:r>
          </w:p>
        </w:tc>
        <w:tc>
          <w:tcPr>
            <w:tcW w:w="3116" w:type="dxa"/>
            <w:vAlign w:val="center"/>
          </w:tcPr>
          <w:p>
            <w:pPr>
              <w:adjustRightInd w:val="0"/>
              <w:snapToGrid w:val="0"/>
              <w:jc w:val="left"/>
              <w:rPr>
                <w:rFonts w:ascii="宋体" w:hAnsi="宋体"/>
                <w:color w:val="auto"/>
                <w:szCs w:val="21"/>
              </w:rPr>
            </w:pPr>
          </w:p>
        </w:tc>
        <w:tc>
          <w:tcPr>
            <w:tcW w:w="1892" w:type="dxa"/>
            <w:vAlign w:val="center"/>
          </w:tcPr>
          <w:p>
            <w:pPr>
              <w:adjustRightInd w:val="0"/>
              <w:snapToGrid w:val="0"/>
              <w:jc w:val="center"/>
              <w:rPr>
                <w:rFonts w:ascii="宋体" w:hAnsi="宋体"/>
                <w:color w:val="auto"/>
                <w:szCs w:val="21"/>
              </w:rPr>
            </w:pPr>
            <w:r>
              <w:rPr>
                <w:rFonts w:hint="eastAsia" w:asciiTheme="minorEastAsia" w:hAnsiTheme="minorEastAsia" w:eastAsiaTheme="minorEastAsia"/>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6" w:hRule="atLeast"/>
          <w:jc w:val="center"/>
        </w:trPr>
        <w:tc>
          <w:tcPr>
            <w:tcW w:w="746" w:type="dxa"/>
            <w:vAlign w:val="center"/>
          </w:tcPr>
          <w:p>
            <w:pPr>
              <w:numPr>
                <w:ilvl w:val="0"/>
                <w:numId w:val="23"/>
              </w:numPr>
              <w:adjustRightInd w:val="0"/>
              <w:snapToGrid w:val="0"/>
              <w:rPr>
                <w:rFonts w:ascii="宋体" w:hAnsi="宋体"/>
                <w:color w:val="auto"/>
                <w:szCs w:val="21"/>
              </w:rPr>
            </w:pPr>
          </w:p>
        </w:tc>
        <w:tc>
          <w:tcPr>
            <w:tcW w:w="3209" w:type="dxa"/>
            <w:vAlign w:val="center"/>
          </w:tcPr>
          <w:p>
            <w:pPr>
              <w:jc w:val="center"/>
              <w:rPr>
                <w:rFonts w:hAnsi="宋体"/>
                <w:bCs/>
                <w:color w:val="auto"/>
              </w:rPr>
            </w:pPr>
            <w:r>
              <w:rPr>
                <w:rFonts w:hint="eastAsia" w:ascii="宋体" w:hAnsi="宋体" w:cs="宋体"/>
                <w:color w:val="auto"/>
                <w:szCs w:val="21"/>
              </w:rPr>
              <w:t>拟投入设备设施情况</w:t>
            </w:r>
          </w:p>
        </w:tc>
        <w:tc>
          <w:tcPr>
            <w:tcW w:w="3116" w:type="dxa"/>
            <w:vAlign w:val="center"/>
          </w:tcPr>
          <w:p>
            <w:pPr>
              <w:adjustRightInd w:val="0"/>
              <w:snapToGrid w:val="0"/>
              <w:jc w:val="left"/>
              <w:rPr>
                <w:rFonts w:ascii="宋体" w:hAnsi="宋体"/>
                <w:color w:val="auto"/>
                <w:szCs w:val="21"/>
              </w:rPr>
            </w:pPr>
          </w:p>
        </w:tc>
        <w:tc>
          <w:tcPr>
            <w:tcW w:w="1892" w:type="dxa"/>
            <w:vAlign w:val="center"/>
          </w:tcPr>
          <w:p>
            <w:pPr>
              <w:adjustRightInd w:val="0"/>
              <w:snapToGrid w:val="0"/>
              <w:jc w:val="center"/>
              <w:rPr>
                <w:rFonts w:ascii="宋体" w:hAnsi="宋体"/>
                <w:color w:val="auto"/>
                <w:szCs w:val="21"/>
              </w:rPr>
            </w:pPr>
            <w:r>
              <w:rPr>
                <w:rFonts w:hint="eastAsia" w:asciiTheme="minorEastAsia" w:hAnsiTheme="minorEastAsia" w:eastAsiaTheme="minorEastAsia"/>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6" w:hRule="atLeast"/>
          <w:jc w:val="center"/>
        </w:trPr>
        <w:tc>
          <w:tcPr>
            <w:tcW w:w="746" w:type="dxa"/>
            <w:vAlign w:val="center"/>
          </w:tcPr>
          <w:p>
            <w:pPr>
              <w:numPr>
                <w:ilvl w:val="0"/>
                <w:numId w:val="23"/>
              </w:numPr>
              <w:adjustRightInd w:val="0"/>
              <w:snapToGrid w:val="0"/>
              <w:rPr>
                <w:rFonts w:ascii="宋体" w:hAnsi="宋体"/>
                <w:color w:val="auto"/>
                <w:szCs w:val="21"/>
              </w:rPr>
            </w:pPr>
          </w:p>
        </w:tc>
        <w:tc>
          <w:tcPr>
            <w:tcW w:w="3209" w:type="dxa"/>
            <w:vAlign w:val="center"/>
          </w:tcPr>
          <w:p>
            <w:pPr>
              <w:jc w:val="center"/>
              <w:rPr>
                <w:rFonts w:hAnsi="宋体"/>
                <w:bCs/>
                <w:color w:val="auto"/>
              </w:rPr>
            </w:pPr>
            <w:r>
              <w:rPr>
                <w:rFonts w:hint="eastAsia" w:ascii="宋体" w:hAnsi="宋体" w:cs="宋体"/>
                <w:color w:val="auto"/>
                <w:szCs w:val="21"/>
              </w:rPr>
              <w:t>拟投入人员情况</w:t>
            </w:r>
          </w:p>
        </w:tc>
        <w:tc>
          <w:tcPr>
            <w:tcW w:w="3116" w:type="dxa"/>
            <w:vAlign w:val="center"/>
          </w:tcPr>
          <w:p>
            <w:pPr>
              <w:adjustRightInd w:val="0"/>
              <w:snapToGrid w:val="0"/>
              <w:jc w:val="left"/>
              <w:rPr>
                <w:rFonts w:ascii="宋体" w:hAnsi="宋体"/>
                <w:color w:val="auto"/>
                <w:szCs w:val="21"/>
              </w:rPr>
            </w:pPr>
          </w:p>
        </w:tc>
        <w:tc>
          <w:tcPr>
            <w:tcW w:w="1892" w:type="dxa"/>
            <w:vAlign w:val="center"/>
          </w:tcPr>
          <w:p>
            <w:pPr>
              <w:adjustRightInd w:val="0"/>
              <w:snapToGrid w:val="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6" w:hRule="atLeast"/>
          <w:jc w:val="center"/>
        </w:trPr>
        <w:tc>
          <w:tcPr>
            <w:tcW w:w="746" w:type="dxa"/>
            <w:vAlign w:val="center"/>
          </w:tcPr>
          <w:p>
            <w:pPr>
              <w:numPr>
                <w:ilvl w:val="0"/>
                <w:numId w:val="23"/>
              </w:numPr>
              <w:adjustRightInd w:val="0"/>
              <w:snapToGrid w:val="0"/>
              <w:rPr>
                <w:rFonts w:ascii="宋体" w:hAnsi="宋体"/>
                <w:color w:val="auto"/>
                <w:szCs w:val="21"/>
              </w:rPr>
            </w:pPr>
          </w:p>
        </w:tc>
        <w:tc>
          <w:tcPr>
            <w:tcW w:w="3209" w:type="dxa"/>
            <w:vAlign w:val="center"/>
          </w:tcPr>
          <w:p>
            <w:pPr>
              <w:jc w:val="center"/>
              <w:rPr>
                <w:rFonts w:ascii="宋体" w:hAnsi="宋体"/>
                <w:color w:val="auto"/>
                <w:szCs w:val="21"/>
              </w:rPr>
            </w:pPr>
            <w:r>
              <w:rPr>
                <w:rFonts w:hint="eastAsia" w:ascii="宋体" w:hAnsi="宋体" w:cs="宋体"/>
                <w:color w:val="auto"/>
                <w:szCs w:val="21"/>
              </w:rPr>
              <w:t>环境保护管理体系与措施</w:t>
            </w:r>
          </w:p>
        </w:tc>
        <w:tc>
          <w:tcPr>
            <w:tcW w:w="3116" w:type="dxa"/>
            <w:vAlign w:val="center"/>
          </w:tcPr>
          <w:p>
            <w:pPr>
              <w:adjustRightInd w:val="0"/>
              <w:snapToGrid w:val="0"/>
              <w:jc w:val="left"/>
              <w:rPr>
                <w:rFonts w:ascii="宋体" w:hAnsi="宋体"/>
                <w:color w:val="auto"/>
                <w:szCs w:val="21"/>
              </w:rPr>
            </w:pPr>
          </w:p>
        </w:tc>
        <w:tc>
          <w:tcPr>
            <w:tcW w:w="1892" w:type="dxa"/>
            <w:vAlign w:val="center"/>
          </w:tcPr>
          <w:p>
            <w:pPr>
              <w:adjustRightInd w:val="0"/>
              <w:snapToGrid w:val="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6" w:hRule="atLeast"/>
          <w:jc w:val="center"/>
        </w:trPr>
        <w:tc>
          <w:tcPr>
            <w:tcW w:w="746" w:type="dxa"/>
            <w:vAlign w:val="center"/>
          </w:tcPr>
          <w:p>
            <w:pPr>
              <w:numPr>
                <w:ilvl w:val="0"/>
                <w:numId w:val="23"/>
              </w:numPr>
              <w:adjustRightInd w:val="0"/>
              <w:snapToGrid w:val="0"/>
              <w:rPr>
                <w:rFonts w:ascii="宋体" w:hAnsi="宋体"/>
                <w:color w:val="auto"/>
                <w:szCs w:val="21"/>
              </w:rPr>
            </w:pPr>
          </w:p>
        </w:tc>
        <w:tc>
          <w:tcPr>
            <w:tcW w:w="3209" w:type="dxa"/>
            <w:vAlign w:val="center"/>
          </w:tcPr>
          <w:p>
            <w:pPr>
              <w:jc w:val="center"/>
              <w:rPr>
                <w:rFonts w:ascii="宋体" w:hAnsi="宋体" w:cs="宋体"/>
                <w:color w:val="auto"/>
                <w:szCs w:val="21"/>
              </w:rPr>
            </w:pPr>
            <w:r>
              <w:rPr>
                <w:rFonts w:hint="eastAsia" w:ascii="宋体" w:hAnsi="宋体"/>
                <w:color w:val="auto"/>
                <w:szCs w:val="21"/>
              </w:rPr>
              <w:t>项目理解</w:t>
            </w:r>
          </w:p>
        </w:tc>
        <w:tc>
          <w:tcPr>
            <w:tcW w:w="3116" w:type="dxa"/>
            <w:vAlign w:val="center"/>
          </w:tcPr>
          <w:p>
            <w:pPr>
              <w:adjustRightInd w:val="0"/>
              <w:snapToGrid w:val="0"/>
              <w:jc w:val="left"/>
              <w:rPr>
                <w:rFonts w:ascii="宋体" w:hAnsi="宋体"/>
                <w:color w:val="auto"/>
                <w:szCs w:val="21"/>
              </w:rPr>
            </w:pPr>
          </w:p>
        </w:tc>
        <w:tc>
          <w:tcPr>
            <w:tcW w:w="1892" w:type="dxa"/>
            <w:vAlign w:val="center"/>
          </w:tcPr>
          <w:p>
            <w:pPr>
              <w:adjustRightInd w:val="0"/>
              <w:snapToGrid w:val="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8963" w:type="dxa"/>
            <w:gridSpan w:val="4"/>
            <w:vAlign w:val="center"/>
          </w:tcPr>
          <w:p>
            <w:pPr>
              <w:adjustRightInd w:val="0"/>
              <w:snapToGrid w:val="0"/>
              <w:jc w:val="center"/>
              <w:rPr>
                <w:rFonts w:asciiTheme="minorEastAsia" w:hAnsiTheme="minorEastAsia" w:eastAsiaTheme="minorEastAsia"/>
                <w:color w:val="auto"/>
                <w:szCs w:val="21"/>
              </w:rPr>
            </w:pPr>
            <w:r>
              <w:rPr>
                <w:rFonts w:hint="eastAsia" w:ascii="宋体" w:hAnsi="宋体"/>
                <w:b/>
                <w:color w:val="auto"/>
                <w:sz w:val="30"/>
                <w:szCs w:val="30"/>
              </w:rPr>
              <w:t>商务评审自查表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33" w:hRule="atLeast"/>
          <w:jc w:val="center"/>
        </w:trPr>
        <w:tc>
          <w:tcPr>
            <w:tcW w:w="746" w:type="dxa"/>
            <w:vAlign w:val="center"/>
          </w:tcPr>
          <w:p>
            <w:pPr>
              <w:numPr>
                <w:ilvl w:val="0"/>
                <w:numId w:val="24"/>
              </w:numPr>
              <w:adjustRightInd w:val="0"/>
              <w:snapToGrid w:val="0"/>
              <w:rPr>
                <w:rFonts w:ascii="宋体" w:hAnsi="宋体"/>
                <w:color w:val="auto"/>
                <w:szCs w:val="21"/>
              </w:rPr>
            </w:pPr>
          </w:p>
        </w:tc>
        <w:tc>
          <w:tcPr>
            <w:tcW w:w="3209" w:type="dxa"/>
            <w:vAlign w:val="center"/>
          </w:tcPr>
          <w:p>
            <w:pPr>
              <w:ind w:left="-63" w:leftChars="-30" w:right="-88" w:rightChars="-42"/>
              <w:jc w:val="center"/>
              <w:rPr>
                <w:rFonts w:ascii="宋体" w:hAnsi="宋体"/>
                <w:color w:val="auto"/>
                <w:szCs w:val="21"/>
              </w:rPr>
            </w:pPr>
            <w:r>
              <w:rPr>
                <w:rFonts w:hint="eastAsia" w:ascii="宋体" w:hAnsi="宋体" w:cs="宋体"/>
                <w:color w:val="auto"/>
              </w:rPr>
              <w:t>项目业绩情况</w:t>
            </w:r>
          </w:p>
        </w:tc>
        <w:tc>
          <w:tcPr>
            <w:tcW w:w="3116" w:type="dxa"/>
            <w:vAlign w:val="center"/>
          </w:tcPr>
          <w:p>
            <w:pPr>
              <w:ind w:left="-63" w:leftChars="-30" w:right="-88" w:rightChars="-42"/>
              <w:jc w:val="left"/>
              <w:rPr>
                <w:rFonts w:ascii="宋体" w:hAnsi="宋体"/>
                <w:color w:val="auto"/>
                <w:szCs w:val="21"/>
              </w:rPr>
            </w:pPr>
            <w:r>
              <w:rPr>
                <w:rFonts w:hint="eastAsia" w:ascii="宋体" w:hAnsi="宋体"/>
                <w:color w:val="auto"/>
                <w:szCs w:val="21"/>
              </w:rPr>
              <w:t>合同关键页（</w:t>
            </w:r>
            <w:r>
              <w:rPr>
                <w:rFonts w:hint="eastAsia" w:ascii="宋体" w:hAnsi="宋体" w:cs="宋体"/>
                <w:color w:val="auto"/>
                <w:szCs w:val="21"/>
              </w:rPr>
              <w:t>含签订合同双方的单位名称、合同项目名称、签订合同双方的落款盖章、签订日期的关键页</w:t>
            </w:r>
            <w:r>
              <w:rPr>
                <w:rFonts w:hint="eastAsia" w:ascii="宋体" w:hAnsi="宋体"/>
                <w:color w:val="auto"/>
                <w:szCs w:val="21"/>
              </w:rPr>
              <w:t>）复印件作为同类业绩评价证明资料。</w:t>
            </w:r>
          </w:p>
        </w:tc>
        <w:tc>
          <w:tcPr>
            <w:tcW w:w="1892" w:type="dxa"/>
            <w:vAlign w:val="center"/>
          </w:tcPr>
          <w:p>
            <w:pPr>
              <w:adjustRightInd w:val="0"/>
              <w:snapToGrid w:val="0"/>
              <w:jc w:val="center"/>
              <w:rPr>
                <w:rFonts w:ascii="宋体" w:hAnsi="宋体"/>
                <w:color w:val="auto"/>
                <w:szCs w:val="21"/>
              </w:rPr>
            </w:pPr>
            <w:r>
              <w:rPr>
                <w:rFonts w:hint="eastAsia" w:asciiTheme="minorEastAsia" w:hAnsiTheme="minorEastAsia" w:eastAsiaTheme="minorEastAsia"/>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numPr>
                <w:ilvl w:val="0"/>
                <w:numId w:val="24"/>
              </w:numPr>
              <w:adjustRightInd w:val="0"/>
              <w:snapToGrid w:val="0"/>
              <w:rPr>
                <w:rFonts w:ascii="宋体" w:hAnsi="宋体"/>
                <w:color w:val="auto"/>
                <w:szCs w:val="21"/>
              </w:rPr>
            </w:pPr>
          </w:p>
        </w:tc>
        <w:tc>
          <w:tcPr>
            <w:tcW w:w="3209" w:type="dxa"/>
            <w:vAlign w:val="center"/>
          </w:tcPr>
          <w:p>
            <w:pPr>
              <w:adjustRightInd w:val="0"/>
              <w:snapToGrid w:val="0"/>
              <w:jc w:val="center"/>
              <w:rPr>
                <w:rFonts w:ascii="宋体" w:hAnsi="宋体"/>
                <w:color w:val="auto"/>
                <w:szCs w:val="21"/>
              </w:rPr>
            </w:pPr>
            <w:r>
              <w:rPr>
                <w:rFonts w:ascii="宋体" w:hAnsi="宋体"/>
                <w:color w:val="auto"/>
              </w:rPr>
              <w:t>综合实力情况</w:t>
            </w:r>
          </w:p>
        </w:tc>
        <w:tc>
          <w:tcPr>
            <w:tcW w:w="3116" w:type="dxa"/>
            <w:vAlign w:val="center"/>
          </w:tcPr>
          <w:p>
            <w:pPr>
              <w:adjustRightInd w:val="0"/>
              <w:snapToGrid w:val="0"/>
              <w:jc w:val="left"/>
              <w:rPr>
                <w:rFonts w:ascii="宋体" w:hAnsi="宋体"/>
                <w:color w:val="auto"/>
                <w:szCs w:val="21"/>
              </w:rPr>
            </w:pPr>
          </w:p>
        </w:tc>
        <w:tc>
          <w:tcPr>
            <w:tcW w:w="1892" w:type="dxa"/>
            <w:vAlign w:val="center"/>
          </w:tcPr>
          <w:p>
            <w:pPr>
              <w:adjustRightInd w:val="0"/>
              <w:snapToGrid w:val="0"/>
              <w:jc w:val="center"/>
              <w:rPr>
                <w:rFonts w:ascii="宋体" w:hAnsi="宋体"/>
                <w:color w:val="auto"/>
                <w:szCs w:val="21"/>
              </w:rPr>
            </w:pPr>
            <w:r>
              <w:rPr>
                <w:rFonts w:hint="eastAsia" w:asciiTheme="minorEastAsia" w:hAnsiTheme="minorEastAsia" w:eastAsiaTheme="minorEastAsia"/>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numPr>
                <w:ilvl w:val="0"/>
                <w:numId w:val="24"/>
              </w:numPr>
              <w:adjustRightInd w:val="0"/>
              <w:snapToGrid w:val="0"/>
              <w:rPr>
                <w:rFonts w:ascii="宋体" w:hAnsi="宋体"/>
                <w:color w:val="auto"/>
                <w:szCs w:val="21"/>
              </w:rPr>
            </w:pPr>
          </w:p>
        </w:tc>
        <w:tc>
          <w:tcPr>
            <w:tcW w:w="3209" w:type="dxa"/>
            <w:vAlign w:val="center"/>
          </w:tcPr>
          <w:p>
            <w:pPr>
              <w:adjustRightInd w:val="0"/>
              <w:snapToGrid w:val="0"/>
              <w:jc w:val="center"/>
              <w:rPr>
                <w:rFonts w:ascii="宋体" w:hAnsi="宋体"/>
                <w:color w:val="auto"/>
                <w:szCs w:val="21"/>
              </w:rPr>
            </w:pPr>
            <w:r>
              <w:rPr>
                <w:rFonts w:hint="eastAsia" w:ascii="宋体" w:hAnsi="宋体" w:cs="宋体"/>
                <w:color w:val="auto"/>
                <w:szCs w:val="21"/>
              </w:rPr>
              <w:t>投标人企业劳工保障情况</w:t>
            </w:r>
          </w:p>
        </w:tc>
        <w:tc>
          <w:tcPr>
            <w:tcW w:w="3116" w:type="dxa"/>
            <w:vAlign w:val="center"/>
          </w:tcPr>
          <w:p>
            <w:pPr>
              <w:adjustRightInd w:val="0"/>
              <w:snapToGrid w:val="0"/>
              <w:jc w:val="left"/>
              <w:rPr>
                <w:rFonts w:ascii="宋体" w:hAnsi="宋体"/>
                <w:color w:val="auto"/>
                <w:szCs w:val="21"/>
              </w:rPr>
            </w:pPr>
          </w:p>
        </w:tc>
        <w:tc>
          <w:tcPr>
            <w:tcW w:w="1892" w:type="dxa"/>
          </w:tcPr>
          <w:p>
            <w:pPr>
              <w:adjustRightInd w:val="0"/>
              <w:snapToGrid w:val="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numPr>
                <w:ilvl w:val="0"/>
                <w:numId w:val="24"/>
              </w:numPr>
              <w:adjustRightInd w:val="0"/>
              <w:snapToGrid w:val="0"/>
              <w:rPr>
                <w:rFonts w:ascii="宋体" w:hAnsi="宋体"/>
                <w:color w:val="auto"/>
                <w:szCs w:val="21"/>
              </w:rPr>
            </w:pPr>
          </w:p>
        </w:tc>
        <w:tc>
          <w:tcPr>
            <w:tcW w:w="3209" w:type="dxa"/>
            <w:vAlign w:val="center"/>
          </w:tcPr>
          <w:p>
            <w:pPr>
              <w:adjustRightInd w:val="0"/>
              <w:snapToGrid w:val="0"/>
              <w:jc w:val="center"/>
              <w:rPr>
                <w:rFonts w:ascii="宋体" w:hAnsi="宋体" w:cs="宋体"/>
                <w:color w:val="auto"/>
              </w:rPr>
            </w:pPr>
            <w:r>
              <w:rPr>
                <w:rFonts w:hint="eastAsia" w:ascii="宋体" w:hAnsi="宋体" w:cs="宋体"/>
                <w:color w:val="auto"/>
                <w:szCs w:val="21"/>
              </w:rPr>
              <w:t>ISO体系证书</w:t>
            </w:r>
          </w:p>
        </w:tc>
        <w:tc>
          <w:tcPr>
            <w:tcW w:w="3116" w:type="dxa"/>
            <w:vAlign w:val="center"/>
          </w:tcPr>
          <w:p>
            <w:pPr>
              <w:adjustRightInd w:val="0"/>
              <w:snapToGrid w:val="0"/>
              <w:jc w:val="left"/>
              <w:rPr>
                <w:rFonts w:ascii="宋体" w:hAnsi="宋体"/>
                <w:color w:val="auto"/>
                <w:szCs w:val="21"/>
              </w:rPr>
            </w:pPr>
          </w:p>
        </w:tc>
        <w:tc>
          <w:tcPr>
            <w:tcW w:w="1892" w:type="dxa"/>
          </w:tcPr>
          <w:p>
            <w:pPr>
              <w:adjustRightInd w:val="0"/>
              <w:snapToGrid w:val="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numPr>
                <w:ilvl w:val="0"/>
                <w:numId w:val="24"/>
              </w:numPr>
              <w:adjustRightInd w:val="0"/>
              <w:snapToGrid w:val="0"/>
              <w:rPr>
                <w:rFonts w:ascii="宋体" w:hAnsi="宋体"/>
                <w:color w:val="auto"/>
                <w:szCs w:val="21"/>
              </w:rPr>
            </w:pPr>
          </w:p>
        </w:tc>
        <w:tc>
          <w:tcPr>
            <w:tcW w:w="3209" w:type="dxa"/>
            <w:vAlign w:val="center"/>
          </w:tcPr>
          <w:p>
            <w:pPr>
              <w:adjustRightInd w:val="0"/>
              <w:snapToGrid w:val="0"/>
              <w:jc w:val="center"/>
              <w:rPr>
                <w:rFonts w:ascii="宋体" w:hAnsi="宋体"/>
                <w:color w:val="auto"/>
                <w:szCs w:val="21"/>
              </w:rPr>
            </w:pPr>
            <w:r>
              <w:rPr>
                <w:rFonts w:hint="eastAsia" w:ascii="宋体" w:hAnsi="宋体"/>
                <w:color w:val="auto"/>
                <w:szCs w:val="21"/>
              </w:rPr>
              <w:t>纳税情况</w:t>
            </w:r>
          </w:p>
        </w:tc>
        <w:tc>
          <w:tcPr>
            <w:tcW w:w="3116" w:type="dxa"/>
            <w:vAlign w:val="center"/>
          </w:tcPr>
          <w:p>
            <w:pPr>
              <w:adjustRightInd w:val="0"/>
              <w:snapToGrid w:val="0"/>
              <w:jc w:val="left"/>
              <w:rPr>
                <w:rFonts w:ascii="宋体" w:hAnsi="宋体"/>
                <w:color w:val="auto"/>
                <w:szCs w:val="21"/>
              </w:rPr>
            </w:pPr>
          </w:p>
        </w:tc>
        <w:tc>
          <w:tcPr>
            <w:tcW w:w="1892" w:type="dxa"/>
          </w:tcPr>
          <w:p>
            <w:pPr>
              <w:adjustRightInd w:val="0"/>
              <w:snapToGrid w:val="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numPr>
                <w:ilvl w:val="0"/>
                <w:numId w:val="24"/>
              </w:numPr>
              <w:adjustRightInd w:val="0"/>
              <w:snapToGrid w:val="0"/>
              <w:rPr>
                <w:rFonts w:ascii="宋体" w:hAnsi="宋体"/>
                <w:color w:val="auto"/>
                <w:szCs w:val="21"/>
              </w:rPr>
            </w:pPr>
          </w:p>
        </w:tc>
        <w:tc>
          <w:tcPr>
            <w:tcW w:w="3209" w:type="dxa"/>
            <w:vAlign w:val="center"/>
          </w:tcPr>
          <w:p>
            <w:pPr>
              <w:adjustRightInd w:val="0"/>
              <w:snapToGrid w:val="0"/>
              <w:jc w:val="center"/>
              <w:rPr>
                <w:rFonts w:ascii="宋体" w:hAnsi="宋体"/>
                <w:color w:val="auto"/>
                <w:szCs w:val="21"/>
              </w:rPr>
            </w:pPr>
            <w:r>
              <w:rPr>
                <w:rFonts w:hint="eastAsia" w:ascii="宋体" w:hAnsi="宋体" w:cs="宋体"/>
                <w:color w:val="auto"/>
                <w:szCs w:val="21"/>
              </w:rPr>
              <w:t>信用等级情况</w:t>
            </w:r>
          </w:p>
        </w:tc>
        <w:tc>
          <w:tcPr>
            <w:tcW w:w="3116" w:type="dxa"/>
            <w:vAlign w:val="center"/>
          </w:tcPr>
          <w:p>
            <w:pPr>
              <w:adjustRightInd w:val="0"/>
              <w:snapToGrid w:val="0"/>
              <w:jc w:val="left"/>
              <w:rPr>
                <w:rFonts w:ascii="宋体" w:hAnsi="宋体"/>
                <w:color w:val="auto"/>
                <w:szCs w:val="21"/>
              </w:rPr>
            </w:pPr>
          </w:p>
        </w:tc>
        <w:tc>
          <w:tcPr>
            <w:tcW w:w="1892" w:type="dxa"/>
          </w:tcPr>
          <w:p>
            <w:pPr>
              <w:adjustRightInd w:val="0"/>
              <w:snapToGrid w:val="0"/>
              <w:jc w:val="center"/>
              <w:rPr>
                <w:rFonts w:asciiTheme="minorEastAsia" w:hAnsiTheme="minorEastAsia" w:eastAsiaTheme="minorEastAsia"/>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8963" w:type="dxa"/>
            <w:gridSpan w:val="4"/>
            <w:vAlign w:val="center"/>
          </w:tcPr>
          <w:p>
            <w:pPr>
              <w:adjustRightInd w:val="0"/>
              <w:snapToGrid w:val="0"/>
              <w:jc w:val="center"/>
              <w:rPr>
                <w:rFonts w:ascii="宋体" w:hAnsi="宋体"/>
                <w:b/>
                <w:color w:val="auto"/>
                <w:szCs w:val="21"/>
              </w:rPr>
            </w:pPr>
            <w:r>
              <w:rPr>
                <w:rFonts w:hint="eastAsia" w:ascii="宋体" w:hAnsi="宋体"/>
                <w:b/>
                <w:color w:val="auto"/>
                <w:sz w:val="30"/>
                <w:szCs w:val="30"/>
              </w:rPr>
              <w:t>其他内容资料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numPr>
                <w:ilvl w:val="0"/>
                <w:numId w:val="25"/>
              </w:numPr>
              <w:adjustRightInd w:val="0"/>
              <w:snapToGrid w:val="0"/>
              <w:rPr>
                <w:rFonts w:ascii="宋体" w:hAnsi="宋体"/>
                <w:color w:val="auto"/>
                <w:szCs w:val="21"/>
              </w:rPr>
            </w:pPr>
          </w:p>
        </w:tc>
        <w:tc>
          <w:tcPr>
            <w:tcW w:w="6325" w:type="dxa"/>
            <w:gridSpan w:val="2"/>
            <w:vAlign w:val="center"/>
          </w:tcPr>
          <w:p>
            <w:pPr>
              <w:adjustRightInd w:val="0"/>
              <w:snapToGrid w:val="0"/>
              <w:rPr>
                <w:rFonts w:hAnsi="宋体" w:cs="Courier New"/>
                <w:color w:val="auto"/>
                <w:kern w:val="0"/>
              </w:rPr>
            </w:pPr>
            <w:r>
              <w:rPr>
                <w:rFonts w:hint="eastAsia" w:ascii="宋体" w:hAnsi="宋体"/>
                <w:color w:val="auto"/>
                <w:szCs w:val="21"/>
              </w:rPr>
              <w:t>投标人基本情况表</w:t>
            </w:r>
          </w:p>
        </w:tc>
        <w:tc>
          <w:tcPr>
            <w:tcW w:w="1892" w:type="dxa"/>
            <w:vAlign w:val="center"/>
          </w:tcPr>
          <w:p>
            <w:pPr>
              <w:adjustRightInd w:val="0"/>
              <w:snapToGrid w:val="0"/>
              <w:jc w:val="center"/>
              <w:rPr>
                <w:rFonts w:ascii="宋体" w:hAnsi="宋体"/>
                <w:color w:val="auto"/>
                <w:szCs w:val="21"/>
              </w:rPr>
            </w:pPr>
            <w:r>
              <w:rPr>
                <w:rFonts w:hint="eastAsia" w:asciiTheme="minorEastAsia" w:hAnsiTheme="minorEastAsia" w:eastAsiaTheme="minorEastAsia"/>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numPr>
                <w:ilvl w:val="0"/>
                <w:numId w:val="25"/>
              </w:numPr>
              <w:adjustRightInd w:val="0"/>
              <w:snapToGrid w:val="0"/>
              <w:rPr>
                <w:rFonts w:ascii="宋体" w:hAnsi="宋体"/>
                <w:color w:val="auto"/>
                <w:szCs w:val="21"/>
              </w:rPr>
            </w:pPr>
          </w:p>
        </w:tc>
        <w:tc>
          <w:tcPr>
            <w:tcW w:w="6325" w:type="dxa"/>
            <w:gridSpan w:val="2"/>
            <w:vAlign w:val="center"/>
          </w:tcPr>
          <w:p>
            <w:pPr>
              <w:adjustRightInd w:val="0"/>
              <w:snapToGrid w:val="0"/>
              <w:rPr>
                <w:rFonts w:ascii="宋体" w:hAnsi="宋体"/>
                <w:color w:val="auto"/>
                <w:szCs w:val="21"/>
              </w:rPr>
            </w:pPr>
            <w:r>
              <w:rPr>
                <w:rFonts w:hint="eastAsia" w:ascii="宋体" w:hAnsi="宋体"/>
                <w:color w:val="auto"/>
                <w:szCs w:val="21"/>
              </w:rPr>
              <w:t>投入团队</w:t>
            </w:r>
            <w:r>
              <w:rPr>
                <w:rFonts w:ascii="宋体" w:hAnsi="宋体"/>
                <w:color w:val="auto"/>
                <w:szCs w:val="21"/>
              </w:rPr>
              <w:t>成员情况</w:t>
            </w:r>
            <w:r>
              <w:rPr>
                <w:rFonts w:hint="eastAsia" w:ascii="宋体" w:hAnsi="宋体"/>
                <w:color w:val="auto"/>
                <w:szCs w:val="21"/>
              </w:rPr>
              <w:t>一览表</w:t>
            </w:r>
          </w:p>
        </w:tc>
        <w:tc>
          <w:tcPr>
            <w:tcW w:w="1892" w:type="dxa"/>
            <w:vAlign w:val="center"/>
          </w:tcPr>
          <w:p>
            <w:pPr>
              <w:adjustRightInd w:val="0"/>
              <w:snapToGrid w:val="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numPr>
                <w:ilvl w:val="0"/>
                <w:numId w:val="25"/>
              </w:numPr>
              <w:adjustRightInd w:val="0"/>
              <w:snapToGrid w:val="0"/>
              <w:rPr>
                <w:rFonts w:ascii="宋体" w:hAnsi="宋体"/>
                <w:color w:val="auto"/>
                <w:szCs w:val="21"/>
              </w:rPr>
            </w:pPr>
          </w:p>
        </w:tc>
        <w:tc>
          <w:tcPr>
            <w:tcW w:w="6325" w:type="dxa"/>
            <w:gridSpan w:val="2"/>
            <w:vAlign w:val="center"/>
          </w:tcPr>
          <w:p>
            <w:pPr>
              <w:adjustRightInd w:val="0"/>
              <w:snapToGrid w:val="0"/>
              <w:rPr>
                <w:rFonts w:ascii="宋体" w:hAnsi="宋体"/>
                <w:color w:val="auto"/>
                <w:szCs w:val="21"/>
              </w:rPr>
            </w:pPr>
            <w:r>
              <w:rPr>
                <w:rFonts w:hint="eastAsia" w:ascii="宋体" w:hAnsi="宋体"/>
                <w:color w:val="auto"/>
                <w:szCs w:val="21"/>
              </w:rPr>
              <w:t>主要股东或出资人信息及打印“国家企业信用信息公示系统”网页查询的信息</w:t>
            </w:r>
          </w:p>
        </w:tc>
        <w:tc>
          <w:tcPr>
            <w:tcW w:w="1892" w:type="dxa"/>
            <w:vAlign w:val="center"/>
          </w:tcPr>
          <w:p>
            <w:pPr>
              <w:adjustRightInd w:val="0"/>
              <w:snapToGrid w:val="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numPr>
                <w:ilvl w:val="0"/>
                <w:numId w:val="25"/>
              </w:numPr>
              <w:adjustRightInd w:val="0"/>
              <w:snapToGrid w:val="0"/>
              <w:rPr>
                <w:rFonts w:ascii="宋体" w:hAnsi="宋体"/>
                <w:color w:val="auto"/>
                <w:szCs w:val="21"/>
              </w:rPr>
            </w:pPr>
          </w:p>
        </w:tc>
        <w:tc>
          <w:tcPr>
            <w:tcW w:w="6325" w:type="dxa"/>
            <w:gridSpan w:val="2"/>
            <w:vAlign w:val="center"/>
          </w:tcPr>
          <w:p>
            <w:pPr>
              <w:adjustRightInd w:val="0"/>
              <w:snapToGrid w:val="0"/>
              <w:rPr>
                <w:rFonts w:hAnsi="宋体" w:cs="Courier New"/>
                <w:color w:val="auto"/>
                <w:kern w:val="0"/>
              </w:rPr>
            </w:pPr>
            <w:r>
              <w:rPr>
                <w:rFonts w:hint="eastAsia" w:hAnsi="宋体" w:cs="Courier New"/>
                <w:color w:val="auto"/>
                <w:kern w:val="0"/>
              </w:rPr>
              <w:t>招标代理服务费承诺书</w:t>
            </w:r>
          </w:p>
        </w:tc>
        <w:tc>
          <w:tcPr>
            <w:tcW w:w="1892" w:type="dxa"/>
            <w:vAlign w:val="center"/>
          </w:tcPr>
          <w:p>
            <w:pPr>
              <w:adjustRightInd w:val="0"/>
              <w:snapToGrid w:val="0"/>
              <w:jc w:val="center"/>
              <w:rPr>
                <w:rFonts w:ascii="宋体" w:hAnsi="宋体"/>
                <w:color w:val="auto"/>
                <w:szCs w:val="21"/>
              </w:rPr>
            </w:pPr>
            <w:r>
              <w:rPr>
                <w:rFonts w:hint="eastAsia" w:asciiTheme="minorEastAsia" w:hAnsiTheme="minorEastAsia" w:eastAsiaTheme="minorEastAsia"/>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numPr>
                <w:ilvl w:val="0"/>
                <w:numId w:val="25"/>
              </w:numPr>
              <w:adjustRightInd w:val="0"/>
              <w:snapToGrid w:val="0"/>
              <w:rPr>
                <w:rFonts w:ascii="宋体" w:hAnsi="宋体"/>
                <w:color w:val="auto"/>
                <w:szCs w:val="21"/>
              </w:rPr>
            </w:pPr>
          </w:p>
        </w:tc>
        <w:tc>
          <w:tcPr>
            <w:tcW w:w="6325" w:type="dxa"/>
            <w:gridSpan w:val="2"/>
            <w:vAlign w:val="center"/>
          </w:tcPr>
          <w:p>
            <w:pPr>
              <w:adjustRightInd w:val="0"/>
              <w:snapToGrid w:val="0"/>
              <w:rPr>
                <w:rFonts w:ascii="宋体" w:hAnsi="宋体"/>
                <w:color w:val="auto"/>
                <w:szCs w:val="21"/>
              </w:rPr>
            </w:pPr>
            <w:r>
              <w:rPr>
                <w:rFonts w:hint="eastAsia" w:hAnsi="宋体" w:cs="Courier New"/>
                <w:color w:val="auto"/>
                <w:kern w:val="0"/>
              </w:rPr>
              <w:t>开票资料说明函</w:t>
            </w:r>
          </w:p>
        </w:tc>
        <w:tc>
          <w:tcPr>
            <w:tcW w:w="1892" w:type="dxa"/>
            <w:vAlign w:val="center"/>
          </w:tcPr>
          <w:p>
            <w:pPr>
              <w:adjustRightInd w:val="0"/>
              <w:snapToGrid w:val="0"/>
              <w:jc w:val="center"/>
              <w:rPr>
                <w:rFonts w:ascii="宋体" w:hAnsi="宋体"/>
                <w:color w:val="auto"/>
                <w:szCs w:val="21"/>
              </w:rPr>
            </w:pPr>
            <w:r>
              <w:rPr>
                <w:rFonts w:hint="eastAsia" w:asciiTheme="minorEastAsia" w:hAnsiTheme="minorEastAsia" w:eastAsiaTheme="minorEastAsia"/>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numPr>
                <w:ilvl w:val="0"/>
                <w:numId w:val="25"/>
              </w:numPr>
              <w:adjustRightInd w:val="0"/>
              <w:snapToGrid w:val="0"/>
              <w:rPr>
                <w:rFonts w:ascii="宋体" w:hAnsi="宋体"/>
                <w:color w:val="auto"/>
                <w:szCs w:val="21"/>
              </w:rPr>
            </w:pPr>
          </w:p>
        </w:tc>
        <w:tc>
          <w:tcPr>
            <w:tcW w:w="6325" w:type="dxa"/>
            <w:gridSpan w:val="2"/>
            <w:vAlign w:val="center"/>
          </w:tcPr>
          <w:p>
            <w:pPr>
              <w:adjustRightInd w:val="0"/>
              <w:snapToGrid w:val="0"/>
              <w:rPr>
                <w:rFonts w:hAnsi="宋体" w:cs="Courier New"/>
                <w:color w:val="auto"/>
                <w:kern w:val="0"/>
              </w:rPr>
            </w:pPr>
            <w:r>
              <w:rPr>
                <w:rFonts w:hint="eastAsia" w:ascii="宋体" w:hAnsi="宋体"/>
                <w:color w:val="auto"/>
                <w:szCs w:val="21"/>
              </w:rPr>
              <w:t>资料原件及清单</w:t>
            </w:r>
          </w:p>
        </w:tc>
        <w:tc>
          <w:tcPr>
            <w:tcW w:w="1892" w:type="dxa"/>
            <w:vAlign w:val="center"/>
          </w:tcPr>
          <w:p>
            <w:pPr>
              <w:adjustRightInd w:val="0"/>
              <w:snapToGrid w:val="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第（ ）页</w:t>
            </w:r>
          </w:p>
        </w:tc>
      </w:tr>
    </w:tbl>
    <w:p>
      <w:pPr>
        <w:widowControl/>
        <w:jc w:val="left"/>
        <w:rPr>
          <w:rFonts w:ascii="宋体" w:hAnsi="宋体"/>
          <w:color w:val="auto"/>
        </w:rPr>
      </w:pPr>
    </w:p>
    <w:p>
      <w:pPr>
        <w:pStyle w:val="4"/>
        <w:adjustRightInd w:val="0"/>
        <w:snapToGrid w:val="0"/>
        <w:spacing w:before="0" w:after="0" w:line="360" w:lineRule="auto"/>
        <w:jc w:val="center"/>
        <w:rPr>
          <w:b w:val="0"/>
          <w:color w:val="auto"/>
        </w:rPr>
        <w:sectPr>
          <w:pgSz w:w="11906" w:h="16838"/>
          <w:pgMar w:top="1440" w:right="1286" w:bottom="1440" w:left="1440" w:header="851" w:footer="992" w:gutter="0"/>
          <w:cols w:space="425" w:num="1"/>
          <w:docGrid w:type="lines" w:linePitch="312" w:charSpace="0"/>
        </w:sectPr>
      </w:pPr>
      <w:bookmarkStart w:id="35" w:name="_Toc435515305"/>
      <w:bookmarkStart w:id="36" w:name="_Toc435514865"/>
    </w:p>
    <w:p>
      <w:pPr>
        <w:pStyle w:val="4"/>
        <w:adjustRightInd w:val="0"/>
        <w:snapToGrid w:val="0"/>
        <w:spacing w:beforeLines="50" w:after="0" w:line="360" w:lineRule="auto"/>
        <w:jc w:val="center"/>
        <w:rPr>
          <w:b w:val="0"/>
          <w:color w:val="auto"/>
        </w:rPr>
      </w:pPr>
      <w:r>
        <w:rPr>
          <w:rFonts w:hint="eastAsia"/>
          <w:b w:val="0"/>
          <w:color w:val="auto"/>
        </w:rPr>
        <w:t>开标一览表(报价表)</w:t>
      </w:r>
      <w:bookmarkEnd w:id="35"/>
      <w:bookmarkEnd w:id="36"/>
    </w:p>
    <w:p>
      <w:pPr>
        <w:tabs>
          <w:tab w:val="left" w:pos="7740"/>
        </w:tabs>
        <w:adjustRightInd w:val="0"/>
        <w:snapToGrid w:val="0"/>
        <w:spacing w:line="360" w:lineRule="auto"/>
        <w:rPr>
          <w:rFonts w:ascii="宋体" w:hAnsi="宋体"/>
          <w:color w:val="auto"/>
        </w:rPr>
      </w:pPr>
      <w:r>
        <w:rPr>
          <w:rFonts w:hint="eastAsia" w:ascii="宋体" w:hAnsi="宋体"/>
          <w:color w:val="auto"/>
        </w:rPr>
        <w:t>项目名称：珠江街2021年粤港深度合作区（启动区）临时排水设施日常运行管养项目</w:t>
      </w:r>
    </w:p>
    <w:p>
      <w:pPr>
        <w:tabs>
          <w:tab w:val="left" w:pos="7740"/>
        </w:tabs>
        <w:adjustRightInd w:val="0"/>
        <w:snapToGrid w:val="0"/>
        <w:spacing w:line="360" w:lineRule="auto"/>
        <w:rPr>
          <w:color w:val="auto"/>
          <w:spacing w:val="4"/>
        </w:rPr>
      </w:pPr>
      <w:r>
        <w:rPr>
          <w:rFonts w:hint="eastAsia" w:ascii="宋体" w:hAnsi="宋体"/>
          <w:color w:val="auto"/>
        </w:rPr>
        <w:t>项目编号：GZGX21GZ00QY-45</w:t>
      </w:r>
    </w:p>
    <w:tbl>
      <w:tblPr>
        <w:tblStyle w:val="44"/>
        <w:tblW w:w="938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19"/>
        <w:gridCol w:w="3180"/>
        <w:gridCol w:w="29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3219" w:type="dxa"/>
            <w:vAlign w:val="center"/>
          </w:tcPr>
          <w:p>
            <w:pPr>
              <w:adjustRightInd w:val="0"/>
              <w:snapToGrid w:val="0"/>
              <w:jc w:val="center"/>
              <w:rPr>
                <w:rFonts w:ascii="宋体"/>
                <w:b/>
                <w:bCs/>
                <w:color w:val="auto"/>
                <w:szCs w:val="20"/>
              </w:rPr>
            </w:pPr>
            <w:r>
              <w:rPr>
                <w:rFonts w:hint="eastAsia" w:ascii="宋体"/>
                <w:b/>
                <w:bCs/>
                <w:color w:val="auto"/>
                <w:szCs w:val="20"/>
              </w:rPr>
              <w:t>采购内容</w:t>
            </w:r>
          </w:p>
        </w:tc>
        <w:tc>
          <w:tcPr>
            <w:tcW w:w="3180" w:type="dxa"/>
            <w:vAlign w:val="center"/>
          </w:tcPr>
          <w:p>
            <w:pPr>
              <w:adjustRightInd w:val="0"/>
              <w:snapToGrid w:val="0"/>
              <w:jc w:val="center"/>
              <w:rPr>
                <w:rFonts w:ascii="宋体"/>
                <w:b/>
                <w:bCs/>
                <w:color w:val="auto"/>
                <w:szCs w:val="20"/>
              </w:rPr>
            </w:pPr>
            <w:r>
              <w:rPr>
                <w:rFonts w:hint="eastAsia" w:ascii="宋体"/>
                <w:b/>
                <w:bCs/>
                <w:color w:val="auto"/>
                <w:szCs w:val="20"/>
              </w:rPr>
              <w:t>投标报价</w:t>
            </w:r>
          </w:p>
          <w:p>
            <w:pPr>
              <w:adjustRightInd w:val="0"/>
              <w:snapToGrid w:val="0"/>
              <w:jc w:val="center"/>
              <w:rPr>
                <w:rFonts w:ascii="宋体"/>
                <w:b/>
                <w:bCs/>
                <w:color w:val="auto"/>
                <w:szCs w:val="20"/>
              </w:rPr>
            </w:pPr>
            <w:r>
              <w:rPr>
                <w:rFonts w:hint="eastAsia" w:ascii="宋体"/>
                <w:b/>
                <w:bCs/>
                <w:color w:val="auto"/>
                <w:szCs w:val="20"/>
              </w:rPr>
              <w:t>（人民币 元）</w:t>
            </w:r>
          </w:p>
        </w:tc>
        <w:tc>
          <w:tcPr>
            <w:tcW w:w="2988" w:type="dxa"/>
            <w:vAlign w:val="center"/>
          </w:tcPr>
          <w:p>
            <w:pPr>
              <w:adjustRightInd w:val="0"/>
              <w:snapToGrid w:val="0"/>
              <w:jc w:val="center"/>
              <w:rPr>
                <w:rFonts w:ascii="宋体"/>
                <w:b/>
                <w:bCs/>
                <w:color w:val="auto"/>
                <w:szCs w:val="20"/>
              </w:rPr>
            </w:pPr>
            <w:r>
              <w:rPr>
                <w:rFonts w:hint="eastAsia" w:ascii="宋体"/>
                <w:b/>
                <w:bCs/>
                <w:color w:val="auto"/>
                <w:szCs w:val="20"/>
              </w:rPr>
              <w:t>服务期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jc w:val="center"/>
        </w:trPr>
        <w:tc>
          <w:tcPr>
            <w:tcW w:w="3219" w:type="dxa"/>
            <w:vAlign w:val="center"/>
          </w:tcPr>
          <w:p>
            <w:pPr>
              <w:adjustRightInd w:val="0"/>
              <w:snapToGrid w:val="0"/>
              <w:jc w:val="center"/>
              <w:rPr>
                <w:rFonts w:ascii="宋体"/>
                <w:bCs/>
                <w:color w:val="auto"/>
                <w:szCs w:val="20"/>
              </w:rPr>
            </w:pPr>
            <w:r>
              <w:rPr>
                <w:rFonts w:hint="eastAsia" w:ascii="宋体"/>
                <w:bCs/>
                <w:color w:val="auto"/>
                <w:szCs w:val="20"/>
              </w:rPr>
              <w:t>珠江街2021年粤港深度合作区（启动区）临时排水设施日常运行管养项目</w:t>
            </w:r>
          </w:p>
        </w:tc>
        <w:tc>
          <w:tcPr>
            <w:tcW w:w="3180" w:type="dxa"/>
            <w:vAlign w:val="center"/>
          </w:tcPr>
          <w:p>
            <w:pPr>
              <w:adjustRightInd w:val="0"/>
              <w:snapToGrid w:val="0"/>
              <w:rPr>
                <w:rFonts w:ascii="宋体"/>
                <w:bCs/>
                <w:color w:val="auto"/>
                <w:szCs w:val="21"/>
              </w:rPr>
            </w:pPr>
            <w:r>
              <w:rPr>
                <w:rFonts w:hint="eastAsia" w:ascii="宋体"/>
                <w:bCs/>
                <w:color w:val="auto"/>
                <w:szCs w:val="21"/>
              </w:rPr>
              <w:t xml:space="preserve">小写：RMB </w:t>
            </w:r>
          </w:p>
          <w:p>
            <w:pPr>
              <w:adjustRightInd w:val="0"/>
              <w:snapToGrid w:val="0"/>
              <w:rPr>
                <w:rFonts w:ascii="宋体" w:hAnsi="宋体"/>
                <w:color w:val="auto"/>
                <w:szCs w:val="21"/>
              </w:rPr>
            </w:pPr>
            <w:r>
              <w:rPr>
                <w:rFonts w:hint="eastAsia" w:ascii="宋体"/>
                <w:bCs/>
                <w:color w:val="auto"/>
                <w:szCs w:val="21"/>
              </w:rPr>
              <w:t>大写：</w:t>
            </w:r>
          </w:p>
        </w:tc>
        <w:tc>
          <w:tcPr>
            <w:tcW w:w="2988" w:type="dxa"/>
            <w:vAlign w:val="center"/>
          </w:tcPr>
          <w:p>
            <w:pPr>
              <w:adjustRightInd w:val="0"/>
              <w:snapToGrid w:val="0"/>
              <w:jc w:val="center"/>
              <w:rPr>
                <w:rFonts w:ascii="宋体"/>
                <w:bCs/>
                <w:color w:val="auto"/>
                <w:szCs w:val="20"/>
              </w:rPr>
            </w:pPr>
            <w:r>
              <w:rPr>
                <w:rFonts w:hint="eastAsia" w:ascii="宋体"/>
                <w:bCs/>
                <w:color w:val="auto"/>
                <w:szCs w:val="20"/>
              </w:rPr>
              <w:t>暂定为2021年5月1日至2022年4月30日（具体以实际签订合同日期为准）</w:t>
            </w:r>
          </w:p>
        </w:tc>
      </w:tr>
    </w:tbl>
    <w:p>
      <w:pPr>
        <w:pStyle w:val="18"/>
        <w:rPr>
          <w:color w:val="auto"/>
          <w:spacing w:val="4"/>
        </w:rPr>
      </w:pPr>
    </w:p>
    <w:p>
      <w:pPr>
        <w:pStyle w:val="18"/>
        <w:rPr>
          <w:color w:val="auto"/>
          <w:spacing w:val="4"/>
        </w:rPr>
      </w:pPr>
    </w:p>
    <w:p>
      <w:pPr>
        <w:spacing w:line="500" w:lineRule="exact"/>
        <w:rPr>
          <w:rFonts w:ascii="宋体" w:hAnsi="宋体"/>
          <w:color w:val="auto"/>
          <w:u w:val="single"/>
        </w:rPr>
      </w:pPr>
      <w:r>
        <w:rPr>
          <w:rFonts w:hint="eastAsia"/>
          <w:color w:val="auto"/>
          <w:spacing w:val="4"/>
        </w:rPr>
        <w:t>投标人名称（</w:t>
      </w:r>
      <w:r>
        <w:rPr>
          <w:rFonts w:hint="eastAsia" w:ascii="宋体" w:hAnsi="宋体"/>
          <w:color w:val="auto"/>
        </w:rPr>
        <w:t>单位盖</w:t>
      </w:r>
      <w:r>
        <w:rPr>
          <w:rFonts w:hint="eastAsia"/>
          <w:color w:val="auto"/>
          <w:spacing w:val="4"/>
        </w:rPr>
        <w:t>公章）：</w:t>
      </w:r>
    </w:p>
    <w:p>
      <w:pPr>
        <w:spacing w:line="520" w:lineRule="exact"/>
        <w:rPr>
          <w:rFonts w:ascii="宋体" w:hAnsi="宋体"/>
          <w:color w:val="auto"/>
        </w:rPr>
      </w:pPr>
      <w:r>
        <w:rPr>
          <w:rFonts w:hint="eastAsia" w:ascii="宋体"/>
          <w:color w:val="auto"/>
        </w:rPr>
        <w:t>法定代表人或</w:t>
      </w:r>
      <w:r>
        <w:rPr>
          <w:rFonts w:hint="eastAsia" w:ascii="宋体" w:hAnsi="宋体"/>
          <w:color w:val="auto"/>
        </w:rPr>
        <w:t>投标人授权代表（</w:t>
      </w:r>
      <w:r>
        <w:rPr>
          <w:rFonts w:hint="eastAsia" w:ascii="宋体" w:hAnsi="宋体"/>
          <w:color w:val="auto"/>
          <w:szCs w:val="21"/>
        </w:rPr>
        <w:t>签署本人姓名或印盖本人姓名章</w:t>
      </w:r>
      <w:r>
        <w:rPr>
          <w:rFonts w:hint="eastAsia" w:ascii="宋体" w:hAnsi="宋体"/>
          <w:color w:val="auto"/>
        </w:rPr>
        <w:t xml:space="preserve">）： </w:t>
      </w:r>
    </w:p>
    <w:p>
      <w:pPr>
        <w:spacing w:line="520" w:lineRule="exact"/>
        <w:rPr>
          <w:color w:val="auto"/>
          <w:spacing w:val="4"/>
        </w:rPr>
      </w:pPr>
      <w:r>
        <w:rPr>
          <w:rFonts w:hint="eastAsia"/>
          <w:color w:val="auto"/>
          <w:spacing w:val="4"/>
        </w:rPr>
        <w:t xml:space="preserve">职务： </w:t>
      </w:r>
    </w:p>
    <w:p>
      <w:pPr>
        <w:spacing w:line="520" w:lineRule="exact"/>
        <w:rPr>
          <w:color w:val="auto"/>
          <w:spacing w:val="4"/>
        </w:rPr>
      </w:pPr>
      <w:r>
        <w:rPr>
          <w:rFonts w:hint="eastAsia"/>
          <w:color w:val="auto"/>
          <w:spacing w:val="4"/>
        </w:rPr>
        <w:t>日期：</w:t>
      </w:r>
    </w:p>
    <w:p>
      <w:pPr>
        <w:spacing w:line="400" w:lineRule="exact"/>
        <w:rPr>
          <w:rFonts w:ascii="宋体" w:hAnsi="宋体"/>
          <w:b/>
          <w:bCs/>
          <w:color w:val="auto"/>
          <w:szCs w:val="21"/>
        </w:rPr>
      </w:pPr>
      <w:r>
        <w:rPr>
          <w:rFonts w:hint="eastAsia" w:ascii="宋体" w:hAnsi="宋体"/>
          <w:b/>
          <w:bCs/>
          <w:color w:val="auto"/>
          <w:szCs w:val="21"/>
        </w:rPr>
        <w:t>备注：</w:t>
      </w:r>
    </w:p>
    <w:p>
      <w:pPr>
        <w:numPr>
          <w:ilvl w:val="1"/>
          <w:numId w:val="26"/>
        </w:numPr>
        <w:tabs>
          <w:tab w:val="left" w:pos="360"/>
        </w:tabs>
        <w:snapToGrid w:val="0"/>
        <w:spacing w:line="360" w:lineRule="auto"/>
        <w:ind w:left="360"/>
        <w:rPr>
          <w:color w:val="auto"/>
          <w:spacing w:val="4"/>
        </w:rPr>
      </w:pPr>
      <w:r>
        <w:rPr>
          <w:rFonts w:hint="eastAsia"/>
          <w:color w:val="auto"/>
          <w:spacing w:val="4"/>
        </w:rPr>
        <w:t>中文大写金额用汉字，如壹、贰、叁、肆、伍、陆、柒、捌、玖、拾、佰、仟、万、亿、元、角、分、零、整（正）等。</w:t>
      </w:r>
    </w:p>
    <w:p>
      <w:pPr>
        <w:numPr>
          <w:ilvl w:val="1"/>
          <w:numId w:val="26"/>
        </w:numPr>
        <w:tabs>
          <w:tab w:val="left" w:pos="360"/>
        </w:tabs>
        <w:snapToGrid w:val="0"/>
        <w:spacing w:line="360" w:lineRule="auto"/>
        <w:ind w:left="360"/>
        <w:rPr>
          <w:color w:val="auto"/>
          <w:spacing w:val="4"/>
        </w:rPr>
      </w:pPr>
      <w:r>
        <w:rPr>
          <w:rFonts w:hint="eastAsia" w:ascii="宋体" w:hAnsi="宋体"/>
          <w:b/>
          <w:bCs/>
          <w:color w:val="auto"/>
        </w:rPr>
        <w:t>所有价格均系用人民币表示，单位为元，投标报价的小数点后保留两位有效数</w:t>
      </w:r>
      <w:r>
        <w:rPr>
          <w:rFonts w:hint="eastAsia" w:ascii="宋体" w:hAnsi="宋体"/>
          <w:b/>
          <w:bCs/>
          <w:color w:val="auto"/>
          <w:szCs w:val="21"/>
        </w:rPr>
        <w:t>。</w:t>
      </w:r>
    </w:p>
    <w:p>
      <w:pPr>
        <w:numPr>
          <w:ilvl w:val="1"/>
          <w:numId w:val="26"/>
        </w:numPr>
        <w:tabs>
          <w:tab w:val="left" w:pos="360"/>
          <w:tab w:val="left" w:pos="840"/>
        </w:tabs>
        <w:snapToGrid w:val="0"/>
        <w:spacing w:line="360" w:lineRule="auto"/>
        <w:ind w:left="360"/>
        <w:rPr>
          <w:b/>
          <w:color w:val="auto"/>
        </w:rPr>
      </w:pPr>
      <w:r>
        <w:rPr>
          <w:rFonts w:hint="eastAsia"/>
          <w:b/>
          <w:color w:val="auto"/>
        </w:rPr>
        <w:t>除招标文件另有规定外，投标文件内不得含有任何对本报价进行价格折扣的说明或资料，否则为无效投标。</w:t>
      </w:r>
    </w:p>
    <w:p>
      <w:pPr>
        <w:numPr>
          <w:ilvl w:val="1"/>
          <w:numId w:val="26"/>
        </w:numPr>
        <w:tabs>
          <w:tab w:val="left" w:pos="378"/>
          <w:tab w:val="left" w:pos="840"/>
        </w:tabs>
        <w:snapToGrid w:val="0"/>
        <w:spacing w:line="360" w:lineRule="auto"/>
        <w:ind w:left="360"/>
        <w:rPr>
          <w:b/>
          <w:color w:val="auto"/>
        </w:rPr>
      </w:pPr>
      <w:r>
        <w:rPr>
          <w:rFonts w:hint="eastAsia"/>
          <w:b/>
          <w:color w:val="auto"/>
        </w:rPr>
        <w:t>投标报价要求具体见第七章“投标</w:t>
      </w:r>
      <w:r>
        <w:rPr>
          <w:rFonts w:hint="eastAsia" w:ascii="宋体" w:hAnsi="宋体"/>
          <w:b/>
          <w:bCs/>
          <w:color w:val="auto"/>
          <w:szCs w:val="21"/>
        </w:rPr>
        <w:t>报价</w:t>
      </w:r>
      <w:r>
        <w:rPr>
          <w:rFonts w:hint="eastAsia"/>
          <w:b/>
          <w:color w:val="auto"/>
        </w:rPr>
        <w:t>”及用户需求要求。</w:t>
      </w:r>
    </w:p>
    <w:p>
      <w:pPr>
        <w:numPr>
          <w:ilvl w:val="1"/>
          <w:numId w:val="26"/>
        </w:numPr>
        <w:tabs>
          <w:tab w:val="left" w:pos="378"/>
          <w:tab w:val="left" w:pos="840"/>
        </w:tabs>
        <w:snapToGrid w:val="0"/>
        <w:spacing w:line="360" w:lineRule="auto"/>
        <w:ind w:left="360"/>
        <w:rPr>
          <w:rFonts w:ascii="宋体" w:hAnsi="宋体"/>
          <w:b/>
          <w:color w:val="auto"/>
        </w:rPr>
        <w:sectPr>
          <w:pgSz w:w="11906" w:h="16838"/>
          <w:pgMar w:top="1440" w:right="1286" w:bottom="1440" w:left="1440" w:header="851" w:footer="992" w:gutter="0"/>
          <w:cols w:space="425" w:num="1"/>
          <w:docGrid w:type="lines" w:linePitch="312" w:charSpace="0"/>
        </w:sectPr>
      </w:pPr>
    </w:p>
    <w:p>
      <w:pPr>
        <w:pStyle w:val="4"/>
        <w:adjustRightInd w:val="0"/>
        <w:snapToGrid w:val="0"/>
        <w:spacing w:beforeLines="50" w:after="0" w:line="360" w:lineRule="auto"/>
        <w:jc w:val="center"/>
        <w:rPr>
          <w:b w:val="0"/>
          <w:bCs w:val="0"/>
          <w:color w:val="auto"/>
        </w:rPr>
      </w:pPr>
      <w:r>
        <w:rPr>
          <w:rFonts w:hint="eastAsia"/>
          <w:b w:val="0"/>
          <w:bCs w:val="0"/>
          <w:color w:val="auto"/>
        </w:rPr>
        <w:t>投标分项报价表</w:t>
      </w:r>
    </w:p>
    <w:p>
      <w:pPr>
        <w:tabs>
          <w:tab w:val="left" w:pos="7740"/>
        </w:tabs>
        <w:adjustRightInd w:val="0"/>
        <w:snapToGrid w:val="0"/>
        <w:spacing w:line="360" w:lineRule="auto"/>
        <w:rPr>
          <w:rFonts w:ascii="宋体" w:hAnsi="宋体"/>
          <w:color w:val="auto"/>
        </w:rPr>
      </w:pPr>
      <w:r>
        <w:rPr>
          <w:rFonts w:hint="eastAsia" w:ascii="宋体" w:hAnsi="宋体"/>
          <w:color w:val="auto"/>
        </w:rPr>
        <w:t>项目名称：珠江街2021年粤港深度合作区（启动区）临时排水设施日常运行管养项目</w:t>
      </w:r>
    </w:p>
    <w:p>
      <w:pPr>
        <w:tabs>
          <w:tab w:val="left" w:pos="7740"/>
        </w:tabs>
        <w:adjustRightInd w:val="0"/>
        <w:snapToGrid w:val="0"/>
        <w:spacing w:line="360" w:lineRule="auto"/>
        <w:rPr>
          <w:rFonts w:ascii="宋体" w:hAnsi="宋体"/>
          <w:color w:val="auto"/>
        </w:rPr>
      </w:pPr>
      <w:r>
        <w:rPr>
          <w:rFonts w:hint="eastAsia" w:ascii="宋体" w:hAnsi="宋体"/>
          <w:color w:val="auto"/>
        </w:rPr>
        <w:t>项目编号：GZGX21GZ00QY-45</w:t>
      </w:r>
    </w:p>
    <w:tbl>
      <w:tblPr>
        <w:tblStyle w:val="44"/>
        <w:tblW w:w="939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9"/>
        <w:gridCol w:w="3423"/>
        <w:gridCol w:w="1002"/>
        <w:gridCol w:w="1436"/>
        <w:gridCol w:w="1344"/>
        <w:gridCol w:w="13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71" w:hRule="atLeast"/>
        </w:trPr>
        <w:tc>
          <w:tcPr>
            <w:tcW w:w="849" w:type="dxa"/>
            <w:vAlign w:val="center"/>
          </w:tcPr>
          <w:p>
            <w:pPr>
              <w:jc w:val="center"/>
              <w:rPr>
                <w:rFonts w:ascii="宋体" w:hAnsi="宋体"/>
                <w:b/>
                <w:color w:val="auto"/>
                <w:szCs w:val="21"/>
              </w:rPr>
            </w:pPr>
            <w:r>
              <w:rPr>
                <w:rFonts w:hint="eastAsia" w:ascii="宋体" w:hAnsi="宋体"/>
                <w:b/>
                <w:color w:val="auto"/>
                <w:szCs w:val="21"/>
              </w:rPr>
              <w:t>序号</w:t>
            </w:r>
          </w:p>
        </w:tc>
        <w:tc>
          <w:tcPr>
            <w:tcW w:w="3423" w:type="dxa"/>
            <w:vAlign w:val="center"/>
          </w:tcPr>
          <w:p>
            <w:pPr>
              <w:jc w:val="center"/>
              <w:rPr>
                <w:rFonts w:ascii="宋体" w:hAnsi="宋体"/>
                <w:b/>
                <w:bCs/>
                <w:color w:val="auto"/>
                <w:szCs w:val="21"/>
              </w:rPr>
            </w:pPr>
            <w:r>
              <w:rPr>
                <w:rFonts w:hint="eastAsia" w:ascii="宋体" w:hAnsi="宋体"/>
                <w:b/>
                <w:color w:val="auto"/>
                <w:szCs w:val="21"/>
              </w:rPr>
              <w:t>服务内容</w:t>
            </w:r>
          </w:p>
        </w:tc>
        <w:tc>
          <w:tcPr>
            <w:tcW w:w="1002" w:type="dxa"/>
            <w:vAlign w:val="center"/>
          </w:tcPr>
          <w:p>
            <w:pPr>
              <w:jc w:val="center"/>
              <w:rPr>
                <w:rFonts w:ascii="宋体" w:hAnsi="宋体"/>
                <w:b/>
                <w:bCs/>
                <w:color w:val="auto"/>
                <w:szCs w:val="21"/>
              </w:rPr>
            </w:pPr>
            <w:r>
              <w:rPr>
                <w:rFonts w:hint="eastAsia" w:ascii="宋体" w:hAnsi="宋体"/>
                <w:b/>
                <w:bCs/>
                <w:color w:val="auto"/>
                <w:szCs w:val="21"/>
              </w:rPr>
              <w:t>数量</w:t>
            </w:r>
          </w:p>
        </w:tc>
        <w:tc>
          <w:tcPr>
            <w:tcW w:w="1436" w:type="dxa"/>
            <w:vAlign w:val="center"/>
          </w:tcPr>
          <w:p>
            <w:pPr>
              <w:jc w:val="center"/>
              <w:rPr>
                <w:rFonts w:ascii="宋体" w:hAnsi="宋体"/>
                <w:b/>
                <w:color w:val="auto"/>
                <w:szCs w:val="21"/>
              </w:rPr>
            </w:pPr>
            <w:r>
              <w:rPr>
                <w:rFonts w:hint="eastAsia" w:ascii="宋体" w:hAnsi="宋体"/>
                <w:b/>
                <w:color w:val="auto"/>
                <w:szCs w:val="21"/>
              </w:rPr>
              <w:t>单价（元）</w:t>
            </w:r>
          </w:p>
        </w:tc>
        <w:tc>
          <w:tcPr>
            <w:tcW w:w="1344" w:type="dxa"/>
            <w:vAlign w:val="center"/>
          </w:tcPr>
          <w:p>
            <w:pPr>
              <w:ind w:left="-92" w:leftChars="-44"/>
              <w:jc w:val="center"/>
              <w:rPr>
                <w:rFonts w:ascii="宋体" w:hAnsi="宋体"/>
                <w:b/>
                <w:color w:val="auto"/>
                <w:szCs w:val="21"/>
              </w:rPr>
            </w:pPr>
            <w:r>
              <w:rPr>
                <w:rFonts w:hint="eastAsia" w:ascii="宋体" w:hAnsi="宋体"/>
                <w:b/>
                <w:color w:val="auto"/>
                <w:szCs w:val="21"/>
              </w:rPr>
              <w:t>合计（元）</w:t>
            </w:r>
          </w:p>
        </w:tc>
        <w:tc>
          <w:tcPr>
            <w:tcW w:w="1342" w:type="dxa"/>
            <w:vAlign w:val="center"/>
          </w:tcPr>
          <w:p>
            <w:pPr>
              <w:ind w:left="-92" w:leftChars="-44"/>
              <w:jc w:val="center"/>
              <w:rPr>
                <w:rFonts w:ascii="宋体" w:hAnsi="宋体"/>
                <w:b/>
                <w:color w:val="auto"/>
                <w:szCs w:val="21"/>
              </w:rPr>
            </w:pPr>
            <w:r>
              <w:rPr>
                <w:rFonts w:ascii="宋体" w:hAnsi="宋体"/>
                <w:b/>
                <w:color w:val="auto"/>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71" w:hRule="atLeast"/>
        </w:trPr>
        <w:tc>
          <w:tcPr>
            <w:tcW w:w="849" w:type="dxa"/>
            <w:vAlign w:val="center"/>
          </w:tcPr>
          <w:p>
            <w:pPr>
              <w:jc w:val="center"/>
              <w:rPr>
                <w:rFonts w:ascii="宋体" w:hAnsi="宋体"/>
                <w:color w:val="auto"/>
                <w:szCs w:val="21"/>
              </w:rPr>
            </w:pPr>
            <w:r>
              <w:rPr>
                <w:rFonts w:hint="eastAsia" w:ascii="宋体" w:hAnsi="宋体"/>
                <w:color w:val="auto"/>
                <w:szCs w:val="21"/>
              </w:rPr>
              <w:t>1</w:t>
            </w:r>
          </w:p>
        </w:tc>
        <w:tc>
          <w:tcPr>
            <w:tcW w:w="3423" w:type="dxa"/>
            <w:vAlign w:val="center"/>
          </w:tcPr>
          <w:p>
            <w:pPr>
              <w:jc w:val="center"/>
              <w:rPr>
                <w:rFonts w:ascii="宋体" w:hAnsi="宋体"/>
                <w:bCs/>
                <w:color w:val="auto"/>
                <w:szCs w:val="21"/>
              </w:rPr>
            </w:pPr>
          </w:p>
        </w:tc>
        <w:tc>
          <w:tcPr>
            <w:tcW w:w="1002" w:type="dxa"/>
            <w:vAlign w:val="center"/>
          </w:tcPr>
          <w:p>
            <w:pPr>
              <w:jc w:val="center"/>
              <w:rPr>
                <w:rFonts w:ascii="宋体" w:hAnsi="宋体"/>
                <w:bCs/>
                <w:color w:val="auto"/>
                <w:szCs w:val="21"/>
              </w:rPr>
            </w:pPr>
          </w:p>
        </w:tc>
        <w:tc>
          <w:tcPr>
            <w:tcW w:w="1436" w:type="dxa"/>
            <w:vAlign w:val="center"/>
          </w:tcPr>
          <w:p>
            <w:pPr>
              <w:jc w:val="center"/>
              <w:rPr>
                <w:rFonts w:ascii="宋体" w:hAnsi="宋体"/>
                <w:color w:val="auto"/>
                <w:szCs w:val="21"/>
              </w:rPr>
            </w:pPr>
          </w:p>
        </w:tc>
        <w:tc>
          <w:tcPr>
            <w:tcW w:w="1344" w:type="dxa"/>
            <w:vAlign w:val="center"/>
          </w:tcPr>
          <w:p>
            <w:pPr>
              <w:ind w:left="-92" w:leftChars="-44"/>
              <w:jc w:val="center"/>
              <w:rPr>
                <w:rFonts w:ascii="宋体" w:hAnsi="宋体"/>
                <w:color w:val="auto"/>
                <w:szCs w:val="21"/>
              </w:rPr>
            </w:pPr>
          </w:p>
        </w:tc>
        <w:tc>
          <w:tcPr>
            <w:tcW w:w="1342" w:type="dxa"/>
            <w:vAlign w:val="center"/>
          </w:tcPr>
          <w:p>
            <w:pPr>
              <w:ind w:left="-92" w:leftChars="-44"/>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71" w:hRule="atLeast"/>
        </w:trPr>
        <w:tc>
          <w:tcPr>
            <w:tcW w:w="849" w:type="dxa"/>
            <w:vAlign w:val="center"/>
          </w:tcPr>
          <w:p>
            <w:pPr>
              <w:jc w:val="center"/>
              <w:rPr>
                <w:rFonts w:ascii="宋体" w:hAnsi="宋体"/>
                <w:color w:val="auto"/>
                <w:szCs w:val="21"/>
              </w:rPr>
            </w:pPr>
            <w:r>
              <w:rPr>
                <w:rFonts w:hint="eastAsia" w:ascii="宋体" w:hAnsi="宋体"/>
                <w:color w:val="auto"/>
                <w:szCs w:val="21"/>
              </w:rPr>
              <w:t>2</w:t>
            </w:r>
          </w:p>
        </w:tc>
        <w:tc>
          <w:tcPr>
            <w:tcW w:w="3423" w:type="dxa"/>
            <w:vAlign w:val="center"/>
          </w:tcPr>
          <w:p>
            <w:pPr>
              <w:jc w:val="center"/>
              <w:rPr>
                <w:rFonts w:ascii="宋体" w:hAnsi="宋体"/>
                <w:bCs/>
                <w:color w:val="auto"/>
                <w:szCs w:val="21"/>
              </w:rPr>
            </w:pPr>
          </w:p>
        </w:tc>
        <w:tc>
          <w:tcPr>
            <w:tcW w:w="1002" w:type="dxa"/>
            <w:vAlign w:val="center"/>
          </w:tcPr>
          <w:p>
            <w:pPr>
              <w:jc w:val="center"/>
              <w:rPr>
                <w:rFonts w:ascii="宋体" w:hAnsi="宋体"/>
                <w:bCs/>
                <w:color w:val="auto"/>
                <w:szCs w:val="21"/>
              </w:rPr>
            </w:pPr>
          </w:p>
        </w:tc>
        <w:tc>
          <w:tcPr>
            <w:tcW w:w="1436" w:type="dxa"/>
            <w:vAlign w:val="center"/>
          </w:tcPr>
          <w:p>
            <w:pPr>
              <w:jc w:val="center"/>
              <w:rPr>
                <w:rFonts w:ascii="宋体" w:hAnsi="宋体"/>
                <w:color w:val="auto"/>
                <w:szCs w:val="21"/>
              </w:rPr>
            </w:pPr>
          </w:p>
        </w:tc>
        <w:tc>
          <w:tcPr>
            <w:tcW w:w="1344" w:type="dxa"/>
            <w:vAlign w:val="center"/>
          </w:tcPr>
          <w:p>
            <w:pPr>
              <w:ind w:left="-92" w:leftChars="-44"/>
              <w:jc w:val="center"/>
              <w:rPr>
                <w:rFonts w:ascii="宋体" w:hAnsi="宋体"/>
                <w:color w:val="auto"/>
                <w:szCs w:val="21"/>
              </w:rPr>
            </w:pPr>
          </w:p>
        </w:tc>
        <w:tc>
          <w:tcPr>
            <w:tcW w:w="1342" w:type="dxa"/>
            <w:vAlign w:val="center"/>
          </w:tcPr>
          <w:p>
            <w:pPr>
              <w:ind w:left="-92" w:leftChars="-44"/>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71" w:hRule="atLeast"/>
        </w:trPr>
        <w:tc>
          <w:tcPr>
            <w:tcW w:w="849" w:type="dxa"/>
            <w:vAlign w:val="center"/>
          </w:tcPr>
          <w:p>
            <w:pPr>
              <w:jc w:val="center"/>
              <w:rPr>
                <w:rFonts w:ascii="宋体" w:hAnsi="宋体"/>
                <w:color w:val="auto"/>
                <w:szCs w:val="21"/>
              </w:rPr>
            </w:pPr>
            <w:r>
              <w:rPr>
                <w:rFonts w:ascii="宋体" w:hAnsi="宋体"/>
                <w:color w:val="auto"/>
                <w:szCs w:val="21"/>
              </w:rPr>
              <w:t>……</w:t>
            </w:r>
          </w:p>
        </w:tc>
        <w:tc>
          <w:tcPr>
            <w:tcW w:w="3423" w:type="dxa"/>
            <w:vAlign w:val="center"/>
          </w:tcPr>
          <w:p>
            <w:pPr>
              <w:jc w:val="center"/>
              <w:rPr>
                <w:rFonts w:ascii="宋体" w:hAnsi="宋体"/>
                <w:bCs/>
                <w:color w:val="auto"/>
                <w:szCs w:val="21"/>
              </w:rPr>
            </w:pPr>
          </w:p>
        </w:tc>
        <w:tc>
          <w:tcPr>
            <w:tcW w:w="1002" w:type="dxa"/>
            <w:vAlign w:val="center"/>
          </w:tcPr>
          <w:p>
            <w:pPr>
              <w:jc w:val="center"/>
              <w:rPr>
                <w:rFonts w:ascii="宋体" w:hAnsi="宋体"/>
                <w:bCs/>
                <w:color w:val="auto"/>
                <w:szCs w:val="21"/>
              </w:rPr>
            </w:pPr>
          </w:p>
        </w:tc>
        <w:tc>
          <w:tcPr>
            <w:tcW w:w="1436" w:type="dxa"/>
            <w:vAlign w:val="center"/>
          </w:tcPr>
          <w:p>
            <w:pPr>
              <w:jc w:val="center"/>
              <w:rPr>
                <w:rFonts w:ascii="宋体" w:hAnsi="宋体"/>
                <w:color w:val="auto"/>
                <w:szCs w:val="21"/>
              </w:rPr>
            </w:pPr>
          </w:p>
        </w:tc>
        <w:tc>
          <w:tcPr>
            <w:tcW w:w="1344" w:type="dxa"/>
            <w:vAlign w:val="center"/>
          </w:tcPr>
          <w:p>
            <w:pPr>
              <w:ind w:left="-92" w:leftChars="-44"/>
              <w:jc w:val="center"/>
              <w:rPr>
                <w:rFonts w:ascii="宋体" w:hAnsi="宋体"/>
                <w:color w:val="auto"/>
                <w:szCs w:val="21"/>
              </w:rPr>
            </w:pPr>
          </w:p>
        </w:tc>
        <w:tc>
          <w:tcPr>
            <w:tcW w:w="1342" w:type="dxa"/>
            <w:vAlign w:val="center"/>
          </w:tcPr>
          <w:p>
            <w:pPr>
              <w:ind w:left="-92" w:leftChars="-44"/>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71" w:hRule="atLeast"/>
        </w:trPr>
        <w:tc>
          <w:tcPr>
            <w:tcW w:w="849" w:type="dxa"/>
            <w:vAlign w:val="center"/>
          </w:tcPr>
          <w:p>
            <w:pPr>
              <w:jc w:val="center"/>
              <w:rPr>
                <w:rFonts w:ascii="宋体" w:hAnsi="宋体"/>
                <w:b/>
                <w:color w:val="auto"/>
              </w:rPr>
            </w:pPr>
            <w:r>
              <w:rPr>
                <w:rFonts w:hint="eastAsia" w:ascii="宋体" w:hAnsi="宋体"/>
                <w:b/>
                <w:color w:val="auto"/>
              </w:rPr>
              <w:t>总计</w:t>
            </w:r>
          </w:p>
          <w:p>
            <w:pPr>
              <w:jc w:val="center"/>
              <w:rPr>
                <w:rFonts w:ascii="宋体" w:hAnsi="宋体"/>
                <w:color w:val="auto"/>
              </w:rPr>
            </w:pPr>
            <w:r>
              <w:rPr>
                <w:rFonts w:hint="eastAsia" w:ascii="宋体"/>
                <w:b/>
                <w:color w:val="auto"/>
                <w:szCs w:val="21"/>
              </w:rPr>
              <w:t>（元）</w:t>
            </w:r>
          </w:p>
        </w:tc>
        <w:tc>
          <w:tcPr>
            <w:tcW w:w="8547" w:type="dxa"/>
            <w:gridSpan w:val="5"/>
            <w:vAlign w:val="center"/>
          </w:tcPr>
          <w:p>
            <w:pPr>
              <w:ind w:left="-92" w:leftChars="-44"/>
              <w:jc w:val="left"/>
              <w:rPr>
                <w:rFonts w:ascii="宋体" w:hAnsi="宋体"/>
                <w:color w:val="auto"/>
                <w:szCs w:val="21"/>
              </w:rPr>
            </w:pPr>
            <w:r>
              <w:rPr>
                <w:rFonts w:hint="eastAsia"/>
                <w:b/>
                <w:color w:val="auto"/>
              </w:rPr>
              <w:t>￥： 大写：</w:t>
            </w:r>
          </w:p>
        </w:tc>
      </w:tr>
    </w:tbl>
    <w:p>
      <w:pPr>
        <w:spacing w:line="500" w:lineRule="exact"/>
        <w:rPr>
          <w:color w:val="auto"/>
          <w:spacing w:val="4"/>
        </w:rPr>
      </w:pPr>
    </w:p>
    <w:p>
      <w:pPr>
        <w:spacing w:line="500" w:lineRule="exact"/>
        <w:rPr>
          <w:rFonts w:ascii="宋体" w:hAnsi="宋体"/>
          <w:color w:val="auto"/>
          <w:u w:val="single"/>
        </w:rPr>
      </w:pPr>
      <w:r>
        <w:rPr>
          <w:rFonts w:hint="eastAsia"/>
          <w:color w:val="auto"/>
          <w:spacing w:val="4"/>
        </w:rPr>
        <w:t>投标人名称（</w:t>
      </w:r>
      <w:r>
        <w:rPr>
          <w:rFonts w:hint="eastAsia" w:ascii="宋体" w:hAnsi="宋体"/>
          <w:color w:val="auto"/>
        </w:rPr>
        <w:t>单位盖</w:t>
      </w:r>
      <w:r>
        <w:rPr>
          <w:rFonts w:hint="eastAsia"/>
          <w:color w:val="auto"/>
          <w:spacing w:val="4"/>
        </w:rPr>
        <w:t>公章）：</w:t>
      </w:r>
    </w:p>
    <w:p>
      <w:pPr>
        <w:spacing w:line="520" w:lineRule="exact"/>
        <w:rPr>
          <w:rFonts w:ascii="宋体" w:hAnsi="宋体"/>
          <w:color w:val="auto"/>
        </w:rPr>
      </w:pPr>
      <w:r>
        <w:rPr>
          <w:rFonts w:hint="eastAsia" w:ascii="宋体"/>
          <w:color w:val="auto"/>
        </w:rPr>
        <w:t>法定代表人或</w:t>
      </w:r>
      <w:r>
        <w:rPr>
          <w:rFonts w:hint="eastAsia" w:ascii="宋体" w:hAnsi="宋体"/>
          <w:color w:val="auto"/>
        </w:rPr>
        <w:t>投标人授权代表（</w:t>
      </w:r>
      <w:r>
        <w:rPr>
          <w:rFonts w:hint="eastAsia" w:ascii="宋体" w:hAnsi="宋体"/>
          <w:color w:val="auto"/>
          <w:szCs w:val="21"/>
        </w:rPr>
        <w:t>签署本人姓名或印盖本人姓名章</w:t>
      </w:r>
      <w:r>
        <w:rPr>
          <w:rFonts w:hint="eastAsia" w:ascii="宋体" w:hAnsi="宋体"/>
          <w:color w:val="auto"/>
        </w:rPr>
        <w:t xml:space="preserve">）： </w:t>
      </w:r>
    </w:p>
    <w:p>
      <w:pPr>
        <w:spacing w:line="520" w:lineRule="exact"/>
        <w:rPr>
          <w:color w:val="auto"/>
          <w:spacing w:val="4"/>
        </w:rPr>
      </w:pPr>
      <w:r>
        <w:rPr>
          <w:rFonts w:hint="eastAsia"/>
          <w:color w:val="auto"/>
          <w:spacing w:val="4"/>
        </w:rPr>
        <w:t xml:space="preserve">职务： </w:t>
      </w:r>
    </w:p>
    <w:p>
      <w:pPr>
        <w:spacing w:line="520" w:lineRule="exact"/>
        <w:rPr>
          <w:color w:val="auto"/>
          <w:spacing w:val="4"/>
        </w:rPr>
      </w:pPr>
      <w:r>
        <w:rPr>
          <w:rFonts w:hint="eastAsia"/>
          <w:color w:val="auto"/>
          <w:spacing w:val="4"/>
        </w:rPr>
        <w:t>日期：</w:t>
      </w:r>
    </w:p>
    <w:p>
      <w:pPr>
        <w:tabs>
          <w:tab w:val="left" w:pos="567"/>
        </w:tabs>
        <w:snapToGrid w:val="0"/>
        <w:spacing w:line="360" w:lineRule="auto"/>
        <w:rPr>
          <w:rFonts w:ascii="宋体" w:hAnsi="宋体"/>
          <w:color w:val="auto"/>
        </w:rPr>
      </w:pPr>
    </w:p>
    <w:p>
      <w:pPr>
        <w:tabs>
          <w:tab w:val="left" w:pos="567"/>
        </w:tabs>
        <w:snapToGrid w:val="0"/>
        <w:spacing w:line="360" w:lineRule="auto"/>
        <w:rPr>
          <w:rFonts w:ascii="宋体" w:hAnsi="宋体"/>
          <w:color w:val="auto"/>
        </w:rPr>
      </w:pPr>
      <w:r>
        <w:rPr>
          <w:rFonts w:hint="eastAsia" w:ascii="宋体" w:hAnsi="宋体"/>
          <w:color w:val="auto"/>
        </w:rPr>
        <w:t>备注：</w:t>
      </w:r>
    </w:p>
    <w:p>
      <w:pPr>
        <w:numPr>
          <w:ilvl w:val="1"/>
          <w:numId w:val="27"/>
        </w:numPr>
        <w:tabs>
          <w:tab w:val="left" w:pos="0"/>
        </w:tabs>
        <w:snapToGrid w:val="0"/>
        <w:spacing w:line="360" w:lineRule="auto"/>
        <w:ind w:left="0" w:firstLine="0"/>
        <w:rPr>
          <w:rFonts w:ascii="宋体" w:hAnsi="宋体"/>
          <w:color w:val="auto"/>
        </w:rPr>
      </w:pPr>
      <w:r>
        <w:rPr>
          <w:rFonts w:hint="eastAsia" w:ascii="宋体" w:hAnsi="宋体"/>
          <w:color w:val="auto"/>
        </w:rPr>
        <w:t>中文大写金额用汉字，如壹、贰、叁、肆、伍、陆、柒、捌、玖、拾、佰、仟、万、亿、元、角、分、零、整（正）等。</w:t>
      </w:r>
    </w:p>
    <w:p>
      <w:pPr>
        <w:numPr>
          <w:ilvl w:val="1"/>
          <w:numId w:val="27"/>
        </w:numPr>
        <w:tabs>
          <w:tab w:val="left" w:pos="0"/>
        </w:tabs>
        <w:snapToGrid w:val="0"/>
        <w:spacing w:line="360" w:lineRule="auto"/>
        <w:ind w:left="0" w:firstLine="0"/>
        <w:rPr>
          <w:rFonts w:ascii="宋体" w:hAnsi="宋体"/>
          <w:color w:val="auto"/>
        </w:rPr>
      </w:pPr>
      <w:r>
        <w:rPr>
          <w:rFonts w:hint="eastAsia" w:ascii="宋体" w:hAnsi="宋体"/>
          <w:b/>
          <w:bCs/>
          <w:color w:val="auto"/>
        </w:rPr>
        <w:t>所有价格均系用人民币表示，单位为元，投标报价的小数点后保留两位有效数</w:t>
      </w:r>
      <w:r>
        <w:rPr>
          <w:rFonts w:hint="eastAsia" w:ascii="宋体" w:hAnsi="宋体"/>
          <w:b/>
          <w:bCs/>
          <w:color w:val="auto"/>
          <w:szCs w:val="21"/>
        </w:rPr>
        <w:t>。</w:t>
      </w:r>
    </w:p>
    <w:p>
      <w:pPr>
        <w:numPr>
          <w:ilvl w:val="1"/>
          <w:numId w:val="27"/>
        </w:numPr>
        <w:tabs>
          <w:tab w:val="left" w:pos="0"/>
        </w:tabs>
        <w:snapToGrid w:val="0"/>
        <w:spacing w:line="360" w:lineRule="auto"/>
        <w:ind w:left="0" w:firstLine="0"/>
        <w:rPr>
          <w:rFonts w:ascii="宋体" w:hAnsi="宋体"/>
          <w:color w:val="auto"/>
        </w:rPr>
      </w:pPr>
      <w:r>
        <w:rPr>
          <w:rFonts w:hint="eastAsia" w:ascii="宋体" w:hAnsi="宋体"/>
          <w:color w:val="auto"/>
        </w:rPr>
        <w:t>此表为《开标一览表(报价表)》的报价明细表。</w:t>
      </w:r>
    </w:p>
    <w:p>
      <w:pPr>
        <w:widowControl/>
        <w:numPr>
          <w:ilvl w:val="1"/>
          <w:numId w:val="27"/>
        </w:numPr>
        <w:tabs>
          <w:tab w:val="left" w:pos="0"/>
        </w:tabs>
        <w:snapToGrid w:val="0"/>
        <w:spacing w:line="360" w:lineRule="auto"/>
        <w:ind w:left="0" w:firstLine="0"/>
        <w:jc w:val="left"/>
        <w:rPr>
          <w:color w:val="auto"/>
        </w:rPr>
        <w:sectPr>
          <w:pgSz w:w="11906" w:h="16838"/>
          <w:pgMar w:top="1440" w:right="1286" w:bottom="1440" w:left="1440" w:header="851" w:footer="992" w:gutter="0"/>
          <w:cols w:space="720" w:num="1"/>
          <w:docGrid w:type="lines" w:linePitch="312" w:charSpace="0"/>
        </w:sectPr>
      </w:pPr>
      <w:r>
        <w:rPr>
          <w:rFonts w:hint="eastAsia" w:ascii="宋体" w:hAnsi="宋体"/>
          <w:color w:val="auto"/>
        </w:rPr>
        <w:t>所有价格均以人民币作为货币单位填写及计算。</w:t>
      </w:r>
    </w:p>
    <w:p>
      <w:pPr>
        <w:pStyle w:val="90"/>
        <w:widowControl/>
        <w:adjustRightInd w:val="0"/>
        <w:snapToGrid w:val="0"/>
        <w:spacing w:beforeLines="50" w:line="360" w:lineRule="auto"/>
        <w:ind w:left="420" w:firstLine="0" w:firstLineChars="0"/>
        <w:jc w:val="center"/>
        <w:outlineLvl w:val="1"/>
        <w:rPr>
          <w:rFonts w:ascii="黑体" w:hAnsi="黑体"/>
          <w:color w:val="auto"/>
          <w:sz w:val="32"/>
          <w:szCs w:val="32"/>
        </w:rPr>
      </w:pPr>
      <w:r>
        <w:rPr>
          <w:rFonts w:hint="eastAsia" w:ascii="黑体" w:hAnsi="黑体" w:eastAsia="黑体"/>
          <w:color w:val="auto"/>
          <w:sz w:val="32"/>
          <w:szCs w:val="32"/>
        </w:rPr>
        <w:t>中小企业声明函（如有）</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本公司（联合体）郑重声明，根据《政府采购促进中小企业发展管理办法》（财库﹝2020﹞46 号）的规定，本公司（联合体）参加</w:t>
      </w:r>
      <w:r>
        <w:rPr>
          <w:rFonts w:hint="eastAsia" w:ascii="宋体" w:hAnsi="宋体" w:cs="宋体"/>
          <w:i/>
          <w:iCs/>
          <w:color w:val="auto"/>
          <w:szCs w:val="21"/>
          <w:u w:val="single"/>
        </w:rPr>
        <w:t>（单位名称）</w:t>
      </w:r>
      <w:r>
        <w:rPr>
          <w:rFonts w:hint="eastAsia" w:ascii="宋体" w:hAnsi="宋体" w:cs="宋体"/>
          <w:color w:val="auto"/>
          <w:szCs w:val="21"/>
        </w:rPr>
        <w:t>的</w:t>
      </w:r>
      <w:r>
        <w:rPr>
          <w:rFonts w:hint="eastAsia" w:ascii="宋体" w:hAnsi="宋体" w:cs="宋体"/>
          <w:i/>
          <w:iCs/>
          <w:color w:val="auto"/>
          <w:szCs w:val="21"/>
          <w:u w:val="single"/>
        </w:rPr>
        <w:t>珠江街2021年粤港深度合作区（启动区）临时排水设施日常运行管养项目</w:t>
      </w:r>
      <w:r>
        <w:rPr>
          <w:rFonts w:hint="eastAsia" w:ascii="宋体" w:hAnsi="宋体" w:cs="宋体"/>
          <w:color w:val="auto"/>
          <w:szCs w:val="21"/>
        </w:rPr>
        <w:t>采购活动，服务全部由符合政策要求的中小企业承接。相关企业（含联合体中的中小企业、签订分包意向协议的中小企业）的具体情况如下：</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1.</w:t>
      </w:r>
      <w:r>
        <w:rPr>
          <w:rFonts w:hint="eastAsia" w:ascii="宋体" w:hAnsi="宋体" w:cs="宋体"/>
          <w:i/>
          <w:iCs/>
          <w:color w:val="auto"/>
          <w:szCs w:val="21"/>
          <w:u w:val="single"/>
        </w:rPr>
        <w:t xml:space="preserve"> （标的名称） </w:t>
      </w:r>
      <w:r>
        <w:rPr>
          <w:rFonts w:hint="eastAsia" w:ascii="宋体" w:hAnsi="宋体" w:cs="宋体"/>
          <w:color w:val="auto"/>
          <w:szCs w:val="21"/>
        </w:rPr>
        <w:t>，属于</w:t>
      </w:r>
      <w:r>
        <w:rPr>
          <w:rFonts w:hint="eastAsia" w:ascii="宋体" w:hAnsi="宋体" w:cs="宋体"/>
          <w:i/>
          <w:iCs/>
          <w:color w:val="auto"/>
          <w:szCs w:val="21"/>
          <w:u w:val="single"/>
        </w:rPr>
        <w:t>（采购文件中明确的所属行业）</w:t>
      </w:r>
      <w:r>
        <w:rPr>
          <w:rFonts w:hint="eastAsia" w:ascii="宋体" w:hAnsi="宋体" w:cs="宋体"/>
          <w:color w:val="auto"/>
          <w:szCs w:val="21"/>
        </w:rPr>
        <w:t>；承接企业为</w:t>
      </w:r>
      <w:r>
        <w:rPr>
          <w:rFonts w:hint="eastAsia" w:ascii="宋体" w:hAnsi="宋体" w:cs="宋体"/>
          <w:i/>
          <w:iCs/>
          <w:color w:val="auto"/>
          <w:szCs w:val="21"/>
          <w:u w:val="single"/>
        </w:rPr>
        <w:t>（企业名称）</w:t>
      </w:r>
      <w:r>
        <w:rPr>
          <w:rFonts w:hint="eastAsia" w:ascii="宋体" w:hAnsi="宋体" w:cs="宋体"/>
          <w:color w:val="auto"/>
          <w:szCs w:val="21"/>
        </w:rPr>
        <w:t>，从业人员人，营业收入为万元，资产总额为万元，属于</w:t>
      </w:r>
      <w:r>
        <w:rPr>
          <w:rFonts w:hint="eastAsia" w:ascii="宋体" w:hAnsi="宋体" w:cs="宋体"/>
          <w:i/>
          <w:iCs/>
          <w:color w:val="auto"/>
          <w:szCs w:val="21"/>
          <w:u w:val="single"/>
        </w:rPr>
        <w:t>（中型企业、小型企业、微型企业）</w:t>
      </w:r>
      <w:r>
        <w:rPr>
          <w:rFonts w:hint="eastAsia" w:ascii="宋体" w:hAnsi="宋体" w:cs="宋体"/>
          <w:color w:val="auto"/>
          <w:szCs w:val="21"/>
        </w:rPr>
        <w:t>；</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2.</w:t>
      </w:r>
      <w:r>
        <w:rPr>
          <w:rFonts w:hint="eastAsia" w:ascii="宋体" w:hAnsi="宋体" w:cs="宋体"/>
          <w:i/>
          <w:iCs/>
          <w:color w:val="auto"/>
          <w:szCs w:val="21"/>
          <w:u w:val="single"/>
        </w:rPr>
        <w:t xml:space="preserve">（标的名称） </w:t>
      </w:r>
      <w:r>
        <w:rPr>
          <w:rFonts w:hint="eastAsia" w:ascii="宋体" w:hAnsi="宋体" w:cs="宋体"/>
          <w:color w:val="auto"/>
          <w:szCs w:val="21"/>
        </w:rPr>
        <w:t>，属于</w:t>
      </w:r>
      <w:r>
        <w:rPr>
          <w:rFonts w:hint="eastAsia" w:ascii="宋体" w:hAnsi="宋体" w:cs="宋体"/>
          <w:i/>
          <w:iCs/>
          <w:color w:val="auto"/>
          <w:szCs w:val="21"/>
          <w:u w:val="single"/>
        </w:rPr>
        <w:t>（采购文件中明确的所属行业）</w:t>
      </w:r>
      <w:r>
        <w:rPr>
          <w:rFonts w:hint="eastAsia" w:ascii="宋体" w:hAnsi="宋体" w:cs="宋体"/>
          <w:color w:val="auto"/>
          <w:szCs w:val="21"/>
        </w:rPr>
        <w:t>；承接企业为</w:t>
      </w:r>
      <w:r>
        <w:rPr>
          <w:rFonts w:hint="eastAsia" w:ascii="宋体" w:hAnsi="宋体" w:cs="宋体"/>
          <w:i/>
          <w:iCs/>
          <w:color w:val="auto"/>
          <w:szCs w:val="21"/>
          <w:u w:val="single"/>
        </w:rPr>
        <w:t>（企业名称）</w:t>
      </w:r>
      <w:r>
        <w:rPr>
          <w:rFonts w:hint="eastAsia" w:ascii="宋体" w:hAnsi="宋体" w:cs="宋体"/>
          <w:color w:val="auto"/>
          <w:szCs w:val="21"/>
        </w:rPr>
        <w:t>，从业人员人，营业收入为万元，资产总额为万元，属于</w:t>
      </w:r>
      <w:r>
        <w:rPr>
          <w:rFonts w:hint="eastAsia" w:ascii="宋体" w:hAnsi="宋体" w:cs="宋体"/>
          <w:i/>
          <w:iCs/>
          <w:color w:val="auto"/>
          <w:szCs w:val="21"/>
          <w:u w:val="single"/>
        </w:rPr>
        <w:t>（中型企业、小型企业、微型企业）</w:t>
      </w:r>
      <w:r>
        <w:rPr>
          <w:rFonts w:hint="eastAsia" w:ascii="宋体" w:hAnsi="宋体" w:cs="宋体"/>
          <w:color w:val="auto"/>
          <w:szCs w:val="21"/>
        </w:rPr>
        <w:t>；</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以上企业，不属于大企业的分支机构，不存在控股股东为大企业的情形，也不存在与大企业的负责人为同一人的情形。</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本企业对上述声明内容的真实性负责。如有虚假，将依法承担相应责任。</w:t>
      </w:r>
    </w:p>
    <w:p>
      <w:pPr>
        <w:widowControl/>
        <w:spacing w:line="360" w:lineRule="auto"/>
        <w:jc w:val="right"/>
        <w:rPr>
          <w:rFonts w:ascii="宋体" w:hAnsi="宋体" w:cs="宋体"/>
          <w:color w:val="auto"/>
          <w:kern w:val="0"/>
          <w:szCs w:val="21"/>
        </w:rPr>
      </w:pPr>
    </w:p>
    <w:p>
      <w:pPr>
        <w:widowControl/>
        <w:spacing w:line="360" w:lineRule="auto"/>
        <w:jc w:val="right"/>
        <w:rPr>
          <w:rFonts w:ascii="宋体" w:hAnsi="宋体" w:cs="宋体"/>
          <w:color w:val="auto"/>
          <w:kern w:val="0"/>
          <w:szCs w:val="21"/>
        </w:rPr>
      </w:pPr>
      <w:r>
        <w:rPr>
          <w:rFonts w:hint="eastAsia" w:asciiTheme="minorEastAsia" w:hAnsiTheme="minorEastAsia" w:eastAsiaTheme="minorEastAsia"/>
          <w:color w:val="auto"/>
          <w:spacing w:val="6"/>
          <w:szCs w:val="21"/>
        </w:rPr>
        <w:t>单位名称</w:t>
      </w:r>
      <w:r>
        <w:rPr>
          <w:rFonts w:hint="eastAsia" w:ascii="宋体" w:hAnsi="宋体" w:cs="宋体"/>
          <w:color w:val="auto"/>
          <w:kern w:val="0"/>
          <w:szCs w:val="21"/>
        </w:rPr>
        <w:t xml:space="preserve">（单位盖公章）： </w:t>
      </w:r>
    </w:p>
    <w:p>
      <w:pPr>
        <w:spacing w:line="360" w:lineRule="auto"/>
        <w:ind w:left="6237" w:leftChars="2970" w:firstLine="420" w:firstLineChars="200"/>
        <w:jc w:val="left"/>
        <w:rPr>
          <w:b/>
          <w:color w:val="auto"/>
        </w:rPr>
      </w:pPr>
      <w:r>
        <w:rPr>
          <w:rFonts w:hint="eastAsia" w:ascii="宋体" w:hAnsi="宋体" w:cs="宋体"/>
          <w:color w:val="auto"/>
          <w:kern w:val="0"/>
          <w:szCs w:val="21"/>
        </w:rPr>
        <w:t>日 期：</w:t>
      </w:r>
    </w:p>
    <w:p>
      <w:pPr>
        <w:spacing w:line="360" w:lineRule="auto"/>
        <w:ind w:left="6237" w:leftChars="2970"/>
        <w:jc w:val="left"/>
        <w:rPr>
          <w:b/>
          <w:color w:val="auto"/>
        </w:rPr>
      </w:pPr>
    </w:p>
    <w:p>
      <w:pPr>
        <w:spacing w:line="360" w:lineRule="auto"/>
        <w:ind w:left="6237" w:leftChars="2970"/>
        <w:jc w:val="left"/>
        <w:rPr>
          <w:b/>
          <w:color w:val="auto"/>
        </w:rPr>
      </w:pPr>
    </w:p>
    <w:p>
      <w:pPr>
        <w:rPr>
          <w:color w:val="auto"/>
        </w:rPr>
      </w:pPr>
      <w:r>
        <w:rPr>
          <w:rFonts w:hint="eastAsia"/>
          <w:color w:val="auto"/>
        </w:rPr>
        <w:br w:type="page"/>
      </w:r>
    </w:p>
    <w:p>
      <w:pPr>
        <w:pStyle w:val="4"/>
        <w:adjustRightInd w:val="0"/>
        <w:snapToGrid w:val="0"/>
        <w:spacing w:beforeLines="50" w:after="0" w:line="360" w:lineRule="auto"/>
        <w:jc w:val="center"/>
        <w:rPr>
          <w:b w:val="0"/>
          <w:color w:val="auto"/>
        </w:rPr>
      </w:pPr>
      <w:r>
        <w:rPr>
          <w:rFonts w:hint="eastAsia"/>
          <w:b w:val="0"/>
          <w:color w:val="auto"/>
        </w:rPr>
        <w:t>监狱企业的证明文件（如适用）</w:t>
      </w:r>
    </w:p>
    <w:p>
      <w:pPr>
        <w:spacing w:line="440" w:lineRule="exact"/>
        <w:ind w:firstLine="308" w:firstLineChars="147"/>
        <w:rPr>
          <w:color w:val="auto"/>
        </w:rPr>
      </w:pPr>
      <w:r>
        <w:rPr>
          <w:rFonts w:hint="eastAsia"/>
          <w:color w:val="auto"/>
        </w:rPr>
        <w:t>说明：监狱企业参加政府采购活动时，应当提供由省级以上监狱管理局、戒毒管理局（含新疆生产建设兵团）出具的属于监狱企业的证明文件复印件，并加盖投标单位公章。</w:t>
      </w:r>
    </w:p>
    <w:p>
      <w:pPr>
        <w:spacing w:line="440" w:lineRule="exact"/>
        <w:ind w:firstLine="310" w:firstLineChars="147"/>
        <w:rPr>
          <w:b/>
          <w:color w:val="auto"/>
        </w:rPr>
      </w:pPr>
    </w:p>
    <w:p>
      <w:pPr>
        <w:pStyle w:val="4"/>
        <w:adjustRightInd w:val="0"/>
        <w:snapToGrid w:val="0"/>
        <w:spacing w:beforeLines="50" w:after="0" w:line="360" w:lineRule="auto"/>
        <w:jc w:val="center"/>
        <w:rPr>
          <w:b w:val="0"/>
          <w:color w:val="auto"/>
        </w:rPr>
      </w:pPr>
      <w:bookmarkStart w:id="37" w:name="OLE_LINK13"/>
      <w:bookmarkStart w:id="38" w:name="OLE_LINK14"/>
      <w:r>
        <w:rPr>
          <w:rFonts w:hint="eastAsia"/>
          <w:b w:val="0"/>
          <w:color w:val="auto"/>
        </w:rPr>
        <w:t>残疾人福利性单位声明函（如适用）</w:t>
      </w:r>
    </w:p>
    <w:bookmarkEnd w:id="37"/>
    <w:bookmarkEnd w:id="38"/>
    <w:p>
      <w:pPr>
        <w:adjustRightInd w:val="0"/>
        <w:snapToGrid w:val="0"/>
        <w:spacing w:line="360" w:lineRule="auto"/>
        <w:ind w:firstLine="444" w:firstLineChars="200"/>
        <w:rPr>
          <w:rFonts w:asciiTheme="minorEastAsia" w:hAnsiTheme="minorEastAsia" w:eastAsiaTheme="minorEastAsia"/>
          <w:color w:val="auto"/>
          <w:spacing w:val="6"/>
          <w:szCs w:val="21"/>
        </w:rPr>
      </w:pPr>
      <w:r>
        <w:rPr>
          <w:rFonts w:hint="eastAsia" w:asciiTheme="minorEastAsia" w:hAnsiTheme="minorEastAsia" w:eastAsiaTheme="minorEastAsia"/>
          <w:color w:val="auto"/>
          <w:spacing w:val="6"/>
          <w:szCs w:val="21"/>
        </w:rPr>
        <w:t>本单位郑重声明，根据《财政部 民政部 中国残疾人联合会关于促进残疾人就业政府采购政策的通知》（财库</w:t>
      </w:r>
      <w:r>
        <w:rPr>
          <w:rFonts w:hint="eastAsia" w:asciiTheme="minorEastAsia" w:hAnsiTheme="minorEastAsia" w:eastAsiaTheme="minorEastAsia"/>
          <w:color w:val="auto"/>
          <w:szCs w:val="21"/>
        </w:rPr>
        <w:t>〔2017〕 141</w:t>
      </w:r>
      <w:r>
        <w:rPr>
          <w:rFonts w:hint="eastAsia" w:asciiTheme="minorEastAsia" w:hAnsiTheme="minorEastAsia" w:eastAsiaTheme="minorEastAsia"/>
          <w:color w:val="auto"/>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djustRightInd w:val="0"/>
        <w:snapToGrid w:val="0"/>
        <w:spacing w:line="360" w:lineRule="auto"/>
        <w:ind w:firstLine="444" w:firstLineChars="200"/>
        <w:rPr>
          <w:rFonts w:asciiTheme="minorEastAsia" w:hAnsiTheme="minorEastAsia" w:eastAsiaTheme="minorEastAsia"/>
          <w:color w:val="auto"/>
          <w:spacing w:val="6"/>
          <w:szCs w:val="21"/>
        </w:rPr>
      </w:pPr>
      <w:r>
        <w:rPr>
          <w:rFonts w:hint="eastAsia" w:asciiTheme="minorEastAsia" w:hAnsiTheme="minorEastAsia" w:eastAsiaTheme="minorEastAsia"/>
          <w:color w:val="auto"/>
          <w:spacing w:val="6"/>
          <w:szCs w:val="21"/>
        </w:rPr>
        <w:t>本单位对上述声明的真实性负责。如有虚假，将依法承担相应责任。</w:t>
      </w:r>
    </w:p>
    <w:p>
      <w:pPr>
        <w:tabs>
          <w:tab w:val="left" w:pos="4860"/>
        </w:tabs>
        <w:spacing w:line="588" w:lineRule="exact"/>
        <w:ind w:left="6237" w:leftChars="2970" w:right="108"/>
        <w:jc w:val="left"/>
        <w:rPr>
          <w:rFonts w:asciiTheme="minorEastAsia" w:hAnsiTheme="minorEastAsia" w:eastAsiaTheme="minorEastAsia"/>
          <w:color w:val="auto"/>
          <w:spacing w:val="6"/>
          <w:szCs w:val="21"/>
        </w:rPr>
      </w:pPr>
      <w:r>
        <w:rPr>
          <w:rFonts w:hint="eastAsia" w:asciiTheme="minorEastAsia" w:hAnsiTheme="minorEastAsia" w:eastAsiaTheme="minorEastAsia"/>
          <w:color w:val="auto"/>
          <w:spacing w:val="6"/>
          <w:szCs w:val="21"/>
        </w:rPr>
        <w:t>单位名称（盖章）：</w:t>
      </w:r>
    </w:p>
    <w:p>
      <w:pPr>
        <w:tabs>
          <w:tab w:val="left" w:pos="4860"/>
        </w:tabs>
        <w:spacing w:line="588" w:lineRule="exact"/>
        <w:ind w:left="6237" w:leftChars="2970" w:right="108"/>
        <w:jc w:val="left"/>
        <w:rPr>
          <w:rFonts w:asciiTheme="minorEastAsia" w:hAnsiTheme="minorEastAsia" w:eastAsiaTheme="minorEastAsia"/>
          <w:color w:val="auto"/>
          <w:spacing w:val="6"/>
          <w:szCs w:val="21"/>
        </w:rPr>
      </w:pPr>
      <w:r>
        <w:rPr>
          <w:rFonts w:hint="eastAsia" w:asciiTheme="minorEastAsia" w:hAnsiTheme="minorEastAsia" w:eastAsiaTheme="minorEastAsia"/>
          <w:color w:val="auto"/>
          <w:spacing w:val="6"/>
          <w:szCs w:val="21"/>
        </w:rPr>
        <w:t>日  期：</w:t>
      </w:r>
    </w:p>
    <w:p>
      <w:pPr>
        <w:pStyle w:val="4"/>
        <w:adjustRightInd w:val="0"/>
        <w:snapToGrid w:val="0"/>
        <w:spacing w:beforeLines="50" w:after="0" w:line="360" w:lineRule="auto"/>
        <w:jc w:val="center"/>
        <w:rPr>
          <w:b w:val="0"/>
          <w:color w:val="auto"/>
        </w:rPr>
        <w:sectPr>
          <w:pgSz w:w="11906" w:h="16838"/>
          <w:pgMar w:top="1440" w:right="1286" w:bottom="1440" w:left="1440" w:header="851" w:footer="992" w:gutter="0"/>
          <w:cols w:space="720" w:num="1"/>
          <w:docGrid w:type="lines" w:linePitch="312" w:charSpace="0"/>
        </w:sectPr>
      </w:pPr>
    </w:p>
    <w:p>
      <w:pPr>
        <w:pStyle w:val="4"/>
        <w:adjustRightInd w:val="0"/>
        <w:snapToGrid w:val="0"/>
        <w:spacing w:beforeLines="50" w:after="0" w:line="360" w:lineRule="auto"/>
        <w:jc w:val="center"/>
        <w:rPr>
          <w:b w:val="0"/>
          <w:color w:val="auto"/>
        </w:rPr>
      </w:pPr>
      <w:bookmarkStart w:id="39" w:name="_Toc275865605"/>
      <w:bookmarkStart w:id="40" w:name="_Toc435515294"/>
      <w:bookmarkStart w:id="41" w:name="_Toc435514854"/>
      <w:r>
        <w:rPr>
          <w:rFonts w:hint="eastAsia"/>
          <w:b w:val="0"/>
          <w:color w:val="auto"/>
        </w:rPr>
        <w:t>投 标 函</w:t>
      </w:r>
      <w:bookmarkEnd w:id="39"/>
      <w:bookmarkEnd w:id="40"/>
      <w:bookmarkEnd w:id="41"/>
    </w:p>
    <w:p>
      <w:pPr>
        <w:spacing w:line="360" w:lineRule="auto"/>
        <w:ind w:left="105" w:leftChars="50" w:firstLine="2"/>
        <w:rPr>
          <w:rFonts w:ascii="宋体" w:hAnsi="宋体"/>
          <w:b/>
          <w:color w:val="auto"/>
        </w:rPr>
      </w:pPr>
      <w:r>
        <w:rPr>
          <w:rFonts w:hint="eastAsia" w:ascii="宋体" w:hAnsi="宋体"/>
          <w:b/>
          <w:color w:val="auto"/>
        </w:rPr>
        <w:t>致：广东公信招标有限公司</w:t>
      </w:r>
    </w:p>
    <w:p>
      <w:pPr>
        <w:spacing w:line="360" w:lineRule="auto"/>
        <w:ind w:left="105" w:leftChars="50" w:firstLine="373" w:firstLineChars="178"/>
        <w:rPr>
          <w:rFonts w:ascii="宋体" w:hAnsi="宋体"/>
          <w:color w:val="auto"/>
        </w:rPr>
      </w:pPr>
      <w:r>
        <w:rPr>
          <w:rFonts w:hint="eastAsia" w:ascii="宋体" w:hAnsi="宋体"/>
          <w:color w:val="auto"/>
        </w:rPr>
        <w:t>我方确认收到贵方</w:t>
      </w:r>
      <w:r>
        <w:rPr>
          <w:rFonts w:hint="eastAsia" w:ascii="宋体" w:hAnsi="宋体"/>
          <w:color w:val="auto"/>
          <w:kern w:val="28"/>
          <w:u w:val="single"/>
        </w:rPr>
        <w:t xml:space="preserve">           珠江街2021年粤港深度合作区（启动区）临时排水设施日常运行管养项目        </w:t>
      </w:r>
      <w:r>
        <w:rPr>
          <w:rFonts w:hint="eastAsia" w:ascii="宋体" w:hAnsi="宋体"/>
          <w:color w:val="auto"/>
          <w:kern w:val="28"/>
        </w:rPr>
        <w:t>采购</w:t>
      </w:r>
      <w:r>
        <w:rPr>
          <w:rFonts w:hint="eastAsia" w:ascii="宋体" w:hAnsi="宋体"/>
          <w:color w:val="auto"/>
        </w:rPr>
        <w:t>货物及相关服务的招标文件（项目编号：GZGX21GZ00QY-45），</w:t>
      </w:r>
      <w:r>
        <w:rPr>
          <w:rFonts w:hint="eastAsia" w:ascii="宋体" w:hAnsi="宋体"/>
          <w:color w:val="auto"/>
          <w:u w:val="single"/>
        </w:rPr>
        <w:t xml:space="preserve"> (投标人名称、地址)</w:t>
      </w:r>
      <w:r>
        <w:rPr>
          <w:rFonts w:hint="eastAsia" w:ascii="宋体" w:hAnsi="宋体"/>
          <w:color w:val="auto"/>
        </w:rPr>
        <w:t>作为投标人已正式授权</w:t>
      </w:r>
      <w:r>
        <w:rPr>
          <w:rFonts w:hint="eastAsia" w:ascii="宋体" w:hAnsi="宋体"/>
          <w:color w:val="auto"/>
          <w:u w:val="single"/>
        </w:rPr>
        <w:t>《法定代表人授权委托书》中的被授权人</w:t>
      </w:r>
      <w:r>
        <w:rPr>
          <w:rFonts w:hint="eastAsia" w:ascii="宋体" w:hAnsi="宋体"/>
          <w:color w:val="auto"/>
        </w:rPr>
        <w:t>为我方签名代表，签名代表在此声明并同意：</w:t>
      </w:r>
    </w:p>
    <w:p>
      <w:pPr>
        <w:numPr>
          <w:ilvl w:val="0"/>
          <w:numId w:val="28"/>
        </w:numPr>
        <w:tabs>
          <w:tab w:val="clear" w:pos="1200"/>
        </w:tabs>
        <w:snapToGrid w:val="0"/>
        <w:spacing w:line="360" w:lineRule="auto"/>
        <w:ind w:left="426" w:hanging="426"/>
        <w:rPr>
          <w:rFonts w:ascii="宋体" w:hAnsi="宋体"/>
          <w:b/>
          <w:color w:val="auto"/>
        </w:rPr>
      </w:pPr>
      <w:r>
        <w:rPr>
          <w:rFonts w:hint="eastAsia" w:ascii="宋体" w:hAnsi="宋体"/>
          <w:b/>
          <w:color w:val="auto"/>
        </w:rPr>
        <w:t>我们愿意遵守采购代理机构招标文件的各项规定，自愿参加投标，并已清楚招标文件的要求及有关文件规定，并严格按照招标文件的规定履行全部责任和义务。</w:t>
      </w:r>
    </w:p>
    <w:p>
      <w:pPr>
        <w:numPr>
          <w:ilvl w:val="0"/>
          <w:numId w:val="28"/>
        </w:numPr>
        <w:tabs>
          <w:tab w:val="clear" w:pos="1200"/>
        </w:tabs>
        <w:snapToGrid w:val="0"/>
        <w:spacing w:line="360" w:lineRule="auto"/>
        <w:ind w:left="426" w:hanging="426"/>
        <w:rPr>
          <w:rFonts w:ascii="宋体" w:hAnsi="宋体"/>
          <w:b/>
          <w:color w:val="auto"/>
        </w:rPr>
      </w:pPr>
      <w:r>
        <w:rPr>
          <w:rFonts w:hint="eastAsia" w:ascii="宋体" w:hAnsi="宋体"/>
          <w:b/>
          <w:color w:val="auto"/>
        </w:rPr>
        <w:t>我们同意本投标文件的投标有效期从提交投标文件的截止之日起120日历日内有效。</w:t>
      </w:r>
    </w:p>
    <w:p>
      <w:pPr>
        <w:numPr>
          <w:ilvl w:val="0"/>
          <w:numId w:val="28"/>
        </w:numPr>
        <w:tabs>
          <w:tab w:val="clear" w:pos="1200"/>
        </w:tabs>
        <w:snapToGrid w:val="0"/>
        <w:spacing w:line="360" w:lineRule="auto"/>
        <w:ind w:left="426" w:hanging="426"/>
        <w:rPr>
          <w:rFonts w:ascii="宋体" w:hAnsi="宋体"/>
          <w:b/>
          <w:color w:val="auto"/>
        </w:rPr>
      </w:pPr>
      <w:r>
        <w:rPr>
          <w:rFonts w:hint="eastAsia" w:ascii="宋体" w:hAnsi="宋体"/>
          <w:b/>
          <w:color w:val="auto"/>
        </w:rPr>
        <w:t>我们承诺从本项目投标截止时间起，本投标始终有效且不予撤销已递交的投标文件。</w:t>
      </w:r>
    </w:p>
    <w:p>
      <w:pPr>
        <w:numPr>
          <w:ilvl w:val="0"/>
          <w:numId w:val="28"/>
        </w:numPr>
        <w:tabs>
          <w:tab w:val="clear" w:pos="1200"/>
        </w:tabs>
        <w:snapToGrid w:val="0"/>
        <w:spacing w:line="360" w:lineRule="auto"/>
        <w:ind w:left="426" w:hanging="426"/>
        <w:rPr>
          <w:rFonts w:ascii="宋体" w:hAnsi="宋体"/>
          <w:b/>
          <w:color w:val="auto"/>
        </w:rPr>
      </w:pPr>
      <w:r>
        <w:rPr>
          <w:rFonts w:hint="eastAsia" w:ascii="宋体" w:hAnsi="宋体"/>
          <w:b/>
          <w:color w:val="auto"/>
        </w:rPr>
        <w:t>我们已经详细地阅读并完全明白了全部招标文件及附件，包括澄清（如有）及参考文件，我们完全理解本招标文件的要求，我们同意放弃对招标文件提出不明或误解的一切权力。</w:t>
      </w:r>
    </w:p>
    <w:p>
      <w:pPr>
        <w:numPr>
          <w:ilvl w:val="0"/>
          <w:numId w:val="28"/>
        </w:numPr>
        <w:tabs>
          <w:tab w:val="clear" w:pos="1200"/>
        </w:tabs>
        <w:snapToGrid w:val="0"/>
        <w:spacing w:line="360" w:lineRule="auto"/>
        <w:ind w:left="426" w:hanging="426"/>
        <w:rPr>
          <w:rFonts w:ascii="宋体" w:hAnsi="宋体"/>
          <w:b/>
          <w:color w:val="auto"/>
        </w:rPr>
      </w:pPr>
      <w:r>
        <w:rPr>
          <w:rFonts w:hint="eastAsia" w:ascii="宋体" w:hAnsi="宋体"/>
          <w:b/>
          <w:color w:val="auto"/>
        </w:rPr>
        <w:t>我们同意提供采购人或者采购代理机构与评标委员会要求的有关投标的一切数据或资料。</w:t>
      </w:r>
    </w:p>
    <w:p>
      <w:pPr>
        <w:numPr>
          <w:ilvl w:val="0"/>
          <w:numId w:val="28"/>
        </w:numPr>
        <w:tabs>
          <w:tab w:val="clear" w:pos="1200"/>
        </w:tabs>
        <w:snapToGrid w:val="0"/>
        <w:spacing w:line="360" w:lineRule="auto"/>
        <w:ind w:left="426" w:hanging="426"/>
        <w:rPr>
          <w:rFonts w:ascii="宋体" w:hAnsi="宋体"/>
          <w:b/>
          <w:color w:val="auto"/>
        </w:rPr>
      </w:pPr>
      <w:r>
        <w:rPr>
          <w:rFonts w:hint="eastAsia" w:ascii="宋体" w:hAnsi="宋体"/>
          <w:b/>
          <w:color w:val="auto"/>
        </w:rPr>
        <w:t>我们理解采购人或者采购代理机构与评标委员会并无义务必须接受最低报价的投标或其它任何投标，完全理解采购代理机构拒绝迟到的任何投标和最低投标报价不是被授予中标的唯一条件。</w:t>
      </w:r>
    </w:p>
    <w:p>
      <w:pPr>
        <w:numPr>
          <w:ilvl w:val="0"/>
          <w:numId w:val="28"/>
        </w:numPr>
        <w:tabs>
          <w:tab w:val="clear" w:pos="1200"/>
        </w:tabs>
        <w:snapToGrid w:val="0"/>
        <w:spacing w:line="360" w:lineRule="auto"/>
        <w:ind w:left="426" w:hanging="426"/>
        <w:rPr>
          <w:rFonts w:ascii="宋体" w:hAnsi="宋体"/>
          <w:b/>
          <w:color w:val="auto"/>
        </w:rPr>
      </w:pPr>
      <w:r>
        <w:rPr>
          <w:rFonts w:hint="eastAsia" w:ascii="宋体" w:hAnsi="宋体"/>
          <w:b/>
          <w:color w:val="auto"/>
        </w:rPr>
        <w:t xml:space="preserve">如果我们未对招标文件全部要求作出实质性响应，则完全同意并接受按无效投标处理。 </w:t>
      </w:r>
    </w:p>
    <w:p>
      <w:pPr>
        <w:numPr>
          <w:ilvl w:val="0"/>
          <w:numId w:val="28"/>
        </w:numPr>
        <w:tabs>
          <w:tab w:val="clear" w:pos="1200"/>
        </w:tabs>
        <w:snapToGrid w:val="0"/>
        <w:spacing w:line="360" w:lineRule="auto"/>
        <w:ind w:left="426" w:hanging="426"/>
        <w:rPr>
          <w:rFonts w:ascii="宋体" w:hAnsi="宋体"/>
          <w:b/>
          <w:color w:val="auto"/>
        </w:rPr>
      </w:pPr>
      <w:r>
        <w:rPr>
          <w:rFonts w:hint="eastAsia" w:ascii="宋体" w:hAnsi="宋体"/>
          <w:b/>
          <w:color w:val="auto"/>
        </w:rPr>
        <w:t>我们证明提交的一切文件，无论是原件还是复印件、中文译本均为准确、真实、有效、完整的，绝无任何虚假、伪造或者夸大。我们在此郑重承诺：在本次招标采购活动中，如有违法、违规、弄虚作假行为，所造成的损失、不良后果及法律责任，一律由我公司（企业）承担。如果我们的投标文件提供虚假材料的，则完全同意并接受按无效投标处理，承担相应的法律责任。</w:t>
      </w:r>
    </w:p>
    <w:p>
      <w:pPr>
        <w:numPr>
          <w:ilvl w:val="0"/>
          <w:numId w:val="28"/>
        </w:numPr>
        <w:tabs>
          <w:tab w:val="clear" w:pos="1200"/>
        </w:tabs>
        <w:snapToGrid w:val="0"/>
        <w:spacing w:line="360" w:lineRule="auto"/>
        <w:ind w:left="426" w:hanging="426"/>
        <w:rPr>
          <w:rFonts w:ascii="宋体" w:hAnsi="宋体"/>
          <w:b/>
          <w:color w:val="auto"/>
        </w:rPr>
      </w:pPr>
      <w:r>
        <w:rPr>
          <w:rFonts w:hint="eastAsia" w:ascii="宋体" w:hAnsi="宋体"/>
          <w:b/>
          <w:color w:val="auto"/>
        </w:rPr>
        <w:t>如果我们提供的声明或承诺不真实，则完全同意认定为我司提供虚假材料，并同意作相应处理。</w:t>
      </w:r>
    </w:p>
    <w:p>
      <w:pPr>
        <w:numPr>
          <w:ilvl w:val="0"/>
          <w:numId w:val="28"/>
        </w:numPr>
        <w:tabs>
          <w:tab w:val="clear" w:pos="1200"/>
        </w:tabs>
        <w:snapToGrid w:val="0"/>
        <w:spacing w:line="360" w:lineRule="auto"/>
        <w:ind w:left="426" w:hanging="426"/>
        <w:rPr>
          <w:rFonts w:ascii="宋体" w:hAnsi="宋体"/>
          <w:b/>
          <w:color w:val="auto"/>
        </w:rPr>
      </w:pPr>
      <w:r>
        <w:rPr>
          <w:rFonts w:hint="eastAsia" w:ascii="宋体" w:hAnsi="宋体"/>
          <w:b/>
          <w:color w:val="auto"/>
        </w:rPr>
        <w:t>我们是依法注册的法人，在法律、财务及运作上完全独立于本项目采购人、用户单位（如有）和采购代理机构。</w:t>
      </w:r>
    </w:p>
    <w:p>
      <w:pPr>
        <w:numPr>
          <w:ilvl w:val="0"/>
          <w:numId w:val="28"/>
        </w:numPr>
        <w:tabs>
          <w:tab w:val="clear" w:pos="1200"/>
        </w:tabs>
        <w:snapToGrid w:val="0"/>
        <w:spacing w:line="360" w:lineRule="auto"/>
        <w:ind w:left="426" w:hanging="426"/>
        <w:rPr>
          <w:rFonts w:ascii="宋体" w:hAnsi="宋体"/>
          <w:b/>
          <w:color w:val="auto"/>
        </w:rPr>
      </w:pPr>
      <w:r>
        <w:rPr>
          <w:rFonts w:hint="eastAsia" w:ascii="宋体" w:hAnsi="宋体"/>
          <w:b/>
          <w:color w:val="auto"/>
        </w:rPr>
        <w:t>所有有关本次投标的函电请寄：</w:t>
      </w:r>
      <w:r>
        <w:rPr>
          <w:rFonts w:hint="eastAsia" w:ascii="宋体" w:hAnsi="宋体"/>
          <w:b/>
          <w:color w:val="auto"/>
          <w:u w:val="single"/>
        </w:rPr>
        <w:t xml:space="preserve">  （投标人地址）   </w:t>
      </w:r>
    </w:p>
    <w:p>
      <w:pPr>
        <w:autoSpaceDE w:val="0"/>
        <w:autoSpaceDN w:val="0"/>
        <w:adjustRightInd w:val="0"/>
        <w:spacing w:line="360" w:lineRule="auto"/>
        <w:ind w:left="420" w:firstLine="6"/>
        <w:rPr>
          <w:rFonts w:ascii="宋体" w:hAnsi="宋体"/>
          <w:b/>
          <w:color w:val="auto"/>
        </w:rPr>
      </w:pPr>
      <w:r>
        <w:rPr>
          <w:rFonts w:hint="eastAsia" w:ascii="宋体" w:hAnsi="宋体"/>
          <w:b/>
          <w:color w:val="auto"/>
        </w:rPr>
        <w:t>备注：</w:t>
      </w:r>
    </w:p>
    <w:p>
      <w:pPr>
        <w:pStyle w:val="90"/>
        <w:numPr>
          <w:ilvl w:val="0"/>
          <w:numId w:val="29"/>
        </w:numPr>
        <w:autoSpaceDE w:val="0"/>
        <w:autoSpaceDN w:val="0"/>
        <w:adjustRightInd w:val="0"/>
        <w:spacing w:line="360" w:lineRule="auto"/>
        <w:ind w:firstLineChars="0"/>
        <w:rPr>
          <w:rFonts w:ascii="宋体" w:hAnsi="宋体"/>
          <w:color w:val="auto"/>
        </w:rPr>
      </w:pPr>
      <w:r>
        <w:rPr>
          <w:rFonts w:hint="eastAsia" w:ascii="宋体" w:hAnsi="宋体"/>
          <w:color w:val="auto"/>
        </w:rPr>
        <w:t>《投标函》中承诺的投标有效期应当不少于招标文件中载明的投标有效期，否则视为无效投标。</w:t>
      </w:r>
    </w:p>
    <w:p>
      <w:pPr>
        <w:pStyle w:val="90"/>
        <w:numPr>
          <w:ilvl w:val="0"/>
          <w:numId w:val="29"/>
        </w:numPr>
        <w:autoSpaceDE w:val="0"/>
        <w:autoSpaceDN w:val="0"/>
        <w:adjustRightInd w:val="0"/>
        <w:spacing w:line="360" w:lineRule="auto"/>
        <w:ind w:firstLineChars="0"/>
        <w:rPr>
          <w:rFonts w:ascii="宋体" w:hAnsi="宋体"/>
          <w:b/>
          <w:color w:val="auto"/>
        </w:rPr>
      </w:pPr>
      <w:r>
        <w:rPr>
          <w:rFonts w:hint="eastAsia" w:ascii="宋体" w:hAnsi="宋体"/>
          <w:color w:val="auto"/>
        </w:rPr>
        <w:t>除投标有效期承诺的时间外，本投标函内容不得擅自删改，否则视为无效投标</w:t>
      </w:r>
      <w:r>
        <w:rPr>
          <w:rFonts w:hint="eastAsia" w:ascii="宋体" w:hAnsi="宋体"/>
          <w:b/>
          <w:color w:val="auto"/>
        </w:rPr>
        <w:t xml:space="preserve">。 </w:t>
      </w:r>
    </w:p>
    <w:p>
      <w:pPr>
        <w:ind w:left="480"/>
        <w:rPr>
          <w:rFonts w:ascii="宋体"/>
          <w:color w:val="auto"/>
        </w:rPr>
      </w:pPr>
    </w:p>
    <w:p>
      <w:pPr>
        <w:adjustRightInd w:val="0"/>
        <w:snapToGrid w:val="0"/>
        <w:spacing w:line="360" w:lineRule="auto"/>
        <w:ind w:left="420"/>
        <w:rPr>
          <w:color w:val="auto"/>
          <w:spacing w:val="4"/>
          <w:u w:val="single"/>
        </w:rPr>
      </w:pPr>
      <w:r>
        <w:rPr>
          <w:rFonts w:hint="eastAsia"/>
          <w:color w:val="auto"/>
          <w:spacing w:val="4"/>
        </w:rPr>
        <w:t>投标人名称（单位盖公章）：</w:t>
      </w:r>
    </w:p>
    <w:p>
      <w:pPr>
        <w:adjustRightInd w:val="0"/>
        <w:snapToGrid w:val="0"/>
        <w:spacing w:line="360" w:lineRule="auto"/>
        <w:ind w:left="420"/>
        <w:rPr>
          <w:color w:val="auto"/>
          <w:spacing w:val="4"/>
        </w:rPr>
      </w:pPr>
      <w:r>
        <w:rPr>
          <w:rFonts w:hint="eastAsia"/>
          <w:color w:val="auto"/>
          <w:spacing w:val="4"/>
        </w:rPr>
        <w:t>法定代表人或投标人授权代表（</w:t>
      </w:r>
      <w:r>
        <w:rPr>
          <w:rFonts w:hint="eastAsia" w:ascii="宋体" w:hAnsi="宋体"/>
          <w:color w:val="auto"/>
          <w:szCs w:val="21"/>
        </w:rPr>
        <w:t>签署本人姓名或印盖本人姓名章</w:t>
      </w:r>
      <w:r>
        <w:rPr>
          <w:rFonts w:hint="eastAsia"/>
          <w:color w:val="auto"/>
          <w:spacing w:val="4"/>
        </w:rPr>
        <w:t>）：</w:t>
      </w:r>
    </w:p>
    <w:p>
      <w:pPr>
        <w:adjustRightInd w:val="0"/>
        <w:snapToGrid w:val="0"/>
        <w:spacing w:line="360" w:lineRule="auto"/>
        <w:ind w:left="420"/>
        <w:rPr>
          <w:color w:val="auto"/>
          <w:spacing w:val="4"/>
        </w:rPr>
      </w:pPr>
      <w:r>
        <w:rPr>
          <w:rFonts w:hint="eastAsia"/>
          <w:color w:val="auto"/>
          <w:spacing w:val="4"/>
        </w:rPr>
        <w:t>职务：    日期：</w:t>
      </w:r>
    </w:p>
    <w:p>
      <w:pPr>
        <w:adjustRightInd w:val="0"/>
        <w:snapToGrid w:val="0"/>
        <w:spacing w:line="360" w:lineRule="auto"/>
        <w:ind w:left="420"/>
        <w:rPr>
          <w:color w:val="auto"/>
          <w:spacing w:val="4"/>
        </w:rPr>
      </w:pPr>
      <w:r>
        <w:rPr>
          <w:rFonts w:hint="eastAsia"/>
          <w:color w:val="auto"/>
          <w:spacing w:val="4"/>
        </w:rPr>
        <w:t>电话：    传真：   邮编：</w:t>
      </w:r>
    </w:p>
    <w:p>
      <w:pPr>
        <w:adjustRightInd w:val="0"/>
        <w:snapToGrid w:val="0"/>
        <w:spacing w:line="360" w:lineRule="auto"/>
        <w:ind w:firstLine="576" w:firstLineChars="206"/>
        <w:rPr>
          <w:rFonts w:ascii="黑体" w:eastAsia="黑体"/>
          <w:bCs/>
          <w:color w:val="auto"/>
          <w:sz w:val="28"/>
        </w:rPr>
        <w:sectPr>
          <w:pgSz w:w="11906" w:h="16838"/>
          <w:pgMar w:top="1440" w:right="1286" w:bottom="1440" w:left="1440" w:header="851" w:footer="992" w:gutter="0"/>
          <w:cols w:space="720" w:num="1"/>
          <w:docGrid w:type="lines" w:linePitch="312" w:charSpace="0"/>
        </w:sectPr>
      </w:pPr>
    </w:p>
    <w:p>
      <w:pPr>
        <w:pStyle w:val="4"/>
        <w:adjustRightInd w:val="0"/>
        <w:snapToGrid w:val="0"/>
        <w:spacing w:beforeLines="50" w:afterLines="50" w:line="360" w:lineRule="auto"/>
        <w:jc w:val="center"/>
        <w:rPr>
          <w:b w:val="0"/>
          <w:color w:val="auto"/>
        </w:rPr>
      </w:pPr>
      <w:bookmarkStart w:id="42" w:name="_Toc435514855"/>
      <w:bookmarkStart w:id="43" w:name="_Toc435515295"/>
      <w:bookmarkStart w:id="44" w:name="_Toc275865606"/>
      <w:r>
        <w:rPr>
          <w:rFonts w:hint="eastAsia"/>
          <w:b w:val="0"/>
          <w:color w:val="auto"/>
        </w:rPr>
        <w:t>投标人资格声明函</w:t>
      </w:r>
      <w:bookmarkEnd w:id="42"/>
      <w:bookmarkEnd w:id="43"/>
      <w:bookmarkEnd w:id="44"/>
    </w:p>
    <w:p>
      <w:pPr>
        <w:spacing w:beforeLines="50" w:afterLines="50"/>
        <w:rPr>
          <w:b/>
          <w:color w:val="auto"/>
        </w:rPr>
      </w:pPr>
      <w:r>
        <w:rPr>
          <w:rFonts w:hint="eastAsia"/>
          <w:b/>
          <w:color w:val="auto"/>
        </w:rPr>
        <w:t>广东公信招标有限公司：</w:t>
      </w:r>
    </w:p>
    <w:p>
      <w:pPr>
        <w:adjustRightInd w:val="0"/>
        <w:snapToGrid w:val="0"/>
        <w:spacing w:line="360" w:lineRule="auto"/>
        <w:ind w:firstLine="424" w:firstLineChars="202"/>
        <w:rPr>
          <w:rFonts w:ascii="宋体" w:hAnsi="宋体"/>
          <w:color w:val="auto"/>
        </w:rPr>
      </w:pPr>
      <w:r>
        <w:rPr>
          <w:rFonts w:hint="eastAsia" w:ascii="宋体" w:hAnsi="宋体"/>
          <w:color w:val="auto"/>
        </w:rPr>
        <w:t>关于贵公司</w:t>
      </w:r>
      <w:r>
        <w:rPr>
          <w:rFonts w:hint="eastAsia" w:ascii="宋体" w:hAnsi="宋体"/>
          <w:color w:val="auto"/>
          <w:u w:val="single"/>
        </w:rPr>
        <w:t>　 　</w:t>
      </w:r>
      <w:r>
        <w:rPr>
          <w:rFonts w:hint="eastAsia" w:ascii="宋体" w:hAnsi="宋体"/>
          <w:color w:val="auto"/>
        </w:rPr>
        <w:t>年</w:t>
      </w:r>
      <w:r>
        <w:rPr>
          <w:rFonts w:hint="eastAsia" w:ascii="宋体" w:hAnsi="宋体"/>
          <w:color w:val="auto"/>
          <w:u w:val="single"/>
        </w:rPr>
        <w:t>　　</w:t>
      </w:r>
      <w:r>
        <w:rPr>
          <w:rFonts w:hint="eastAsia" w:ascii="宋体" w:hAnsi="宋体"/>
          <w:color w:val="auto"/>
        </w:rPr>
        <w:t>月</w:t>
      </w:r>
      <w:r>
        <w:rPr>
          <w:rFonts w:hint="eastAsia" w:ascii="宋体" w:hAnsi="宋体"/>
          <w:color w:val="auto"/>
          <w:u w:val="single"/>
        </w:rPr>
        <w:t>　　</w:t>
      </w:r>
      <w:r>
        <w:rPr>
          <w:rFonts w:hint="eastAsia" w:ascii="宋体" w:hAnsi="宋体"/>
          <w:color w:val="auto"/>
        </w:rPr>
        <w:t>日发布</w:t>
      </w:r>
      <w:r>
        <w:rPr>
          <w:rFonts w:hint="eastAsia" w:ascii="宋体" w:hAnsi="宋体"/>
          <w:color w:val="auto"/>
          <w:u w:val="single"/>
        </w:rPr>
        <w:t>珠江街2021年粤港深度合作区（启动区）临时排水设施日常运行管养项目</w:t>
      </w:r>
      <w:r>
        <w:rPr>
          <w:rFonts w:hint="eastAsia" w:ascii="宋体" w:hAnsi="宋体"/>
          <w:color w:val="auto"/>
        </w:rPr>
        <w:t>（项目编号：GZGX21GZ00QY-45）的采购公告，本公司（企业）愿意参加投标，并声明：</w:t>
      </w:r>
    </w:p>
    <w:p>
      <w:pPr>
        <w:pStyle w:val="90"/>
        <w:numPr>
          <w:ilvl w:val="0"/>
          <w:numId w:val="30"/>
        </w:numPr>
        <w:adjustRightInd w:val="0"/>
        <w:snapToGrid w:val="0"/>
        <w:spacing w:line="360" w:lineRule="auto"/>
        <w:ind w:left="846" w:firstLineChars="0"/>
        <w:rPr>
          <w:rFonts w:asciiTheme="majorEastAsia" w:hAnsiTheme="majorEastAsia" w:eastAsiaTheme="majorEastAsia"/>
          <w:bCs/>
          <w:color w:val="auto"/>
          <w:szCs w:val="20"/>
        </w:rPr>
      </w:pPr>
      <w:r>
        <w:rPr>
          <w:rFonts w:hint="eastAsia" w:ascii="宋体" w:hAnsi="宋体"/>
          <w:color w:val="auto"/>
        </w:rPr>
        <w:t>本公司（企业）</w:t>
      </w:r>
      <w:r>
        <w:rPr>
          <w:rFonts w:hint="eastAsia" w:asciiTheme="majorEastAsia" w:hAnsiTheme="majorEastAsia" w:eastAsiaTheme="majorEastAsia"/>
          <w:bCs/>
          <w:color w:val="auto"/>
          <w:szCs w:val="20"/>
        </w:rPr>
        <w:t>具备</w:t>
      </w:r>
      <w:r>
        <w:rPr>
          <w:rFonts w:hint="eastAsia" w:ascii="宋体" w:hAnsi="宋体"/>
          <w:color w:val="auto"/>
        </w:rPr>
        <w:t>《中华人民共和国政府采购法》</w:t>
      </w:r>
      <w:r>
        <w:rPr>
          <w:rFonts w:hint="eastAsia" w:asciiTheme="majorEastAsia" w:hAnsiTheme="majorEastAsia" w:eastAsiaTheme="majorEastAsia"/>
          <w:bCs/>
          <w:color w:val="auto"/>
          <w:szCs w:val="20"/>
        </w:rPr>
        <w:t>第二十二条规定的条件：</w:t>
      </w:r>
    </w:p>
    <w:p>
      <w:pPr>
        <w:widowControl/>
        <w:adjustRightInd w:val="0"/>
        <w:snapToGrid w:val="0"/>
        <w:spacing w:line="360" w:lineRule="auto"/>
        <w:ind w:firstLine="360"/>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（一）具有独立承担民事责任的能力；</w:t>
      </w:r>
    </w:p>
    <w:p>
      <w:pPr>
        <w:widowControl/>
        <w:adjustRightInd w:val="0"/>
        <w:snapToGrid w:val="0"/>
        <w:spacing w:line="360" w:lineRule="auto"/>
        <w:ind w:firstLine="360"/>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（二）具有良好的商业信誉和健全的财务会计制度；</w:t>
      </w:r>
    </w:p>
    <w:p>
      <w:pPr>
        <w:widowControl/>
        <w:adjustRightInd w:val="0"/>
        <w:snapToGrid w:val="0"/>
        <w:spacing w:line="360" w:lineRule="auto"/>
        <w:ind w:firstLine="360"/>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（三）具有履行合同所必需的设备和专业技术能力；</w:t>
      </w:r>
    </w:p>
    <w:p>
      <w:pPr>
        <w:widowControl/>
        <w:adjustRightInd w:val="0"/>
        <w:snapToGrid w:val="0"/>
        <w:spacing w:line="360" w:lineRule="auto"/>
        <w:ind w:firstLine="360"/>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（四）有依法缴纳税收和社会保障资金的良好记录；</w:t>
      </w:r>
    </w:p>
    <w:p>
      <w:pPr>
        <w:widowControl/>
        <w:adjustRightInd w:val="0"/>
        <w:snapToGrid w:val="0"/>
        <w:spacing w:line="360" w:lineRule="auto"/>
        <w:ind w:firstLine="360"/>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（五）参加采购活动前三年内，在经营活动中没有重大违法记录；</w:t>
      </w:r>
    </w:p>
    <w:p>
      <w:pPr>
        <w:widowControl/>
        <w:adjustRightInd w:val="0"/>
        <w:snapToGrid w:val="0"/>
        <w:spacing w:line="360" w:lineRule="auto"/>
        <w:ind w:firstLine="360"/>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（六）法律、行政法规规定的其他条件。</w:t>
      </w:r>
    </w:p>
    <w:p>
      <w:pPr>
        <w:pStyle w:val="90"/>
        <w:numPr>
          <w:ilvl w:val="0"/>
          <w:numId w:val="30"/>
        </w:numPr>
        <w:adjustRightInd w:val="0"/>
        <w:snapToGrid w:val="0"/>
        <w:spacing w:line="360" w:lineRule="auto"/>
        <w:ind w:firstLineChars="0"/>
        <w:rPr>
          <w:rFonts w:ascii="宋体" w:hAnsi="宋体"/>
          <w:color w:val="auto"/>
        </w:rPr>
      </w:pPr>
      <w:r>
        <w:rPr>
          <w:rFonts w:hint="eastAsia" w:ascii="宋体" w:hAnsi="宋体"/>
          <w:color w:val="auto"/>
        </w:rPr>
        <w:t>本公司（企业）的单位负责人与所参投的本采购项目的其他投标人的单位负责人不为同一人且与其他投标人之间不存在直接控股、管理关系。</w:t>
      </w:r>
    </w:p>
    <w:p>
      <w:pPr>
        <w:pStyle w:val="90"/>
        <w:numPr>
          <w:ilvl w:val="0"/>
          <w:numId w:val="30"/>
        </w:numPr>
        <w:adjustRightInd w:val="0"/>
        <w:snapToGrid w:val="0"/>
        <w:spacing w:line="360" w:lineRule="auto"/>
        <w:ind w:left="846" w:firstLineChars="0"/>
        <w:rPr>
          <w:rFonts w:ascii="宋体" w:hAnsi="宋体"/>
          <w:color w:val="auto"/>
        </w:rPr>
      </w:pPr>
      <w:r>
        <w:rPr>
          <w:rFonts w:hint="eastAsia" w:ascii="宋体" w:hAnsi="宋体"/>
          <w:color w:val="auto"/>
        </w:rPr>
        <w:t>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adjustRightInd w:val="0"/>
        <w:snapToGrid w:val="0"/>
        <w:spacing w:line="360" w:lineRule="auto"/>
        <w:ind w:firstLine="424" w:firstLineChars="202"/>
        <w:rPr>
          <w:rFonts w:asciiTheme="majorEastAsia" w:hAnsiTheme="majorEastAsia" w:eastAsiaTheme="majorEastAsia"/>
          <w:color w:val="auto"/>
        </w:rPr>
      </w:pPr>
      <w:r>
        <w:rPr>
          <w:rFonts w:hint="eastAsia" w:asciiTheme="majorEastAsia" w:hAnsiTheme="majorEastAsia" w:eastAsiaTheme="majorEastAsia"/>
          <w:color w:val="auto"/>
        </w:rPr>
        <w:t>本公司（企业）承诺在本次招标采购活动中，如有违法、违规</w:t>
      </w:r>
      <w:r>
        <w:rPr>
          <w:rFonts w:hint="eastAsia" w:asciiTheme="majorEastAsia" w:hAnsiTheme="majorEastAsia" w:eastAsiaTheme="majorEastAsia"/>
          <w:color w:val="auto"/>
          <w:szCs w:val="21"/>
        </w:rPr>
        <w:t>、</w:t>
      </w:r>
      <w:r>
        <w:rPr>
          <w:rFonts w:hint="eastAsia" w:asciiTheme="majorEastAsia" w:hAnsiTheme="majorEastAsia" w:eastAsiaTheme="majorEastAsia"/>
          <w:color w:val="auto"/>
        </w:rPr>
        <w:t>弄虚作假行为，所造成的损失、不良后果及法律责任，一律由我公司（企业）承担。</w:t>
      </w:r>
    </w:p>
    <w:p>
      <w:pPr>
        <w:spacing w:line="360" w:lineRule="auto"/>
        <w:ind w:firstLine="420"/>
        <w:rPr>
          <w:rFonts w:asciiTheme="majorEastAsia" w:hAnsiTheme="majorEastAsia" w:eastAsiaTheme="majorEastAsia"/>
          <w:color w:val="auto"/>
        </w:rPr>
      </w:pPr>
      <w:r>
        <w:rPr>
          <w:rFonts w:hint="eastAsia" w:asciiTheme="majorEastAsia" w:hAnsiTheme="majorEastAsia" w:eastAsiaTheme="majorEastAsia"/>
          <w:color w:val="auto"/>
        </w:rPr>
        <w:t>特此声明！</w:t>
      </w:r>
    </w:p>
    <w:p>
      <w:pPr>
        <w:autoSpaceDE w:val="0"/>
        <w:autoSpaceDN w:val="0"/>
        <w:adjustRightInd w:val="0"/>
        <w:spacing w:line="360" w:lineRule="auto"/>
        <w:ind w:firstLine="413" w:firstLineChars="196"/>
        <w:rPr>
          <w:rFonts w:asciiTheme="majorEastAsia" w:hAnsiTheme="majorEastAsia" w:eastAsiaTheme="majorEastAsia"/>
          <w:b/>
          <w:color w:val="auto"/>
        </w:rPr>
      </w:pPr>
      <w:r>
        <w:rPr>
          <w:rFonts w:hint="eastAsia" w:asciiTheme="majorEastAsia" w:hAnsiTheme="majorEastAsia" w:eastAsiaTheme="majorEastAsia"/>
          <w:b/>
          <w:color w:val="auto"/>
        </w:rPr>
        <w:t>备注：</w:t>
      </w:r>
    </w:p>
    <w:p>
      <w:pPr>
        <w:pStyle w:val="90"/>
        <w:numPr>
          <w:ilvl w:val="0"/>
          <w:numId w:val="31"/>
        </w:numPr>
        <w:autoSpaceDE w:val="0"/>
        <w:autoSpaceDN w:val="0"/>
        <w:adjustRightInd w:val="0"/>
        <w:spacing w:line="360" w:lineRule="auto"/>
        <w:ind w:firstLineChars="0"/>
        <w:rPr>
          <w:rFonts w:asciiTheme="majorEastAsia" w:hAnsiTheme="majorEastAsia" w:eastAsiaTheme="majorEastAsia"/>
          <w:color w:val="auto"/>
        </w:rPr>
      </w:pPr>
      <w:r>
        <w:rPr>
          <w:rFonts w:hint="eastAsia" w:asciiTheme="majorEastAsia" w:hAnsiTheme="majorEastAsia" w:eastAsiaTheme="majorEastAsia"/>
          <w:color w:val="auto"/>
        </w:rPr>
        <w:t>本声明函必须提供且内容不得擅自删改，否则视为无效投标。</w:t>
      </w:r>
    </w:p>
    <w:p>
      <w:pPr>
        <w:pStyle w:val="90"/>
        <w:numPr>
          <w:ilvl w:val="0"/>
          <w:numId w:val="31"/>
        </w:numPr>
        <w:snapToGrid w:val="0"/>
        <w:spacing w:line="360" w:lineRule="auto"/>
        <w:ind w:firstLineChars="0"/>
        <w:rPr>
          <w:rFonts w:asciiTheme="majorEastAsia" w:hAnsiTheme="majorEastAsia" w:eastAsiaTheme="majorEastAsia"/>
          <w:color w:val="auto"/>
          <w:szCs w:val="21"/>
        </w:rPr>
      </w:pPr>
      <w:r>
        <w:rPr>
          <w:rFonts w:hint="eastAsia" w:asciiTheme="majorEastAsia" w:hAnsiTheme="majorEastAsia" w:eastAsiaTheme="majorEastAsia"/>
          <w:color w:val="auto"/>
          <w:szCs w:val="21"/>
        </w:rPr>
        <w:t>本声明函如有虚假或与事实不符的，作无效投标处理。</w:t>
      </w:r>
    </w:p>
    <w:p>
      <w:pPr>
        <w:spacing w:line="360" w:lineRule="auto"/>
        <w:ind w:firstLine="420"/>
        <w:rPr>
          <w:color w:val="auto"/>
        </w:rPr>
      </w:pPr>
    </w:p>
    <w:p>
      <w:pPr>
        <w:spacing w:line="360" w:lineRule="auto"/>
        <w:ind w:firstLine="420"/>
        <w:rPr>
          <w:color w:val="auto"/>
          <w:u w:val="single"/>
        </w:rPr>
      </w:pPr>
      <w:r>
        <w:rPr>
          <w:rFonts w:hint="eastAsia"/>
          <w:color w:val="auto"/>
        </w:rPr>
        <w:t>投标人名称（并</w:t>
      </w:r>
      <w:r>
        <w:rPr>
          <w:color w:val="auto"/>
        </w:rPr>
        <w:t>加盖</w:t>
      </w:r>
      <w:r>
        <w:rPr>
          <w:rFonts w:hint="eastAsia"/>
          <w:color w:val="auto"/>
        </w:rPr>
        <w:t>单位公章</w:t>
      </w:r>
      <w:r>
        <w:rPr>
          <w:color w:val="auto"/>
        </w:rPr>
        <w:t>）</w:t>
      </w:r>
      <w:r>
        <w:rPr>
          <w:rFonts w:hint="eastAsia"/>
          <w:color w:val="auto"/>
        </w:rPr>
        <w:t>：</w:t>
      </w:r>
      <w:r>
        <w:rPr>
          <w:rFonts w:hint="eastAsia"/>
          <w:color w:val="auto"/>
          <w:u w:val="single"/>
        </w:rPr>
        <w:t>　　                      　　　　</w:t>
      </w:r>
    </w:p>
    <w:p>
      <w:pPr>
        <w:spacing w:line="360" w:lineRule="auto"/>
        <w:ind w:firstLine="420"/>
        <w:rPr>
          <w:color w:val="auto"/>
          <w:u w:val="single"/>
        </w:rPr>
      </w:pPr>
      <w:r>
        <w:rPr>
          <w:rFonts w:hint="eastAsia"/>
          <w:color w:val="auto"/>
        </w:rPr>
        <w:t>单位地址：</w:t>
      </w:r>
      <w:r>
        <w:rPr>
          <w:rFonts w:hint="eastAsia"/>
          <w:color w:val="auto"/>
          <w:u w:val="single"/>
        </w:rPr>
        <w:t>　　　　　　　　　　　　　</w:t>
      </w:r>
      <w:r>
        <w:rPr>
          <w:rFonts w:hint="eastAsia"/>
          <w:color w:val="auto"/>
        </w:rPr>
        <w:t>　邮政编码：</w:t>
      </w:r>
      <w:r>
        <w:rPr>
          <w:rFonts w:hint="eastAsia"/>
          <w:color w:val="auto"/>
          <w:u w:val="single"/>
        </w:rPr>
        <w:t xml:space="preserve">　　　　　　　 </w:t>
      </w:r>
    </w:p>
    <w:p>
      <w:pPr>
        <w:spacing w:line="360" w:lineRule="auto"/>
        <w:ind w:firstLine="420"/>
        <w:rPr>
          <w:rFonts w:ascii="Arial" w:hAnsi="Arial" w:eastAsia="黑体"/>
          <w:bCs/>
          <w:color w:val="auto"/>
          <w:sz w:val="32"/>
          <w:szCs w:val="32"/>
          <w:lang w:val="zh-CN"/>
        </w:rPr>
      </w:pPr>
      <w:r>
        <w:rPr>
          <w:rFonts w:hint="eastAsia"/>
          <w:color w:val="auto"/>
        </w:rPr>
        <w:t>日期：</w:t>
      </w:r>
      <w:bookmarkStart w:id="45" w:name="_承诺函"/>
      <w:bookmarkEnd w:id="45"/>
      <w:bookmarkStart w:id="46" w:name="_Toc50736477"/>
      <w:bookmarkStart w:id="47" w:name="_Toc50737297"/>
      <w:bookmarkStart w:id="48" w:name="_Toc50737329"/>
      <w:bookmarkStart w:id="49" w:name="_Toc52165081"/>
      <w:bookmarkStart w:id="50" w:name="_Toc275865607"/>
      <w:bookmarkStart w:id="51" w:name="_Toc435514859"/>
      <w:bookmarkStart w:id="52" w:name="_Toc435515299"/>
      <w:bookmarkStart w:id="53" w:name="_Toc50691034"/>
      <w:bookmarkStart w:id="54" w:name="_Toc50736476"/>
      <w:bookmarkStart w:id="55" w:name="_Toc50737296"/>
      <w:bookmarkStart w:id="56" w:name="_Toc50737328"/>
      <w:bookmarkStart w:id="57" w:name="_Toc52165080"/>
    </w:p>
    <w:p>
      <w:pPr>
        <w:pStyle w:val="4"/>
        <w:adjustRightInd w:val="0"/>
        <w:snapToGrid w:val="0"/>
        <w:spacing w:beforeLines="50" w:afterLines="50" w:line="360" w:lineRule="auto"/>
        <w:jc w:val="center"/>
        <w:rPr>
          <w:b w:val="0"/>
          <w:color w:val="auto"/>
        </w:rPr>
        <w:sectPr>
          <w:pgSz w:w="11906" w:h="16838"/>
          <w:pgMar w:top="1440" w:right="1286" w:bottom="1440" w:left="1440" w:header="851" w:footer="992" w:gutter="0"/>
          <w:cols w:space="720" w:num="1"/>
          <w:docGrid w:type="lines" w:linePitch="312" w:charSpace="0"/>
        </w:sectPr>
      </w:pPr>
    </w:p>
    <w:p>
      <w:pPr>
        <w:pStyle w:val="4"/>
        <w:adjustRightInd w:val="0"/>
        <w:snapToGrid w:val="0"/>
        <w:spacing w:beforeLines="50" w:afterLines="50" w:line="360" w:lineRule="auto"/>
        <w:jc w:val="center"/>
        <w:rPr>
          <w:b w:val="0"/>
          <w:color w:val="auto"/>
        </w:rPr>
      </w:pPr>
      <w:r>
        <w:rPr>
          <w:rFonts w:hint="eastAsia"/>
          <w:b w:val="0"/>
          <w:color w:val="auto"/>
        </w:rPr>
        <w:t>法定代表人授权委托书</w:t>
      </w:r>
      <w:bookmarkEnd w:id="46"/>
      <w:bookmarkEnd w:id="47"/>
      <w:bookmarkEnd w:id="48"/>
      <w:bookmarkEnd w:id="49"/>
      <w:bookmarkEnd w:id="50"/>
      <w:bookmarkEnd w:id="51"/>
      <w:bookmarkEnd w:id="52"/>
    </w:p>
    <w:p>
      <w:pPr>
        <w:pStyle w:val="2"/>
        <w:spacing w:line="360" w:lineRule="auto"/>
        <w:ind w:firstLine="420" w:firstLineChars="200"/>
        <w:rPr>
          <w:color w:val="auto"/>
        </w:rPr>
      </w:pPr>
      <w:r>
        <w:rPr>
          <w:rFonts w:hint="eastAsia"/>
          <w:color w:val="auto"/>
        </w:rPr>
        <w:t>本授权委托书声明：注册于</w:t>
      </w:r>
      <w:r>
        <w:rPr>
          <w:rFonts w:hint="eastAsia"/>
          <w:color w:val="auto"/>
          <w:u w:val="single"/>
        </w:rPr>
        <w:t xml:space="preserve"> （投标人地址）  </w:t>
      </w:r>
      <w:r>
        <w:rPr>
          <w:rFonts w:hint="eastAsia"/>
          <w:color w:val="auto"/>
        </w:rPr>
        <w:t>的</w:t>
      </w:r>
      <w:r>
        <w:rPr>
          <w:rFonts w:hint="eastAsia"/>
          <w:color w:val="auto"/>
          <w:u w:val="single"/>
        </w:rPr>
        <w:t xml:space="preserve">  （单位名称）    </w:t>
      </w:r>
      <w:r>
        <w:rPr>
          <w:rFonts w:hint="eastAsia"/>
          <w:color w:val="auto"/>
        </w:rPr>
        <w:t>在下面签名的</w:t>
      </w:r>
      <w:r>
        <w:rPr>
          <w:rFonts w:hint="eastAsia"/>
          <w:color w:val="auto"/>
          <w:u w:val="single"/>
        </w:rPr>
        <w:t>（法定代表人姓名、职务）</w:t>
      </w:r>
      <w:r>
        <w:rPr>
          <w:rFonts w:hint="eastAsia"/>
          <w:color w:val="auto"/>
        </w:rPr>
        <w:t>在此授权</w:t>
      </w:r>
      <w:r>
        <w:rPr>
          <w:rFonts w:hint="eastAsia"/>
          <w:color w:val="auto"/>
          <w:u w:val="single"/>
        </w:rPr>
        <w:t>（被授权人姓名、职务）</w:t>
      </w:r>
      <w:r>
        <w:rPr>
          <w:rFonts w:hint="eastAsia"/>
          <w:color w:val="auto"/>
        </w:rPr>
        <w:t>作为我公司的合法代理人，就</w:t>
      </w:r>
      <w:r>
        <w:rPr>
          <w:rFonts w:hint="eastAsia"/>
          <w:color w:val="auto"/>
          <w:u w:val="single"/>
        </w:rPr>
        <w:t>（项目名称、项目编号</w:t>
      </w:r>
      <w:r>
        <w:rPr>
          <w:rFonts w:hint="eastAsia"/>
          <w:color w:val="auto"/>
        </w:rPr>
        <w:t>）的招投标活动，采购合同的签订、执行、完成和售后服务，作为投标人代表以我方的名义处理一切与之有关的事务。</w:t>
      </w:r>
    </w:p>
    <w:p>
      <w:pPr>
        <w:pStyle w:val="2"/>
        <w:spacing w:line="360" w:lineRule="auto"/>
        <w:ind w:firstLine="420" w:firstLineChars="200"/>
        <w:rPr>
          <w:color w:val="auto"/>
        </w:rPr>
      </w:pPr>
      <w:r>
        <w:rPr>
          <w:rFonts w:hint="eastAsia"/>
          <w:color w:val="auto"/>
        </w:rPr>
        <w:t>被授权人（投标人授权代表）无转委托权限。</w:t>
      </w:r>
    </w:p>
    <w:p>
      <w:pPr>
        <w:spacing w:line="360" w:lineRule="auto"/>
        <w:ind w:firstLine="420" w:firstLineChars="200"/>
        <w:rPr>
          <w:rFonts w:ascii="宋体"/>
          <w:color w:val="auto"/>
        </w:rPr>
      </w:pPr>
      <w:r>
        <w:rPr>
          <w:rFonts w:hint="eastAsia" w:ascii="宋体"/>
          <w:color w:val="auto"/>
        </w:rPr>
        <w:t>本授权书自法定代表人签字之日起生效，特此声明。</w:t>
      </w:r>
    </w:p>
    <w:p>
      <w:pPr>
        <w:spacing w:line="360" w:lineRule="auto"/>
        <w:rPr>
          <w:rFonts w:ascii="宋体"/>
          <w:b/>
          <w:color w:val="auto"/>
        </w:rPr>
      </w:pPr>
      <w:r>
        <w:rPr>
          <w:rFonts w:hint="eastAsia" w:ascii="宋体"/>
          <w:b/>
          <w:color w:val="auto"/>
        </w:rPr>
        <w:t>随附《法定代表人证明》</w:t>
      </w:r>
    </w:p>
    <w:p>
      <w:pPr>
        <w:spacing w:line="360" w:lineRule="auto"/>
        <w:rPr>
          <w:rFonts w:ascii="宋体"/>
          <w:color w:val="auto"/>
        </w:rPr>
      </w:pPr>
    </w:p>
    <w:p>
      <w:pPr>
        <w:spacing w:line="360" w:lineRule="auto"/>
        <w:rPr>
          <w:rFonts w:ascii="宋体"/>
          <w:color w:val="auto"/>
        </w:rPr>
      </w:pPr>
      <w:r>
        <w:rPr>
          <w:rFonts w:hint="eastAsia" w:ascii="宋体"/>
          <w:color w:val="auto"/>
        </w:rPr>
        <w:t>投标人名称（</w:t>
      </w:r>
      <w:r>
        <w:rPr>
          <w:rFonts w:hint="eastAsia" w:ascii="宋体" w:hAnsi="宋体"/>
          <w:color w:val="auto"/>
        </w:rPr>
        <w:t>单位盖</w:t>
      </w:r>
      <w:r>
        <w:rPr>
          <w:rFonts w:hint="eastAsia"/>
          <w:color w:val="auto"/>
          <w:spacing w:val="4"/>
        </w:rPr>
        <w:t>公章</w:t>
      </w:r>
      <w:r>
        <w:rPr>
          <w:rFonts w:hint="eastAsia" w:ascii="宋体"/>
          <w:color w:val="auto"/>
        </w:rPr>
        <w:t>）：</w:t>
      </w:r>
    </w:p>
    <w:p>
      <w:pPr>
        <w:spacing w:line="360" w:lineRule="auto"/>
        <w:rPr>
          <w:rFonts w:ascii="宋体"/>
          <w:color w:val="auto"/>
        </w:rPr>
      </w:pPr>
      <w:r>
        <w:rPr>
          <w:rFonts w:hint="eastAsia" w:ascii="宋体"/>
          <w:color w:val="auto"/>
        </w:rPr>
        <w:t>地      址：</w:t>
      </w:r>
    </w:p>
    <w:p>
      <w:pPr>
        <w:tabs>
          <w:tab w:val="left" w:pos="3780"/>
        </w:tabs>
        <w:spacing w:line="360" w:lineRule="auto"/>
        <w:rPr>
          <w:rFonts w:ascii="宋体"/>
          <w:color w:val="auto"/>
        </w:rPr>
      </w:pPr>
      <w:r>
        <w:rPr>
          <w:rFonts w:hint="eastAsia" w:ascii="宋体"/>
          <w:color w:val="auto"/>
        </w:rPr>
        <w:t xml:space="preserve">法定代表人（签字或盖章）：                         签字日期：  </w:t>
      </w:r>
      <w:r>
        <w:rPr>
          <w:rFonts w:hint="eastAsia" w:ascii="宋体" w:hAnsi="宋体"/>
          <w:color w:val="auto"/>
        </w:rPr>
        <w:t>年  月   日</w:t>
      </w:r>
    </w:p>
    <w:p>
      <w:pPr>
        <w:spacing w:line="360" w:lineRule="auto"/>
        <w:ind w:left="1159" w:leftChars="552" w:firstLine="2261"/>
        <w:rPr>
          <w:rFonts w:ascii="宋体"/>
          <w:color w:val="auto"/>
        </w:rPr>
      </w:pPr>
    </w:p>
    <w:p>
      <w:pPr>
        <w:spacing w:line="360" w:lineRule="auto"/>
        <w:rPr>
          <w:rFonts w:ascii="宋体"/>
          <w:color w:val="auto"/>
        </w:rPr>
      </w:pPr>
      <w:r>
        <w:rPr>
          <w:rFonts w:ascii="宋体"/>
          <w:color w:val="auto"/>
          <w:sz w:val="20"/>
        </w:rPr>
        <mc:AlternateContent>
          <mc:Choice Requires="wpg">
            <w:drawing>
              <wp:anchor distT="0" distB="0" distL="114300" distR="114300" simplePos="0" relativeHeight="251656192" behindDoc="0" locked="0" layoutInCell="1" allowOverlap="1">
                <wp:simplePos x="0" y="0"/>
                <wp:positionH relativeFrom="column">
                  <wp:posOffset>-19050</wp:posOffset>
                </wp:positionH>
                <wp:positionV relativeFrom="paragraph">
                  <wp:posOffset>217170</wp:posOffset>
                </wp:positionV>
                <wp:extent cx="5584190" cy="1487805"/>
                <wp:effectExtent l="4445" t="4445" r="12065" b="12700"/>
                <wp:wrapNone/>
                <wp:docPr id="8" name="组合 7"/>
                <wp:cNvGraphicFramePr/>
                <a:graphic xmlns:a="http://schemas.openxmlformats.org/drawingml/2006/main">
                  <a:graphicData uri="http://schemas.microsoft.com/office/word/2010/wordprocessingGroup">
                    <wpg:wgp>
                      <wpg:cNvGrpSpPr/>
                      <wpg:grpSpPr>
                        <a:xfrm>
                          <a:off x="0" y="0"/>
                          <a:ext cx="5584190" cy="1487805"/>
                          <a:chOff x="1410" y="9240"/>
                          <a:chExt cx="8794" cy="2343"/>
                        </a:xfrm>
                        <a:effectLst/>
                      </wpg:grpSpPr>
                      <wps:wsp>
                        <wps:cNvPr id="11" name="矩形 4"/>
                        <wps:cNvSpPr>
                          <a:spLocks noChangeArrowheads="1"/>
                        </wps:cNvSpPr>
                        <wps:spPr bwMode="auto">
                          <a:xfrm>
                            <a:off x="1410" y="9240"/>
                            <a:ext cx="4337" cy="2343"/>
                          </a:xfrm>
                          <a:prstGeom prst="rect">
                            <a:avLst/>
                          </a:prstGeom>
                          <a:solidFill>
                            <a:srgbClr val="FFFFFF"/>
                          </a:solidFill>
                          <a:ln w="9525">
                            <a:solidFill>
                              <a:srgbClr val="000000"/>
                            </a:solidFill>
                            <a:miter lim="800000"/>
                          </a:ln>
                          <a:effectLst/>
                        </wps:spPr>
                        <wps:txbx>
                          <w:txbxContent>
                            <w:p>
                              <w:pPr>
                                <w:jc w:val="center"/>
                              </w:pPr>
                              <w:r>
                                <w:rPr>
                                  <w:rFonts w:hint="eastAsia"/>
                                </w:rPr>
                                <w:t>被授权人（授权代表）</w:t>
                              </w:r>
                            </w:p>
                            <w:p>
                              <w:pPr>
                                <w:jc w:val="center"/>
                              </w:pPr>
                              <w:r>
                                <w:rPr>
                                  <w:rFonts w:hint="eastAsia"/>
                                </w:rPr>
                                <w:t>居民身份证复印件粘贴处</w:t>
                              </w:r>
                            </w:p>
                            <w:p>
                              <w:pPr>
                                <w:ind w:firstLine="1050" w:firstLineChars="500"/>
                              </w:pPr>
                            </w:p>
                            <w:p>
                              <w:pPr>
                                <w:jc w:val="center"/>
                              </w:pPr>
                              <w:r>
                                <w:rPr>
                                  <w:rFonts w:hint="eastAsia"/>
                                </w:rPr>
                                <w:t>（正面）</w:t>
                              </w:r>
                            </w:p>
                            <w:p/>
                          </w:txbxContent>
                        </wps:txbx>
                        <wps:bodyPr rot="0" vert="horz" wrap="square" lIns="91440" tIns="45720" rIns="91440" bIns="45720" anchor="t" anchorCtr="0" upright="1">
                          <a:noAutofit/>
                        </wps:bodyPr>
                      </wps:wsp>
                      <wps:wsp>
                        <wps:cNvPr id="12" name="矩形 8"/>
                        <wps:cNvSpPr>
                          <a:spLocks noChangeArrowheads="1"/>
                        </wps:cNvSpPr>
                        <wps:spPr bwMode="auto">
                          <a:xfrm>
                            <a:off x="5867" y="9240"/>
                            <a:ext cx="4337" cy="2343"/>
                          </a:xfrm>
                          <a:prstGeom prst="rect">
                            <a:avLst/>
                          </a:prstGeom>
                          <a:solidFill>
                            <a:srgbClr val="FFFFFF"/>
                          </a:solidFill>
                          <a:ln w="9525">
                            <a:solidFill>
                              <a:srgbClr val="000000"/>
                            </a:solidFill>
                            <a:miter lim="800000"/>
                          </a:ln>
                          <a:effectLst/>
                        </wps:spPr>
                        <wps:txbx>
                          <w:txbxContent>
                            <w:p>
                              <w:pPr>
                                <w:jc w:val="center"/>
                              </w:pPr>
                              <w:r>
                                <w:rPr>
                                  <w:rFonts w:hint="eastAsia"/>
                                </w:rPr>
                                <w:t>被授权人（授权代表）</w:t>
                              </w:r>
                            </w:p>
                            <w:p>
                              <w:pPr>
                                <w:jc w:val="center"/>
                              </w:pPr>
                              <w:r>
                                <w:rPr>
                                  <w:rFonts w:hint="eastAsia"/>
                                </w:rPr>
                                <w:t>居民身份证复印件粘贴处</w:t>
                              </w:r>
                            </w:p>
                            <w:p>
                              <w:pPr>
                                <w:ind w:firstLine="1050" w:firstLineChars="500"/>
                              </w:pPr>
                            </w:p>
                            <w:p>
                              <w:pPr>
                                <w:jc w:val="center"/>
                              </w:pPr>
                              <w:r>
                                <w:rPr>
                                  <w:rFonts w:hint="eastAsia"/>
                                </w:rPr>
                                <w:t>（反面）</w:t>
                              </w:r>
                            </w:p>
                            <w:p/>
                          </w:txbxContent>
                        </wps:txbx>
                        <wps:bodyPr rot="0" vert="horz" wrap="square" lIns="91440" tIns="45720" rIns="91440" bIns="45720" anchor="t" anchorCtr="0" upright="1">
                          <a:noAutofit/>
                        </wps:bodyPr>
                      </wps:wsp>
                    </wpg:wgp>
                  </a:graphicData>
                </a:graphic>
              </wp:anchor>
            </w:drawing>
          </mc:Choice>
          <mc:Fallback>
            <w:pict>
              <v:group id="组合 7" o:spid="_x0000_s1026" o:spt="203" style="position:absolute;left:0pt;margin-left:-1.5pt;margin-top:17.1pt;height:117.15pt;width:439.7pt;z-index:251656192;mso-width-relative:page;mso-height-relative:page;" coordorigin="1410,9240" coordsize="8794,2343" o:gfxdata="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A1RoxdoAAAAJAQAADwAAAAAAAAABACAAAAAi&#10;AAAAZHJzL2Rvd25yZXYueG1sUEsBAhQAFAAAAAgAh07iQBrcJyGzAgAAJwgAAA4AAAAAAAAAAQAg&#10;AAAAKQEAAGRycy9lMm9Eb2MueG1sUEsFBgAAAAAGAAYAWQEAAE4GAAAAAA==&#10;">
                <o:lock v:ext="edit" aspectratio="f"/>
                <v:rect id="矩形 4" o:spid="_x0000_s1026" o:spt="1" style="position:absolute;left:1410;top:9240;height:2343;width:4337;" fillcolor="#FFFFFF" filled="t" stroked="t" coordsize="21600,21600" o:gfxdata="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tC7Cr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jc w:val="center"/>
                        </w:pPr>
                        <w:r>
                          <w:rPr>
                            <w:rFonts w:hint="eastAsia"/>
                          </w:rPr>
                          <w:t>被授权人（授权代表）</w:t>
                        </w:r>
                      </w:p>
                      <w:p>
                        <w:pPr>
                          <w:jc w:val="center"/>
                        </w:pPr>
                        <w:r>
                          <w:rPr>
                            <w:rFonts w:hint="eastAsia"/>
                          </w:rPr>
                          <w:t>居民身份证复印件粘贴处</w:t>
                        </w:r>
                      </w:p>
                      <w:p>
                        <w:pPr>
                          <w:ind w:firstLine="1050" w:firstLineChars="500"/>
                        </w:pPr>
                      </w:p>
                      <w:p>
                        <w:pPr>
                          <w:jc w:val="center"/>
                        </w:pPr>
                        <w:r>
                          <w:rPr>
                            <w:rFonts w:hint="eastAsia"/>
                          </w:rPr>
                          <w:t>（正面）</w:t>
                        </w:r>
                      </w:p>
                      <w:p/>
                    </w:txbxContent>
                  </v:textbox>
                </v:rect>
                <v:rect id="矩形 8" o:spid="_x0000_s1026" o:spt="1" style="position:absolute;left:5867;top:9240;height:2343;width:4337;" fillcolor="#FFFFFF" filled="t" stroked="t" coordsize="21600,21600" o:gfxdata="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Ilfb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jc w:val="center"/>
                        </w:pPr>
                        <w:r>
                          <w:rPr>
                            <w:rFonts w:hint="eastAsia"/>
                          </w:rPr>
                          <w:t>被授权人（授权代表）</w:t>
                        </w:r>
                      </w:p>
                      <w:p>
                        <w:pPr>
                          <w:jc w:val="center"/>
                        </w:pPr>
                        <w:r>
                          <w:rPr>
                            <w:rFonts w:hint="eastAsia"/>
                          </w:rPr>
                          <w:t>居民身份证复印件粘贴处</w:t>
                        </w:r>
                      </w:p>
                      <w:p>
                        <w:pPr>
                          <w:ind w:firstLine="1050" w:firstLineChars="500"/>
                        </w:pPr>
                      </w:p>
                      <w:p>
                        <w:pPr>
                          <w:jc w:val="center"/>
                        </w:pPr>
                        <w:r>
                          <w:rPr>
                            <w:rFonts w:hint="eastAsia"/>
                          </w:rPr>
                          <w:t>（反面）</w:t>
                        </w:r>
                      </w:p>
                      <w:p/>
                    </w:txbxContent>
                  </v:textbox>
                </v:rect>
              </v:group>
            </w:pict>
          </mc:Fallback>
        </mc:AlternateContent>
      </w:r>
    </w:p>
    <w:p>
      <w:pPr>
        <w:spacing w:line="360" w:lineRule="auto"/>
        <w:rPr>
          <w:rFonts w:ascii="宋体"/>
          <w:color w:val="auto"/>
        </w:rPr>
      </w:pPr>
    </w:p>
    <w:p>
      <w:pPr>
        <w:spacing w:line="360" w:lineRule="auto"/>
        <w:rPr>
          <w:rFonts w:ascii="宋体"/>
          <w:color w:val="auto"/>
        </w:rPr>
      </w:pPr>
    </w:p>
    <w:p>
      <w:pPr>
        <w:spacing w:line="360" w:lineRule="auto"/>
        <w:rPr>
          <w:rFonts w:ascii="宋体"/>
          <w:color w:val="auto"/>
        </w:rPr>
      </w:pPr>
    </w:p>
    <w:p>
      <w:pPr>
        <w:spacing w:line="360" w:lineRule="auto"/>
        <w:rPr>
          <w:rFonts w:ascii="宋体"/>
          <w:color w:val="auto"/>
        </w:rPr>
      </w:pPr>
    </w:p>
    <w:p>
      <w:pPr>
        <w:spacing w:line="360" w:lineRule="auto"/>
        <w:rPr>
          <w:rFonts w:ascii="宋体"/>
          <w:color w:val="auto"/>
        </w:rPr>
      </w:pPr>
    </w:p>
    <w:p>
      <w:pPr>
        <w:spacing w:line="360" w:lineRule="auto"/>
        <w:rPr>
          <w:rFonts w:ascii="宋体"/>
          <w:color w:val="auto"/>
        </w:rPr>
      </w:pPr>
    </w:p>
    <w:p>
      <w:pPr>
        <w:spacing w:line="440" w:lineRule="exact"/>
        <w:rPr>
          <w:rFonts w:ascii="宋体"/>
          <w:color w:val="auto"/>
          <w:sz w:val="24"/>
        </w:rPr>
        <w:sectPr>
          <w:pgSz w:w="11906" w:h="16838"/>
          <w:pgMar w:top="1440" w:right="1286" w:bottom="1440" w:left="1440" w:header="851" w:footer="992" w:gutter="0"/>
          <w:cols w:space="720" w:num="1"/>
          <w:docGrid w:type="lines" w:linePitch="312" w:charSpace="0"/>
        </w:sectPr>
      </w:pPr>
      <w:bookmarkStart w:id="58" w:name="_Toc226217114"/>
    </w:p>
    <w:bookmarkEnd w:id="58"/>
    <w:p>
      <w:pPr>
        <w:pStyle w:val="4"/>
        <w:adjustRightInd w:val="0"/>
        <w:snapToGrid w:val="0"/>
        <w:spacing w:beforeLines="50" w:afterLines="50" w:line="360" w:lineRule="auto"/>
        <w:jc w:val="center"/>
        <w:rPr>
          <w:b w:val="0"/>
          <w:color w:val="auto"/>
        </w:rPr>
      </w:pPr>
      <w:bookmarkStart w:id="59" w:name="_Toc275865608"/>
      <w:bookmarkStart w:id="60" w:name="_Toc435514860"/>
      <w:bookmarkStart w:id="61" w:name="_Toc435515300"/>
      <w:r>
        <w:rPr>
          <w:rFonts w:hint="eastAsia"/>
          <w:b w:val="0"/>
          <w:color w:val="auto"/>
        </w:rPr>
        <w:t>法定代表人证明书</w:t>
      </w:r>
      <w:bookmarkEnd w:id="53"/>
      <w:bookmarkEnd w:id="54"/>
      <w:bookmarkEnd w:id="55"/>
      <w:bookmarkEnd w:id="56"/>
      <w:bookmarkEnd w:id="57"/>
      <w:bookmarkEnd w:id="59"/>
      <w:bookmarkEnd w:id="60"/>
      <w:bookmarkEnd w:id="61"/>
    </w:p>
    <w:p>
      <w:pPr>
        <w:tabs>
          <w:tab w:val="left" w:pos="900"/>
        </w:tabs>
        <w:spacing w:line="480" w:lineRule="auto"/>
        <w:ind w:firstLine="945" w:firstLineChars="450"/>
        <w:rPr>
          <w:rFonts w:ascii="宋体" w:hAnsi="宋体"/>
          <w:color w:val="auto"/>
        </w:rPr>
      </w:pPr>
      <w:r>
        <w:rPr>
          <w:rFonts w:hint="eastAsia" w:ascii="宋体" w:hAnsi="宋体"/>
          <w:color w:val="auto"/>
        </w:rPr>
        <w:t>______________同志，现任我单位职务，为法定代表人，特此证明。</w:t>
      </w:r>
    </w:p>
    <w:p>
      <w:pPr>
        <w:spacing w:line="360" w:lineRule="auto"/>
        <w:ind w:firstLine="420" w:firstLineChars="200"/>
        <w:rPr>
          <w:rFonts w:ascii="宋体" w:hAnsi="宋体"/>
          <w:color w:val="auto"/>
        </w:rPr>
      </w:pPr>
      <w:r>
        <w:rPr>
          <w:rFonts w:hint="eastAsia" w:ascii="宋体"/>
          <w:color w:val="auto"/>
        </w:rPr>
        <w:t>本证明书自签发之日起生效，</w:t>
      </w:r>
      <w:r>
        <w:rPr>
          <w:rFonts w:hint="eastAsia" w:ascii="宋体" w:hAnsi="宋体"/>
          <w:color w:val="auto"/>
        </w:rPr>
        <w:t>有效期与本公司投标文件中标注的投标有效期相同。</w:t>
      </w:r>
    </w:p>
    <w:p>
      <w:pPr>
        <w:spacing w:line="480" w:lineRule="auto"/>
        <w:ind w:firstLine="420" w:firstLineChars="200"/>
        <w:rPr>
          <w:rFonts w:ascii="宋体" w:hAnsi="宋体"/>
          <w:color w:val="auto"/>
        </w:rPr>
      </w:pPr>
      <w:r>
        <w:rPr>
          <w:rFonts w:hint="eastAsia" w:ascii="宋体" w:hAnsi="宋体"/>
          <w:color w:val="auto"/>
        </w:rPr>
        <w:t>附：</w:t>
      </w:r>
    </w:p>
    <w:p>
      <w:pPr>
        <w:spacing w:line="480" w:lineRule="auto"/>
        <w:ind w:firstLine="840" w:firstLineChars="400"/>
        <w:rPr>
          <w:rFonts w:ascii="宋体" w:hAnsi="宋体"/>
          <w:color w:val="auto"/>
          <w:u w:val="single"/>
        </w:rPr>
      </w:pPr>
      <w:r>
        <w:rPr>
          <w:rFonts w:hint="eastAsia" w:ascii="宋体" w:hAnsi="宋体"/>
          <w:color w:val="auto"/>
        </w:rPr>
        <w:t>营业执照（注册号）：</w:t>
      </w:r>
    </w:p>
    <w:p>
      <w:pPr>
        <w:spacing w:line="480" w:lineRule="auto"/>
        <w:ind w:firstLine="840" w:firstLineChars="400"/>
        <w:rPr>
          <w:rFonts w:ascii="宋体" w:hAnsi="宋体"/>
          <w:color w:val="auto"/>
          <w:u w:val="single"/>
        </w:rPr>
      </w:pPr>
      <w:r>
        <w:rPr>
          <w:rFonts w:hint="eastAsia" w:ascii="宋体" w:hAnsi="宋体"/>
          <w:color w:val="auto"/>
        </w:rPr>
        <w:t>主营（产）：</w:t>
      </w:r>
    </w:p>
    <w:p>
      <w:pPr>
        <w:spacing w:line="480" w:lineRule="auto"/>
        <w:ind w:firstLine="840" w:firstLineChars="400"/>
        <w:rPr>
          <w:rFonts w:ascii="宋体" w:hAnsi="宋体"/>
          <w:color w:val="auto"/>
          <w:u w:val="single"/>
        </w:rPr>
      </w:pPr>
      <w:r>
        <w:rPr>
          <w:rFonts w:hint="eastAsia" w:ascii="宋体" w:hAnsi="宋体"/>
          <w:color w:val="auto"/>
        </w:rPr>
        <w:t>兼营（产）：</w:t>
      </w:r>
    </w:p>
    <w:p>
      <w:pPr>
        <w:spacing w:line="480" w:lineRule="auto"/>
        <w:ind w:firstLine="840" w:firstLineChars="400"/>
        <w:rPr>
          <w:rFonts w:ascii="宋体" w:hAnsi="宋体"/>
          <w:color w:val="auto"/>
        </w:rPr>
      </w:pPr>
    </w:p>
    <w:p>
      <w:pPr>
        <w:spacing w:line="360" w:lineRule="auto"/>
        <w:rPr>
          <w:rFonts w:ascii="宋体"/>
          <w:color w:val="auto"/>
        </w:rPr>
      </w:pPr>
      <w:r>
        <w:rPr>
          <w:rFonts w:ascii="宋体"/>
          <w:color w:val="auto"/>
          <w:sz w:val="20"/>
        </w:rPr>
        <mc:AlternateContent>
          <mc:Choice Requires="wpg">
            <w:drawing>
              <wp:anchor distT="0" distB="0" distL="114300" distR="114300" simplePos="0" relativeHeight="251657216" behindDoc="0" locked="0" layoutInCell="1" allowOverlap="1">
                <wp:simplePos x="0" y="0"/>
                <wp:positionH relativeFrom="column">
                  <wp:posOffset>-19050</wp:posOffset>
                </wp:positionH>
                <wp:positionV relativeFrom="paragraph">
                  <wp:posOffset>217170</wp:posOffset>
                </wp:positionV>
                <wp:extent cx="5584190" cy="1487805"/>
                <wp:effectExtent l="4445" t="4445" r="12065" b="12700"/>
                <wp:wrapNone/>
                <wp:docPr id="5" name="组合 4"/>
                <wp:cNvGraphicFramePr/>
                <a:graphic xmlns:a="http://schemas.openxmlformats.org/drawingml/2006/main">
                  <a:graphicData uri="http://schemas.microsoft.com/office/word/2010/wordprocessingGroup">
                    <wpg:wgp>
                      <wpg:cNvGrpSpPr/>
                      <wpg:grpSpPr>
                        <a:xfrm>
                          <a:off x="0" y="0"/>
                          <a:ext cx="5584190" cy="1487805"/>
                          <a:chOff x="1410" y="9240"/>
                          <a:chExt cx="8794" cy="2343"/>
                        </a:xfrm>
                        <a:effectLst/>
                      </wpg:grpSpPr>
                      <wps:wsp>
                        <wps:cNvPr id="6" name="矩形 11"/>
                        <wps:cNvSpPr>
                          <a:spLocks noChangeArrowheads="1"/>
                        </wps:cNvSpPr>
                        <wps:spPr bwMode="auto">
                          <a:xfrm>
                            <a:off x="1410" y="9240"/>
                            <a:ext cx="4337" cy="2343"/>
                          </a:xfrm>
                          <a:prstGeom prst="rect">
                            <a:avLst/>
                          </a:prstGeom>
                          <a:solidFill>
                            <a:srgbClr val="FFFFFF"/>
                          </a:solidFill>
                          <a:ln w="9525">
                            <a:solidFill>
                              <a:srgbClr val="000000"/>
                            </a:solidFill>
                            <a:miter lim="800000"/>
                          </a:ln>
                          <a:effectLst/>
                        </wps:spPr>
                        <wps:txbx>
                          <w:txbxContent>
                            <w:p>
                              <w:pPr>
                                <w:jc w:val="center"/>
                              </w:pPr>
                              <w:r>
                                <w:rPr>
                                  <w:rFonts w:hint="eastAsia"/>
                                </w:rPr>
                                <w:t>法定代表人</w:t>
                              </w:r>
                            </w:p>
                            <w:p>
                              <w:pPr>
                                <w:jc w:val="center"/>
                              </w:pPr>
                              <w:r>
                                <w:rPr>
                                  <w:rFonts w:hint="eastAsia"/>
                                </w:rPr>
                                <w:t>居民身份证复印件粘贴处</w:t>
                              </w:r>
                            </w:p>
                            <w:p>
                              <w:pPr>
                                <w:ind w:firstLine="1050" w:firstLineChars="500"/>
                              </w:pPr>
                            </w:p>
                            <w:p>
                              <w:pPr>
                                <w:jc w:val="center"/>
                              </w:pPr>
                              <w:r>
                                <w:rPr>
                                  <w:rFonts w:hint="eastAsia"/>
                                </w:rPr>
                                <w:t>（正面）</w:t>
                              </w:r>
                            </w:p>
                            <w:p/>
                          </w:txbxContent>
                        </wps:txbx>
                        <wps:bodyPr rot="0" vert="horz" wrap="square" lIns="91440" tIns="45720" rIns="91440" bIns="45720" anchor="t" anchorCtr="0" upright="1">
                          <a:noAutofit/>
                        </wps:bodyPr>
                      </wps:wsp>
                      <wps:wsp>
                        <wps:cNvPr id="7" name="矩形 12"/>
                        <wps:cNvSpPr>
                          <a:spLocks noChangeArrowheads="1"/>
                        </wps:cNvSpPr>
                        <wps:spPr bwMode="auto">
                          <a:xfrm>
                            <a:off x="5867" y="9240"/>
                            <a:ext cx="4337" cy="2343"/>
                          </a:xfrm>
                          <a:prstGeom prst="rect">
                            <a:avLst/>
                          </a:prstGeom>
                          <a:solidFill>
                            <a:srgbClr val="FFFFFF"/>
                          </a:solidFill>
                          <a:ln w="9525">
                            <a:solidFill>
                              <a:srgbClr val="000000"/>
                            </a:solidFill>
                            <a:miter lim="800000"/>
                          </a:ln>
                          <a:effectLst/>
                        </wps:spPr>
                        <wps:txbx>
                          <w:txbxContent>
                            <w:p>
                              <w:pPr>
                                <w:jc w:val="center"/>
                              </w:pPr>
                              <w:r>
                                <w:rPr>
                                  <w:rFonts w:hint="eastAsia"/>
                                </w:rPr>
                                <w:t>法定代表人</w:t>
                              </w:r>
                            </w:p>
                            <w:p>
                              <w:pPr>
                                <w:jc w:val="center"/>
                              </w:pPr>
                              <w:r>
                                <w:rPr>
                                  <w:rFonts w:hint="eastAsia"/>
                                </w:rPr>
                                <w:t>居民身份证复印件粘贴处</w:t>
                              </w:r>
                            </w:p>
                            <w:p>
                              <w:pPr>
                                <w:ind w:firstLine="1050" w:firstLineChars="500"/>
                              </w:pPr>
                            </w:p>
                            <w:p>
                              <w:pPr>
                                <w:jc w:val="center"/>
                              </w:pPr>
                              <w:r>
                                <w:rPr>
                                  <w:rFonts w:hint="eastAsia"/>
                                </w:rPr>
                                <w:t>（反面）</w:t>
                              </w:r>
                            </w:p>
                            <w:p/>
                          </w:txbxContent>
                        </wps:txbx>
                        <wps:bodyPr rot="0" vert="horz" wrap="square" lIns="91440" tIns="45720" rIns="91440" bIns="45720" anchor="t" anchorCtr="0" upright="1">
                          <a:noAutofit/>
                        </wps:bodyPr>
                      </wps:wsp>
                    </wpg:wgp>
                  </a:graphicData>
                </a:graphic>
              </wp:anchor>
            </w:drawing>
          </mc:Choice>
          <mc:Fallback>
            <w:pict>
              <v:group id="组合 4" o:spid="_x0000_s1026" o:spt="203" style="position:absolute;left:0pt;margin-left:-1.5pt;margin-top:17.1pt;height:117.15pt;width:439.7pt;z-index:251657216;mso-width-relative:page;mso-height-relative:page;" coordorigin="1410,9240" coordsize="8794,2343" o:gfxdata="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A1RoxdoAAAAJAQAADwAAAAAAAAABACAAAAAi&#10;AAAAZHJzL2Rvd25yZXYueG1sUEsBAhQAFAAAAAgAh07iQP9+aPGzAgAAJwgAAA4AAAAAAAAAAQAg&#10;AAAAKQEAAGRycy9lMm9Eb2MueG1sUEsFBgAAAAAGAAYAWQEAAE4GAAAAAA==&#10;">
                <o:lock v:ext="edit" aspectratio="f"/>
                <v:rect id="矩形 11" o:spid="_x0000_s1026" o:spt="1" style="position:absolute;left:1410;top:9240;height:2343;width:4337;" fillcolor="#FFFFFF" filled="t" stroked="t" coordsize="21600,21600" o:gfxdata="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4kEPbsAAADa&#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jc w:val="center"/>
                        </w:pPr>
                        <w:r>
                          <w:rPr>
                            <w:rFonts w:hint="eastAsia"/>
                          </w:rPr>
                          <w:t>法定代表人</w:t>
                        </w:r>
                      </w:p>
                      <w:p>
                        <w:pPr>
                          <w:jc w:val="center"/>
                        </w:pPr>
                        <w:r>
                          <w:rPr>
                            <w:rFonts w:hint="eastAsia"/>
                          </w:rPr>
                          <w:t>居民身份证复印件粘贴处</w:t>
                        </w:r>
                      </w:p>
                      <w:p>
                        <w:pPr>
                          <w:ind w:firstLine="1050" w:firstLineChars="500"/>
                        </w:pPr>
                      </w:p>
                      <w:p>
                        <w:pPr>
                          <w:jc w:val="center"/>
                        </w:pPr>
                        <w:r>
                          <w:rPr>
                            <w:rFonts w:hint="eastAsia"/>
                          </w:rPr>
                          <w:t>（正面）</w:t>
                        </w:r>
                      </w:p>
                      <w:p/>
                    </w:txbxContent>
                  </v:textbox>
                </v:rect>
                <v:rect id="矩形 12" o:spid="_x0000_s1026" o:spt="1" style="position:absolute;left:5867;top:9240;height:2343;width:4337;"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pPr>
                        <w:r>
                          <w:rPr>
                            <w:rFonts w:hint="eastAsia"/>
                          </w:rPr>
                          <w:t>法定代表人</w:t>
                        </w:r>
                      </w:p>
                      <w:p>
                        <w:pPr>
                          <w:jc w:val="center"/>
                        </w:pPr>
                        <w:r>
                          <w:rPr>
                            <w:rFonts w:hint="eastAsia"/>
                          </w:rPr>
                          <w:t>居民身份证复印件粘贴处</w:t>
                        </w:r>
                      </w:p>
                      <w:p>
                        <w:pPr>
                          <w:ind w:firstLine="1050" w:firstLineChars="500"/>
                        </w:pPr>
                      </w:p>
                      <w:p>
                        <w:pPr>
                          <w:jc w:val="center"/>
                        </w:pPr>
                        <w:r>
                          <w:rPr>
                            <w:rFonts w:hint="eastAsia"/>
                          </w:rPr>
                          <w:t>（反面）</w:t>
                        </w:r>
                      </w:p>
                      <w:p/>
                    </w:txbxContent>
                  </v:textbox>
                </v:rect>
              </v:group>
            </w:pict>
          </mc:Fallback>
        </mc:AlternateContent>
      </w:r>
    </w:p>
    <w:p>
      <w:pPr>
        <w:spacing w:line="360" w:lineRule="auto"/>
        <w:rPr>
          <w:rFonts w:ascii="宋体"/>
          <w:color w:val="auto"/>
        </w:rPr>
      </w:pPr>
    </w:p>
    <w:p>
      <w:pPr>
        <w:spacing w:line="360" w:lineRule="auto"/>
        <w:rPr>
          <w:rFonts w:ascii="宋体"/>
          <w:color w:val="auto"/>
        </w:rPr>
      </w:pPr>
    </w:p>
    <w:p>
      <w:pPr>
        <w:spacing w:line="360" w:lineRule="auto"/>
        <w:rPr>
          <w:rFonts w:ascii="宋体"/>
          <w:color w:val="auto"/>
        </w:rPr>
      </w:pPr>
    </w:p>
    <w:p>
      <w:pPr>
        <w:spacing w:line="500" w:lineRule="exact"/>
        <w:rPr>
          <w:rFonts w:ascii="宋体"/>
          <w:b/>
          <w:bCs/>
          <w:color w:val="auto"/>
        </w:rPr>
      </w:pPr>
    </w:p>
    <w:p>
      <w:pPr>
        <w:spacing w:line="500" w:lineRule="exact"/>
        <w:rPr>
          <w:rFonts w:ascii="宋体"/>
          <w:b/>
          <w:bCs/>
          <w:color w:val="auto"/>
        </w:rPr>
      </w:pPr>
    </w:p>
    <w:p>
      <w:pPr>
        <w:spacing w:line="500" w:lineRule="exact"/>
        <w:rPr>
          <w:rFonts w:ascii="宋体"/>
          <w:b/>
          <w:bCs/>
          <w:color w:val="auto"/>
        </w:rPr>
      </w:pPr>
    </w:p>
    <w:p>
      <w:pPr>
        <w:spacing w:line="500" w:lineRule="exact"/>
        <w:ind w:firstLine="4515" w:firstLineChars="2150"/>
        <w:rPr>
          <w:rFonts w:ascii="宋体" w:hAnsi="宋体"/>
          <w:color w:val="auto"/>
          <w:u w:val="single"/>
        </w:rPr>
      </w:pPr>
      <w:r>
        <w:rPr>
          <w:rFonts w:hint="eastAsia" w:ascii="宋体" w:hAnsi="宋体"/>
          <w:color w:val="auto"/>
        </w:rPr>
        <w:t>投标人名称（单位盖</w:t>
      </w:r>
      <w:r>
        <w:rPr>
          <w:rFonts w:hint="eastAsia"/>
          <w:color w:val="auto"/>
          <w:spacing w:val="4"/>
        </w:rPr>
        <w:t>公章</w:t>
      </w:r>
      <w:r>
        <w:rPr>
          <w:rFonts w:hint="eastAsia" w:ascii="宋体" w:hAnsi="宋体"/>
          <w:color w:val="auto"/>
        </w:rPr>
        <w:t>）：</w:t>
      </w:r>
    </w:p>
    <w:p>
      <w:pPr>
        <w:spacing w:line="500" w:lineRule="exact"/>
        <w:rPr>
          <w:rFonts w:ascii="宋体" w:hAnsi="宋体"/>
          <w:color w:val="auto"/>
        </w:rPr>
      </w:pPr>
      <w:r>
        <w:rPr>
          <w:rFonts w:hint="eastAsia" w:ascii="宋体" w:hAnsi="宋体"/>
          <w:color w:val="auto"/>
        </w:rPr>
        <w:t xml:space="preserve">                                           地址：</w:t>
      </w:r>
    </w:p>
    <w:p>
      <w:pPr>
        <w:spacing w:line="500" w:lineRule="exact"/>
        <w:jc w:val="center"/>
        <w:rPr>
          <w:ins w:id="47" w:author="陈陈" w:date="2021-03-24T15:55:00Z"/>
          <w:b/>
          <w:color w:val="auto"/>
        </w:rPr>
      </w:pPr>
      <w:r>
        <w:rPr>
          <w:rFonts w:hint="eastAsia" w:ascii="宋体" w:hAnsi="宋体"/>
          <w:color w:val="auto"/>
        </w:rPr>
        <w:t>签发日期：</w:t>
      </w:r>
      <w:r>
        <w:rPr>
          <w:b/>
          <w:color w:val="auto"/>
        </w:rPr>
        <w:br w:type="page"/>
      </w:r>
    </w:p>
    <w:p>
      <w:pPr>
        <w:spacing w:beforeLines="50" w:afterLines="50" w:line="500" w:lineRule="exact"/>
        <w:jc w:val="center"/>
        <w:outlineLvl w:val="1"/>
        <w:rPr>
          <w:rFonts w:ascii="Arial" w:hAnsi="Arial" w:eastAsia="黑体"/>
          <w:bCs/>
          <w:color w:val="auto"/>
          <w:sz w:val="32"/>
          <w:szCs w:val="32"/>
          <w:lang w:val="zh-CN"/>
        </w:rPr>
      </w:pPr>
      <w:r>
        <w:rPr>
          <w:rFonts w:hint="eastAsia" w:ascii="Arial" w:hAnsi="Arial" w:eastAsia="黑体"/>
          <w:bCs/>
          <w:color w:val="auto"/>
          <w:sz w:val="32"/>
          <w:szCs w:val="32"/>
          <w:lang w:val="zh-CN"/>
        </w:rPr>
        <w:t>主要股东或出资人信息</w:t>
      </w:r>
    </w:p>
    <w:p>
      <w:pPr>
        <w:tabs>
          <w:tab w:val="left" w:pos="7740"/>
        </w:tabs>
        <w:adjustRightInd w:val="0"/>
        <w:snapToGrid w:val="0"/>
        <w:spacing w:line="360" w:lineRule="auto"/>
        <w:rPr>
          <w:rFonts w:ascii="宋体" w:hAnsi="宋体"/>
          <w:color w:val="auto"/>
        </w:rPr>
      </w:pPr>
      <w:r>
        <w:rPr>
          <w:rFonts w:hint="eastAsia" w:ascii="宋体" w:hAnsi="宋体"/>
          <w:color w:val="auto"/>
        </w:rPr>
        <w:t>项目名称：珠江街2021年粤港深度合作区（启动区）临时排水设施日常运行管养项目</w:t>
      </w:r>
    </w:p>
    <w:p>
      <w:pPr>
        <w:tabs>
          <w:tab w:val="left" w:pos="7740"/>
        </w:tabs>
        <w:adjustRightInd w:val="0"/>
        <w:snapToGrid w:val="0"/>
        <w:spacing w:line="360" w:lineRule="auto"/>
        <w:rPr>
          <w:rFonts w:ascii="宋体" w:hAnsi="宋体"/>
          <w:color w:val="auto"/>
        </w:rPr>
      </w:pPr>
      <w:r>
        <w:rPr>
          <w:rFonts w:hint="eastAsia" w:ascii="宋体" w:hAnsi="宋体"/>
          <w:color w:val="auto"/>
        </w:rPr>
        <w:t>项目编号：GZGX21GZ00QY-45</w:t>
      </w:r>
    </w:p>
    <w:tbl>
      <w:tblPr>
        <w:tblStyle w:val="45"/>
        <w:tblW w:w="93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1849"/>
        <w:gridCol w:w="2076"/>
        <w:gridCol w:w="1849"/>
        <w:gridCol w:w="1403"/>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102" w:type="dxa"/>
            <w:tcBorders>
              <w:top w:val="single" w:color="auto" w:sz="12" w:space="0"/>
              <w:left w:val="single" w:color="auto" w:sz="12" w:space="0"/>
            </w:tcBorders>
            <w:vAlign w:val="center"/>
          </w:tcPr>
          <w:p>
            <w:pPr>
              <w:adjustRightInd w:val="0"/>
              <w:snapToGrid w:val="0"/>
              <w:jc w:val="center"/>
              <w:rPr>
                <w:rFonts w:ascii="宋体" w:hAnsi="宋体" w:cs="Arial"/>
                <w:b/>
                <w:color w:val="auto"/>
                <w:kern w:val="0"/>
                <w:szCs w:val="21"/>
              </w:rPr>
            </w:pPr>
            <w:r>
              <w:rPr>
                <w:rFonts w:hint="eastAsia" w:ascii="宋体" w:hAnsi="宋体" w:cs="Arial"/>
                <w:b/>
                <w:color w:val="auto"/>
                <w:kern w:val="0"/>
                <w:szCs w:val="21"/>
              </w:rPr>
              <w:t>序号</w:t>
            </w:r>
          </w:p>
        </w:tc>
        <w:tc>
          <w:tcPr>
            <w:tcW w:w="1849" w:type="dxa"/>
            <w:tcBorders>
              <w:top w:val="single" w:color="auto" w:sz="12" w:space="0"/>
            </w:tcBorders>
            <w:vAlign w:val="center"/>
          </w:tcPr>
          <w:p>
            <w:pPr>
              <w:adjustRightInd w:val="0"/>
              <w:snapToGrid w:val="0"/>
              <w:jc w:val="center"/>
              <w:rPr>
                <w:rFonts w:ascii="宋体" w:hAnsi="宋体" w:cs="Arial"/>
                <w:b/>
                <w:color w:val="auto"/>
                <w:kern w:val="0"/>
                <w:szCs w:val="21"/>
              </w:rPr>
            </w:pPr>
            <w:r>
              <w:rPr>
                <w:rFonts w:hint="eastAsia" w:ascii="宋体" w:hAnsi="宋体" w:cs="Arial"/>
                <w:b/>
                <w:color w:val="auto"/>
                <w:kern w:val="0"/>
                <w:szCs w:val="21"/>
              </w:rPr>
              <w:t>名称</w:t>
            </w:r>
          </w:p>
          <w:p>
            <w:pPr>
              <w:adjustRightInd w:val="0"/>
              <w:snapToGrid w:val="0"/>
              <w:jc w:val="center"/>
              <w:rPr>
                <w:rFonts w:ascii="宋体" w:hAnsi="宋体" w:cs="Arial"/>
                <w:b/>
                <w:color w:val="auto"/>
                <w:kern w:val="0"/>
                <w:szCs w:val="21"/>
              </w:rPr>
            </w:pPr>
            <w:r>
              <w:rPr>
                <w:rFonts w:hint="eastAsia" w:ascii="宋体" w:hAnsi="宋体" w:cs="Arial"/>
                <w:b/>
                <w:color w:val="auto"/>
                <w:kern w:val="0"/>
                <w:szCs w:val="21"/>
              </w:rPr>
              <w:t>（姓名）</w:t>
            </w:r>
          </w:p>
        </w:tc>
        <w:tc>
          <w:tcPr>
            <w:tcW w:w="2076" w:type="dxa"/>
            <w:tcBorders>
              <w:top w:val="single" w:color="auto" w:sz="12" w:space="0"/>
              <w:right w:val="single" w:color="auto" w:sz="6" w:space="0"/>
            </w:tcBorders>
            <w:vAlign w:val="center"/>
          </w:tcPr>
          <w:p>
            <w:pPr>
              <w:adjustRightInd w:val="0"/>
              <w:snapToGrid w:val="0"/>
              <w:jc w:val="center"/>
              <w:rPr>
                <w:rFonts w:ascii="宋体" w:hAnsi="宋体" w:cs="Arial"/>
                <w:b/>
                <w:color w:val="auto"/>
                <w:kern w:val="0"/>
                <w:szCs w:val="21"/>
              </w:rPr>
            </w:pPr>
            <w:r>
              <w:rPr>
                <w:rFonts w:hint="eastAsia" w:ascii="宋体" w:hAnsi="宋体" w:cs="Arial"/>
                <w:b/>
                <w:color w:val="auto"/>
                <w:kern w:val="0"/>
                <w:szCs w:val="21"/>
              </w:rPr>
              <w:t>统一社会信息用代码（身份证号）</w:t>
            </w:r>
          </w:p>
        </w:tc>
        <w:tc>
          <w:tcPr>
            <w:tcW w:w="1849" w:type="dxa"/>
            <w:tcBorders>
              <w:top w:val="single" w:color="auto" w:sz="12" w:space="0"/>
              <w:left w:val="single" w:color="auto" w:sz="6" w:space="0"/>
            </w:tcBorders>
            <w:vAlign w:val="center"/>
          </w:tcPr>
          <w:p>
            <w:pPr>
              <w:adjustRightInd w:val="0"/>
              <w:snapToGrid w:val="0"/>
              <w:jc w:val="center"/>
              <w:rPr>
                <w:rFonts w:ascii="宋体" w:hAnsi="宋体" w:cs="Arial"/>
                <w:b/>
                <w:color w:val="auto"/>
                <w:kern w:val="0"/>
                <w:szCs w:val="21"/>
              </w:rPr>
            </w:pPr>
            <w:r>
              <w:rPr>
                <w:rFonts w:hint="eastAsia" w:ascii="宋体" w:hAnsi="宋体" w:cs="Arial"/>
                <w:b/>
                <w:color w:val="auto"/>
                <w:kern w:val="0"/>
                <w:szCs w:val="21"/>
              </w:rPr>
              <w:t>出资额</w:t>
            </w:r>
          </w:p>
          <w:p>
            <w:pPr>
              <w:adjustRightInd w:val="0"/>
              <w:snapToGrid w:val="0"/>
              <w:jc w:val="center"/>
              <w:rPr>
                <w:rFonts w:ascii="宋体" w:hAnsi="宋体" w:cs="Arial"/>
                <w:b/>
                <w:color w:val="auto"/>
                <w:kern w:val="0"/>
                <w:szCs w:val="21"/>
              </w:rPr>
            </w:pPr>
            <w:r>
              <w:rPr>
                <w:rFonts w:hint="eastAsia" w:ascii="宋体" w:hAnsi="宋体" w:cs="Arial"/>
                <w:b/>
                <w:color w:val="auto"/>
                <w:kern w:val="0"/>
                <w:szCs w:val="21"/>
              </w:rPr>
              <w:t>（人民币 万元）</w:t>
            </w:r>
          </w:p>
        </w:tc>
        <w:tc>
          <w:tcPr>
            <w:tcW w:w="1403" w:type="dxa"/>
            <w:tcBorders>
              <w:top w:val="single" w:color="auto" w:sz="12" w:space="0"/>
            </w:tcBorders>
            <w:vAlign w:val="center"/>
          </w:tcPr>
          <w:p>
            <w:pPr>
              <w:adjustRightInd w:val="0"/>
              <w:snapToGrid w:val="0"/>
              <w:jc w:val="center"/>
              <w:rPr>
                <w:rFonts w:ascii="宋体" w:hAnsi="宋体" w:cs="Arial"/>
                <w:b/>
                <w:color w:val="auto"/>
                <w:kern w:val="0"/>
                <w:szCs w:val="21"/>
              </w:rPr>
            </w:pPr>
            <w:r>
              <w:rPr>
                <w:rFonts w:hint="eastAsia" w:ascii="宋体" w:hAnsi="宋体" w:cs="Arial"/>
                <w:b/>
                <w:color w:val="auto"/>
                <w:kern w:val="0"/>
                <w:szCs w:val="21"/>
              </w:rPr>
              <w:t>出资方式</w:t>
            </w:r>
          </w:p>
        </w:tc>
        <w:tc>
          <w:tcPr>
            <w:tcW w:w="1117" w:type="dxa"/>
            <w:tcBorders>
              <w:top w:val="single" w:color="auto" w:sz="12" w:space="0"/>
              <w:left w:val="single" w:color="auto" w:sz="6" w:space="0"/>
              <w:right w:val="single" w:color="auto" w:sz="12" w:space="0"/>
            </w:tcBorders>
            <w:vAlign w:val="center"/>
          </w:tcPr>
          <w:p>
            <w:pPr>
              <w:adjustRightInd w:val="0"/>
              <w:snapToGrid w:val="0"/>
              <w:jc w:val="center"/>
              <w:rPr>
                <w:rFonts w:ascii="宋体" w:hAnsi="宋体" w:cs="Arial"/>
                <w:b/>
                <w:color w:val="auto"/>
                <w:kern w:val="0"/>
                <w:szCs w:val="21"/>
              </w:rPr>
            </w:pPr>
            <w:r>
              <w:rPr>
                <w:rFonts w:hint="eastAsia" w:ascii="宋体" w:hAnsi="宋体" w:cs="Arial"/>
                <w:b/>
                <w:color w:val="auto"/>
                <w:kern w:val="0"/>
                <w:szCs w:val="21"/>
              </w:rPr>
              <w:t>占全部股份比例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1102" w:type="dxa"/>
            <w:tcBorders>
              <w:left w:val="single" w:color="auto" w:sz="12" w:space="0"/>
            </w:tcBorders>
          </w:tcPr>
          <w:p>
            <w:pPr>
              <w:jc w:val="center"/>
              <w:rPr>
                <w:rFonts w:ascii="宋体" w:hAnsi="宋体" w:cs="Arial"/>
                <w:color w:val="auto"/>
                <w:kern w:val="0"/>
                <w:sz w:val="20"/>
                <w:szCs w:val="21"/>
              </w:rPr>
            </w:pPr>
            <w:r>
              <w:rPr>
                <w:rFonts w:hint="eastAsia" w:ascii="宋体" w:hAnsi="宋体" w:cs="Arial"/>
                <w:color w:val="auto"/>
                <w:kern w:val="0"/>
                <w:sz w:val="20"/>
                <w:szCs w:val="21"/>
              </w:rPr>
              <w:t>1</w:t>
            </w:r>
          </w:p>
        </w:tc>
        <w:tc>
          <w:tcPr>
            <w:tcW w:w="1849" w:type="dxa"/>
          </w:tcPr>
          <w:p>
            <w:pPr>
              <w:jc w:val="center"/>
              <w:rPr>
                <w:rFonts w:ascii="宋体" w:hAnsi="宋体" w:cs="Arial"/>
                <w:color w:val="auto"/>
                <w:kern w:val="0"/>
                <w:sz w:val="20"/>
                <w:szCs w:val="21"/>
              </w:rPr>
            </w:pPr>
          </w:p>
        </w:tc>
        <w:tc>
          <w:tcPr>
            <w:tcW w:w="2076" w:type="dxa"/>
            <w:tcBorders>
              <w:right w:val="single" w:color="auto" w:sz="6" w:space="0"/>
            </w:tcBorders>
          </w:tcPr>
          <w:p>
            <w:pPr>
              <w:jc w:val="center"/>
              <w:rPr>
                <w:rFonts w:ascii="宋体" w:hAnsi="宋体" w:cs="Arial"/>
                <w:color w:val="auto"/>
                <w:kern w:val="0"/>
                <w:sz w:val="20"/>
                <w:szCs w:val="21"/>
              </w:rPr>
            </w:pPr>
          </w:p>
        </w:tc>
        <w:tc>
          <w:tcPr>
            <w:tcW w:w="1849" w:type="dxa"/>
            <w:tcBorders>
              <w:left w:val="single" w:color="auto" w:sz="6" w:space="0"/>
            </w:tcBorders>
          </w:tcPr>
          <w:p>
            <w:pPr>
              <w:jc w:val="center"/>
              <w:rPr>
                <w:rFonts w:ascii="宋体" w:hAnsi="宋体" w:cs="Arial"/>
                <w:color w:val="auto"/>
                <w:kern w:val="0"/>
                <w:sz w:val="20"/>
                <w:szCs w:val="21"/>
              </w:rPr>
            </w:pPr>
          </w:p>
        </w:tc>
        <w:tc>
          <w:tcPr>
            <w:tcW w:w="1403" w:type="dxa"/>
          </w:tcPr>
          <w:p>
            <w:pPr>
              <w:jc w:val="center"/>
              <w:rPr>
                <w:rFonts w:ascii="宋体" w:hAnsi="宋体" w:cs="Arial"/>
                <w:color w:val="auto"/>
                <w:kern w:val="0"/>
                <w:sz w:val="20"/>
                <w:szCs w:val="21"/>
              </w:rPr>
            </w:pPr>
          </w:p>
        </w:tc>
        <w:tc>
          <w:tcPr>
            <w:tcW w:w="1117" w:type="dxa"/>
            <w:tcBorders>
              <w:left w:val="single" w:color="auto" w:sz="6" w:space="0"/>
              <w:right w:val="single" w:color="auto" w:sz="12" w:space="0"/>
            </w:tcBorders>
          </w:tcPr>
          <w:p>
            <w:pPr>
              <w:jc w:val="center"/>
              <w:rPr>
                <w:rFonts w:ascii="宋体" w:hAnsi="宋体" w:cs="Arial"/>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1102" w:type="dxa"/>
            <w:tcBorders>
              <w:left w:val="single" w:color="auto" w:sz="12" w:space="0"/>
            </w:tcBorders>
          </w:tcPr>
          <w:p>
            <w:pPr>
              <w:jc w:val="center"/>
              <w:rPr>
                <w:rFonts w:ascii="宋体" w:hAnsi="宋体" w:cs="Arial"/>
                <w:color w:val="auto"/>
                <w:kern w:val="0"/>
                <w:sz w:val="20"/>
                <w:szCs w:val="21"/>
              </w:rPr>
            </w:pPr>
            <w:r>
              <w:rPr>
                <w:rFonts w:hint="eastAsia" w:ascii="宋体" w:hAnsi="宋体" w:cs="Arial"/>
                <w:color w:val="auto"/>
                <w:kern w:val="0"/>
                <w:sz w:val="20"/>
                <w:szCs w:val="21"/>
              </w:rPr>
              <w:t>2</w:t>
            </w:r>
          </w:p>
        </w:tc>
        <w:tc>
          <w:tcPr>
            <w:tcW w:w="1849" w:type="dxa"/>
          </w:tcPr>
          <w:p>
            <w:pPr>
              <w:jc w:val="center"/>
              <w:rPr>
                <w:rFonts w:ascii="宋体" w:hAnsi="宋体" w:cs="Arial"/>
                <w:color w:val="auto"/>
                <w:kern w:val="0"/>
                <w:sz w:val="20"/>
                <w:szCs w:val="21"/>
              </w:rPr>
            </w:pPr>
          </w:p>
        </w:tc>
        <w:tc>
          <w:tcPr>
            <w:tcW w:w="2076" w:type="dxa"/>
            <w:tcBorders>
              <w:right w:val="single" w:color="auto" w:sz="6" w:space="0"/>
            </w:tcBorders>
          </w:tcPr>
          <w:p>
            <w:pPr>
              <w:jc w:val="center"/>
              <w:rPr>
                <w:rFonts w:ascii="宋体" w:hAnsi="宋体" w:cs="Arial"/>
                <w:color w:val="auto"/>
                <w:kern w:val="0"/>
                <w:sz w:val="20"/>
                <w:szCs w:val="21"/>
              </w:rPr>
            </w:pPr>
          </w:p>
        </w:tc>
        <w:tc>
          <w:tcPr>
            <w:tcW w:w="1849" w:type="dxa"/>
            <w:tcBorders>
              <w:left w:val="single" w:color="auto" w:sz="6" w:space="0"/>
            </w:tcBorders>
          </w:tcPr>
          <w:p>
            <w:pPr>
              <w:jc w:val="center"/>
              <w:rPr>
                <w:rFonts w:ascii="宋体" w:hAnsi="宋体" w:cs="Arial"/>
                <w:color w:val="auto"/>
                <w:kern w:val="0"/>
                <w:sz w:val="20"/>
                <w:szCs w:val="21"/>
              </w:rPr>
            </w:pPr>
          </w:p>
        </w:tc>
        <w:tc>
          <w:tcPr>
            <w:tcW w:w="1403" w:type="dxa"/>
          </w:tcPr>
          <w:p>
            <w:pPr>
              <w:jc w:val="center"/>
              <w:rPr>
                <w:rFonts w:ascii="宋体" w:hAnsi="宋体" w:cs="Arial"/>
                <w:color w:val="auto"/>
                <w:kern w:val="0"/>
                <w:sz w:val="20"/>
                <w:szCs w:val="21"/>
              </w:rPr>
            </w:pPr>
          </w:p>
        </w:tc>
        <w:tc>
          <w:tcPr>
            <w:tcW w:w="1117" w:type="dxa"/>
            <w:tcBorders>
              <w:left w:val="single" w:color="auto" w:sz="6" w:space="0"/>
              <w:right w:val="single" w:color="auto" w:sz="12" w:space="0"/>
            </w:tcBorders>
          </w:tcPr>
          <w:p>
            <w:pPr>
              <w:jc w:val="center"/>
              <w:rPr>
                <w:rFonts w:ascii="宋体" w:hAnsi="宋体" w:cs="Arial"/>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1102" w:type="dxa"/>
            <w:tcBorders>
              <w:left w:val="single" w:color="auto" w:sz="12" w:space="0"/>
              <w:bottom w:val="single" w:color="auto" w:sz="12" w:space="0"/>
            </w:tcBorders>
          </w:tcPr>
          <w:p>
            <w:pPr>
              <w:jc w:val="center"/>
              <w:rPr>
                <w:rFonts w:ascii="宋体" w:hAnsi="宋体" w:cs="Arial"/>
                <w:color w:val="auto"/>
                <w:kern w:val="0"/>
                <w:sz w:val="20"/>
                <w:szCs w:val="21"/>
              </w:rPr>
            </w:pPr>
            <w:r>
              <w:rPr>
                <w:rFonts w:hint="eastAsia" w:ascii="宋体" w:hAnsi="宋体" w:cs="Arial"/>
                <w:color w:val="auto"/>
                <w:kern w:val="0"/>
                <w:sz w:val="20"/>
                <w:szCs w:val="21"/>
              </w:rPr>
              <w:t>…</w:t>
            </w:r>
          </w:p>
        </w:tc>
        <w:tc>
          <w:tcPr>
            <w:tcW w:w="1849" w:type="dxa"/>
            <w:tcBorders>
              <w:bottom w:val="single" w:color="auto" w:sz="12" w:space="0"/>
            </w:tcBorders>
          </w:tcPr>
          <w:p>
            <w:pPr>
              <w:jc w:val="center"/>
              <w:rPr>
                <w:rFonts w:ascii="宋体" w:hAnsi="宋体" w:cs="Arial"/>
                <w:color w:val="auto"/>
                <w:kern w:val="0"/>
                <w:sz w:val="20"/>
                <w:szCs w:val="21"/>
              </w:rPr>
            </w:pPr>
          </w:p>
        </w:tc>
        <w:tc>
          <w:tcPr>
            <w:tcW w:w="2076" w:type="dxa"/>
            <w:tcBorders>
              <w:bottom w:val="single" w:color="auto" w:sz="12" w:space="0"/>
              <w:right w:val="single" w:color="auto" w:sz="6" w:space="0"/>
            </w:tcBorders>
          </w:tcPr>
          <w:p>
            <w:pPr>
              <w:jc w:val="center"/>
              <w:rPr>
                <w:rFonts w:ascii="宋体" w:hAnsi="宋体" w:cs="Arial"/>
                <w:color w:val="auto"/>
                <w:kern w:val="0"/>
                <w:sz w:val="20"/>
                <w:szCs w:val="21"/>
              </w:rPr>
            </w:pPr>
          </w:p>
        </w:tc>
        <w:tc>
          <w:tcPr>
            <w:tcW w:w="1849" w:type="dxa"/>
            <w:tcBorders>
              <w:left w:val="single" w:color="auto" w:sz="6" w:space="0"/>
              <w:bottom w:val="single" w:color="auto" w:sz="12" w:space="0"/>
            </w:tcBorders>
          </w:tcPr>
          <w:p>
            <w:pPr>
              <w:jc w:val="center"/>
              <w:rPr>
                <w:rFonts w:ascii="宋体" w:hAnsi="宋体" w:cs="Arial"/>
                <w:color w:val="auto"/>
                <w:kern w:val="0"/>
                <w:sz w:val="20"/>
                <w:szCs w:val="21"/>
              </w:rPr>
            </w:pPr>
          </w:p>
        </w:tc>
        <w:tc>
          <w:tcPr>
            <w:tcW w:w="1403" w:type="dxa"/>
            <w:tcBorders>
              <w:bottom w:val="single" w:color="auto" w:sz="12" w:space="0"/>
            </w:tcBorders>
          </w:tcPr>
          <w:p>
            <w:pPr>
              <w:jc w:val="center"/>
              <w:rPr>
                <w:rFonts w:ascii="宋体" w:hAnsi="宋体" w:cs="Arial"/>
                <w:color w:val="auto"/>
                <w:kern w:val="0"/>
                <w:sz w:val="20"/>
                <w:szCs w:val="21"/>
              </w:rPr>
            </w:pPr>
          </w:p>
        </w:tc>
        <w:tc>
          <w:tcPr>
            <w:tcW w:w="1117" w:type="dxa"/>
            <w:tcBorders>
              <w:left w:val="single" w:color="auto" w:sz="6" w:space="0"/>
              <w:bottom w:val="single" w:color="auto" w:sz="12" w:space="0"/>
              <w:right w:val="single" w:color="auto" w:sz="12" w:space="0"/>
            </w:tcBorders>
          </w:tcPr>
          <w:p>
            <w:pPr>
              <w:jc w:val="center"/>
              <w:rPr>
                <w:rFonts w:ascii="宋体" w:hAnsi="宋体" w:cs="Arial"/>
                <w:color w:val="auto"/>
                <w:kern w:val="0"/>
                <w:sz w:val="20"/>
                <w:szCs w:val="21"/>
              </w:rPr>
            </w:pPr>
          </w:p>
        </w:tc>
      </w:tr>
    </w:tbl>
    <w:p>
      <w:pPr>
        <w:spacing w:line="360" w:lineRule="auto"/>
        <w:ind w:firstLine="310" w:firstLineChars="147"/>
        <w:rPr>
          <w:rFonts w:ascii="宋体" w:hAnsi="宋体" w:cs="Arial"/>
          <w:b/>
          <w:color w:val="auto"/>
          <w:szCs w:val="21"/>
        </w:rPr>
      </w:pPr>
      <w:r>
        <w:rPr>
          <w:rFonts w:hint="eastAsia" w:ascii="宋体" w:hAnsi="宋体" w:cs="Arial"/>
          <w:b/>
          <w:color w:val="auto"/>
          <w:szCs w:val="21"/>
        </w:rPr>
        <w:t>我方承诺，以上信息真实可靠；如填报的股东出资额、出资比例等与实际不符，且属于虚假应标情形，视为放弃中标资格。</w:t>
      </w:r>
    </w:p>
    <w:p>
      <w:pPr>
        <w:spacing w:line="360" w:lineRule="auto"/>
        <w:ind w:firstLine="103" w:firstLineChars="49"/>
        <w:rPr>
          <w:rFonts w:ascii="宋体" w:hAnsi="宋体" w:cs="Arial"/>
          <w:b/>
          <w:color w:val="auto"/>
          <w:szCs w:val="21"/>
        </w:rPr>
      </w:pPr>
      <w:r>
        <w:rPr>
          <w:rFonts w:hint="eastAsia" w:ascii="宋体" w:hAnsi="宋体" w:cs="Arial"/>
          <w:b/>
          <w:color w:val="auto"/>
          <w:szCs w:val="21"/>
        </w:rPr>
        <w:t>备注：</w:t>
      </w:r>
    </w:p>
    <w:p>
      <w:pPr>
        <w:pStyle w:val="90"/>
        <w:numPr>
          <w:ilvl w:val="0"/>
          <w:numId w:val="32"/>
        </w:numPr>
        <w:spacing w:line="360" w:lineRule="auto"/>
        <w:ind w:firstLineChars="0"/>
        <w:rPr>
          <w:rFonts w:ascii="宋体" w:hAnsi="宋体" w:cs="Arial"/>
          <w:color w:val="auto"/>
          <w:szCs w:val="21"/>
        </w:rPr>
      </w:pPr>
      <w:r>
        <w:rPr>
          <w:rFonts w:hint="eastAsia" w:ascii="宋体" w:hAnsi="宋体" w:cs="Arial"/>
          <w:color w:val="auto"/>
          <w:szCs w:val="21"/>
        </w:rPr>
        <w:t>主要股东或出资人为法人的，填写法人全称及统一社会信息用代码（尚未办理三证合一的填写组织机构代码）；为自然人的，填写自然人姓名和身份证号。</w:t>
      </w:r>
    </w:p>
    <w:p>
      <w:pPr>
        <w:pStyle w:val="90"/>
        <w:numPr>
          <w:ilvl w:val="0"/>
          <w:numId w:val="32"/>
        </w:numPr>
        <w:spacing w:line="360" w:lineRule="auto"/>
        <w:ind w:firstLineChars="0"/>
        <w:rPr>
          <w:rFonts w:ascii="宋体" w:hAnsi="宋体" w:cs="Arial"/>
          <w:color w:val="auto"/>
          <w:szCs w:val="21"/>
        </w:rPr>
      </w:pPr>
      <w:r>
        <w:rPr>
          <w:rFonts w:hint="eastAsia" w:ascii="宋体" w:hAnsi="宋体" w:cs="Arial"/>
          <w:color w:val="auto"/>
          <w:szCs w:val="21"/>
        </w:rPr>
        <w:t>出资方式填写：货币、实物、工艺产权和非专利技术、土地使用权等。</w:t>
      </w:r>
    </w:p>
    <w:p>
      <w:pPr>
        <w:pStyle w:val="90"/>
        <w:numPr>
          <w:ilvl w:val="0"/>
          <w:numId w:val="32"/>
        </w:numPr>
        <w:spacing w:line="360" w:lineRule="auto"/>
        <w:ind w:firstLineChars="0"/>
        <w:rPr>
          <w:rFonts w:ascii="宋体" w:hAnsi="宋体" w:cs="Arial"/>
          <w:b/>
          <w:color w:val="auto"/>
          <w:szCs w:val="21"/>
        </w:rPr>
      </w:pPr>
      <w:r>
        <w:rPr>
          <w:rFonts w:hint="eastAsia" w:ascii="宋体" w:hAnsi="宋体" w:cs="Arial"/>
          <w:color w:val="auto"/>
          <w:szCs w:val="21"/>
        </w:rPr>
        <w:t>投标单位应按照占全部股份比例从大到小依次逐个股东填写，股东数量多于10个的，填写前10名，不足10个全部填写。</w:t>
      </w:r>
      <w:r>
        <w:rPr>
          <w:rFonts w:hint="eastAsia" w:ascii="宋体" w:hAnsi="宋体" w:cs="Arial"/>
          <w:b/>
          <w:color w:val="auto"/>
          <w:szCs w:val="21"/>
        </w:rPr>
        <w:t>同时投标人需打印“国家企业信用信息公示系统”网页查询的信息并加盖投标人单位公章。</w:t>
      </w:r>
    </w:p>
    <w:p>
      <w:pPr>
        <w:pStyle w:val="90"/>
        <w:spacing w:line="500" w:lineRule="exact"/>
        <w:ind w:left="420" w:firstLine="0" w:firstLineChars="0"/>
        <w:rPr>
          <w:color w:val="auto"/>
          <w:spacing w:val="4"/>
        </w:rPr>
      </w:pPr>
    </w:p>
    <w:p>
      <w:pPr>
        <w:pStyle w:val="90"/>
        <w:spacing w:line="500" w:lineRule="exact"/>
        <w:ind w:left="420" w:firstLine="0" w:firstLineChars="0"/>
        <w:rPr>
          <w:rFonts w:ascii="宋体" w:hAnsi="宋体"/>
          <w:color w:val="auto"/>
          <w:u w:val="single"/>
        </w:rPr>
      </w:pPr>
      <w:r>
        <w:rPr>
          <w:rFonts w:hint="eastAsia"/>
          <w:color w:val="auto"/>
          <w:spacing w:val="4"/>
        </w:rPr>
        <w:t>投标人名称（</w:t>
      </w:r>
      <w:r>
        <w:rPr>
          <w:rFonts w:hint="eastAsia" w:ascii="宋体" w:hAnsi="宋体"/>
          <w:color w:val="auto"/>
        </w:rPr>
        <w:t>单位盖</w:t>
      </w:r>
      <w:r>
        <w:rPr>
          <w:rFonts w:hint="eastAsia"/>
          <w:color w:val="auto"/>
          <w:spacing w:val="4"/>
        </w:rPr>
        <w:t>公章）：</w:t>
      </w:r>
    </w:p>
    <w:p>
      <w:pPr>
        <w:pStyle w:val="90"/>
        <w:spacing w:line="440" w:lineRule="exact"/>
        <w:ind w:left="420" w:firstLine="0" w:firstLineChars="0"/>
        <w:rPr>
          <w:color w:val="auto"/>
          <w:spacing w:val="4"/>
          <w:u w:val="single"/>
        </w:rPr>
      </w:pPr>
      <w:r>
        <w:rPr>
          <w:rFonts w:hint="eastAsia"/>
          <w:color w:val="auto"/>
          <w:spacing w:val="4"/>
        </w:rPr>
        <w:t>日期：</w:t>
      </w:r>
    </w:p>
    <w:p>
      <w:pPr>
        <w:pStyle w:val="4"/>
        <w:adjustRightInd w:val="0"/>
        <w:snapToGrid w:val="0"/>
        <w:spacing w:beforeLines="50" w:afterLines="50" w:line="360" w:lineRule="auto"/>
        <w:jc w:val="center"/>
        <w:rPr>
          <w:rFonts w:ascii="宋体" w:hAnsi="宋体" w:cs="Courier New"/>
          <w:b w:val="0"/>
          <w:color w:val="auto"/>
          <w:szCs w:val="21"/>
        </w:rPr>
        <w:sectPr>
          <w:pgSz w:w="11906" w:h="16838"/>
          <w:pgMar w:top="1440" w:right="1286" w:bottom="1440" w:left="1440" w:header="851" w:footer="992" w:gutter="0"/>
          <w:cols w:space="720" w:num="1"/>
          <w:docGrid w:type="lines" w:linePitch="312" w:charSpace="0"/>
        </w:sectPr>
      </w:pPr>
      <w:bookmarkStart w:id="62" w:name="_Toc50691038"/>
      <w:bookmarkStart w:id="63" w:name="_Toc50736478"/>
      <w:bookmarkStart w:id="64" w:name="_Toc50737298"/>
      <w:bookmarkStart w:id="65" w:name="_Toc50737330"/>
      <w:bookmarkStart w:id="66" w:name="_Toc52165082"/>
      <w:bookmarkStart w:id="67" w:name="_Toc87417460"/>
      <w:bookmarkStart w:id="68" w:name="_Toc170699948"/>
      <w:bookmarkStart w:id="69" w:name="_Toc239051894"/>
      <w:bookmarkStart w:id="70" w:name="_Toc275865609"/>
    </w:p>
    <w:bookmarkEnd w:id="62"/>
    <w:bookmarkEnd w:id="63"/>
    <w:bookmarkEnd w:id="64"/>
    <w:bookmarkEnd w:id="65"/>
    <w:bookmarkEnd w:id="66"/>
    <w:bookmarkEnd w:id="67"/>
    <w:bookmarkEnd w:id="68"/>
    <w:bookmarkEnd w:id="69"/>
    <w:bookmarkEnd w:id="70"/>
    <w:p>
      <w:pPr>
        <w:pStyle w:val="4"/>
        <w:adjustRightInd w:val="0"/>
        <w:snapToGrid w:val="0"/>
        <w:spacing w:beforeLines="50" w:afterLines="50" w:line="360" w:lineRule="auto"/>
        <w:jc w:val="center"/>
        <w:rPr>
          <w:b w:val="0"/>
          <w:color w:val="auto"/>
        </w:rPr>
      </w:pPr>
      <w:bookmarkStart w:id="71" w:name="_Toc435515307"/>
      <w:bookmarkStart w:id="72" w:name="_Toc275865613"/>
      <w:bookmarkStart w:id="73" w:name="_Toc435514867"/>
      <w:bookmarkStart w:id="74" w:name="_Toc50691051"/>
      <w:bookmarkStart w:id="75" w:name="_Toc52165089"/>
      <w:bookmarkStart w:id="76" w:name="_Toc50736485"/>
      <w:bookmarkStart w:id="77" w:name="_Toc50737305"/>
      <w:bookmarkStart w:id="78" w:name="_Toc50737337"/>
      <w:r>
        <w:rPr>
          <w:rFonts w:hint="eastAsia"/>
          <w:b w:val="0"/>
          <w:color w:val="auto"/>
        </w:rPr>
        <w:t>投标服务方案</w:t>
      </w:r>
    </w:p>
    <w:p>
      <w:pPr>
        <w:tabs>
          <w:tab w:val="left" w:pos="7740"/>
        </w:tabs>
        <w:adjustRightInd w:val="0"/>
        <w:snapToGrid w:val="0"/>
        <w:spacing w:line="360" w:lineRule="auto"/>
        <w:rPr>
          <w:rFonts w:ascii="宋体" w:hAnsi="宋体"/>
          <w:color w:val="auto"/>
        </w:rPr>
      </w:pPr>
      <w:r>
        <w:rPr>
          <w:rFonts w:hint="eastAsia" w:ascii="宋体" w:hAnsi="宋体"/>
          <w:color w:val="auto"/>
        </w:rPr>
        <w:t>项目名称：珠江街2021年粤港深度合作区（启动区）临时排水设施日常运行管养项目</w:t>
      </w:r>
    </w:p>
    <w:p>
      <w:pPr>
        <w:tabs>
          <w:tab w:val="left" w:pos="7740"/>
        </w:tabs>
        <w:adjustRightInd w:val="0"/>
        <w:snapToGrid w:val="0"/>
        <w:spacing w:line="360" w:lineRule="auto"/>
        <w:rPr>
          <w:rFonts w:ascii="宋体" w:hAnsi="宋体"/>
          <w:color w:val="auto"/>
        </w:rPr>
      </w:pPr>
      <w:r>
        <w:rPr>
          <w:rFonts w:hint="eastAsia" w:ascii="宋体" w:hAnsi="宋体"/>
          <w:color w:val="auto"/>
        </w:rPr>
        <w:t>项目编号：GZGX21GZ00QY-45</w:t>
      </w:r>
    </w:p>
    <w:p>
      <w:pPr>
        <w:pStyle w:val="18"/>
        <w:numPr>
          <w:ilvl w:val="0"/>
          <w:numId w:val="33"/>
        </w:numPr>
        <w:rPr>
          <w:rFonts w:ascii="宋体" w:hAnsi="宋体"/>
          <w:color w:val="auto"/>
          <w:szCs w:val="21"/>
        </w:rPr>
      </w:pPr>
      <w:r>
        <w:rPr>
          <w:rFonts w:hint="eastAsia" w:ascii="宋体" w:hAnsi="宋体" w:cs="宋体"/>
          <w:color w:val="auto"/>
          <w:szCs w:val="21"/>
        </w:rPr>
        <w:t>运营维护方</w:t>
      </w:r>
      <w:r>
        <w:rPr>
          <w:rFonts w:hint="eastAsia" w:ascii="宋体" w:hAnsi="宋体"/>
          <w:color w:val="auto"/>
          <w:szCs w:val="21"/>
        </w:rPr>
        <w:t>案</w:t>
      </w:r>
    </w:p>
    <w:p>
      <w:pPr>
        <w:pStyle w:val="18"/>
        <w:numPr>
          <w:ilvl w:val="0"/>
          <w:numId w:val="33"/>
        </w:numPr>
        <w:rPr>
          <w:rFonts w:ascii="宋体" w:hAnsi="宋体"/>
          <w:color w:val="auto"/>
          <w:szCs w:val="21"/>
        </w:rPr>
      </w:pPr>
      <w:r>
        <w:rPr>
          <w:rFonts w:hint="eastAsia" w:ascii="宋体" w:hAnsi="宋体" w:cs="宋体"/>
          <w:color w:val="auto"/>
          <w:szCs w:val="21"/>
        </w:rPr>
        <w:t>拟投入设备设施情况</w:t>
      </w:r>
    </w:p>
    <w:p>
      <w:pPr>
        <w:pStyle w:val="18"/>
        <w:numPr>
          <w:ilvl w:val="0"/>
          <w:numId w:val="33"/>
        </w:numPr>
        <w:rPr>
          <w:rFonts w:ascii="宋体" w:hAnsi="宋体"/>
          <w:color w:val="auto"/>
          <w:szCs w:val="21"/>
        </w:rPr>
      </w:pPr>
      <w:r>
        <w:rPr>
          <w:rFonts w:hint="eastAsia" w:ascii="宋体" w:hAnsi="宋体" w:cs="宋体"/>
          <w:color w:val="auto"/>
          <w:szCs w:val="21"/>
        </w:rPr>
        <w:t>拟投入人员情况</w:t>
      </w:r>
    </w:p>
    <w:p>
      <w:pPr>
        <w:pStyle w:val="18"/>
        <w:numPr>
          <w:ilvl w:val="0"/>
          <w:numId w:val="33"/>
        </w:numPr>
        <w:rPr>
          <w:rFonts w:ascii="宋体" w:hAnsi="宋体"/>
          <w:color w:val="auto"/>
          <w:szCs w:val="21"/>
        </w:rPr>
      </w:pPr>
      <w:r>
        <w:rPr>
          <w:rFonts w:hint="eastAsia" w:ascii="宋体" w:hAnsi="宋体" w:cs="宋体"/>
          <w:color w:val="auto"/>
          <w:szCs w:val="21"/>
        </w:rPr>
        <w:t>环境保护管理体系与措施</w:t>
      </w:r>
    </w:p>
    <w:p>
      <w:pPr>
        <w:pStyle w:val="18"/>
        <w:numPr>
          <w:ilvl w:val="0"/>
          <w:numId w:val="33"/>
        </w:numPr>
        <w:rPr>
          <w:rFonts w:ascii="宋体" w:hAnsi="宋体"/>
          <w:color w:val="auto"/>
          <w:szCs w:val="21"/>
        </w:rPr>
      </w:pPr>
      <w:r>
        <w:rPr>
          <w:rFonts w:hint="eastAsia" w:ascii="宋体" w:hAnsi="宋体"/>
          <w:color w:val="auto"/>
          <w:szCs w:val="21"/>
        </w:rPr>
        <w:t>项目理解</w:t>
      </w:r>
    </w:p>
    <w:p>
      <w:pPr>
        <w:pStyle w:val="18"/>
        <w:numPr>
          <w:ilvl w:val="0"/>
          <w:numId w:val="33"/>
        </w:numPr>
        <w:rPr>
          <w:rFonts w:ascii="宋体" w:hAnsi="宋体"/>
          <w:color w:val="auto"/>
          <w:szCs w:val="21"/>
        </w:rPr>
      </w:pPr>
      <w:r>
        <w:rPr>
          <w:rFonts w:hint="eastAsia" w:ascii="宋体" w:hAnsi="宋体"/>
          <w:color w:val="auto"/>
          <w:szCs w:val="21"/>
        </w:rPr>
        <w:t>投标人认为需要提供的其他服务</w:t>
      </w:r>
    </w:p>
    <w:p>
      <w:pPr>
        <w:spacing w:line="500" w:lineRule="exact"/>
        <w:ind w:firstLine="109" w:firstLineChars="50"/>
        <w:rPr>
          <w:color w:val="auto"/>
          <w:spacing w:val="4"/>
          <w:szCs w:val="21"/>
        </w:rPr>
      </w:pPr>
    </w:p>
    <w:p>
      <w:pPr>
        <w:spacing w:line="500" w:lineRule="exact"/>
        <w:ind w:firstLine="109" w:firstLineChars="50"/>
        <w:rPr>
          <w:rFonts w:ascii="宋体" w:hAnsi="宋体"/>
          <w:color w:val="auto"/>
          <w:szCs w:val="21"/>
          <w:u w:val="single"/>
        </w:rPr>
      </w:pPr>
      <w:r>
        <w:rPr>
          <w:rFonts w:hint="eastAsia"/>
          <w:color w:val="auto"/>
          <w:spacing w:val="4"/>
          <w:szCs w:val="21"/>
        </w:rPr>
        <w:t>投标人名称（</w:t>
      </w:r>
      <w:r>
        <w:rPr>
          <w:rFonts w:hint="eastAsia" w:ascii="宋体" w:hAnsi="宋体"/>
          <w:color w:val="auto"/>
          <w:szCs w:val="21"/>
        </w:rPr>
        <w:t>单位盖</w:t>
      </w:r>
      <w:r>
        <w:rPr>
          <w:rFonts w:hint="eastAsia"/>
          <w:color w:val="auto"/>
          <w:spacing w:val="4"/>
          <w:szCs w:val="21"/>
        </w:rPr>
        <w:t>公章）：</w:t>
      </w:r>
    </w:p>
    <w:p>
      <w:pPr>
        <w:spacing w:line="440" w:lineRule="exact"/>
        <w:ind w:firstLine="109" w:firstLineChars="50"/>
        <w:rPr>
          <w:rFonts w:ascii="Arial" w:hAnsi="Arial" w:eastAsia="黑体"/>
          <w:bCs/>
          <w:color w:val="auto"/>
          <w:sz w:val="32"/>
          <w:szCs w:val="32"/>
          <w:lang w:val="zh-CN"/>
        </w:rPr>
      </w:pPr>
      <w:r>
        <w:rPr>
          <w:rFonts w:hint="eastAsia"/>
          <w:color w:val="auto"/>
          <w:spacing w:val="4"/>
          <w:szCs w:val="21"/>
        </w:rPr>
        <w:t>日期：</w:t>
      </w:r>
    </w:p>
    <w:p>
      <w:pPr>
        <w:widowControl/>
        <w:jc w:val="left"/>
        <w:rPr>
          <w:rFonts w:ascii="Arial" w:hAnsi="Arial" w:eastAsia="黑体"/>
          <w:bCs/>
          <w:color w:val="auto"/>
          <w:sz w:val="32"/>
          <w:szCs w:val="32"/>
          <w:lang w:val="zh-CN"/>
        </w:rPr>
      </w:pPr>
      <w:r>
        <w:rPr>
          <w:b/>
          <w:color w:val="auto"/>
        </w:rPr>
        <w:br w:type="page"/>
      </w:r>
    </w:p>
    <w:p>
      <w:pPr>
        <w:pStyle w:val="4"/>
        <w:adjustRightInd w:val="0"/>
        <w:snapToGrid w:val="0"/>
        <w:spacing w:beforeLines="50" w:afterLines="50" w:line="360" w:lineRule="auto"/>
        <w:jc w:val="center"/>
        <w:rPr>
          <w:b w:val="0"/>
          <w:color w:val="auto"/>
        </w:rPr>
      </w:pPr>
      <w:r>
        <w:rPr>
          <w:rFonts w:hint="eastAsia"/>
          <w:b w:val="0"/>
          <w:color w:val="auto"/>
        </w:rPr>
        <w:t>用户需求书响应一览表</w:t>
      </w:r>
      <w:bookmarkEnd w:id="71"/>
      <w:bookmarkEnd w:id="72"/>
      <w:bookmarkEnd w:id="73"/>
      <w:bookmarkEnd w:id="74"/>
      <w:bookmarkEnd w:id="75"/>
      <w:bookmarkEnd w:id="76"/>
      <w:bookmarkEnd w:id="77"/>
      <w:bookmarkEnd w:id="78"/>
    </w:p>
    <w:p>
      <w:pPr>
        <w:tabs>
          <w:tab w:val="left" w:pos="7740"/>
        </w:tabs>
        <w:adjustRightInd w:val="0"/>
        <w:snapToGrid w:val="0"/>
        <w:spacing w:line="360" w:lineRule="auto"/>
        <w:rPr>
          <w:rFonts w:ascii="宋体" w:hAnsi="宋体"/>
          <w:color w:val="auto"/>
        </w:rPr>
      </w:pPr>
      <w:r>
        <w:rPr>
          <w:rFonts w:hint="eastAsia" w:ascii="宋体" w:hAnsi="宋体"/>
          <w:color w:val="auto"/>
        </w:rPr>
        <w:t>项目名称：珠江街2021年粤港深度合作区（启动区）临时排水设施日常运行管养项目</w:t>
      </w:r>
    </w:p>
    <w:p>
      <w:pPr>
        <w:tabs>
          <w:tab w:val="left" w:pos="7740"/>
        </w:tabs>
        <w:adjustRightInd w:val="0"/>
        <w:snapToGrid w:val="0"/>
        <w:spacing w:line="360" w:lineRule="auto"/>
        <w:rPr>
          <w:rFonts w:ascii="宋体" w:hAnsi="宋体"/>
          <w:color w:val="auto"/>
        </w:rPr>
      </w:pPr>
      <w:r>
        <w:rPr>
          <w:rFonts w:hint="eastAsia" w:ascii="宋体" w:hAnsi="宋体"/>
          <w:color w:val="auto"/>
        </w:rPr>
        <w:t>项目编号：GZGX21GZ00QY-45</w:t>
      </w:r>
    </w:p>
    <w:tbl>
      <w:tblPr>
        <w:tblStyle w:val="44"/>
        <w:tblW w:w="901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219"/>
        <w:gridCol w:w="2887"/>
        <w:gridCol w:w="2029"/>
        <w:gridCol w:w="13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534" w:type="dxa"/>
            <w:tcBorders>
              <w:tl2br w:val="nil"/>
              <w:tr2bl w:val="nil"/>
            </w:tcBorders>
            <w:shd w:val="clear" w:color="auto" w:fill="auto"/>
            <w:vAlign w:val="center"/>
          </w:tcPr>
          <w:p>
            <w:pPr>
              <w:adjustRightInd w:val="0"/>
              <w:snapToGrid w:val="0"/>
              <w:ind w:left="-71" w:leftChars="-34" w:right="-73" w:rightChars="-35"/>
              <w:jc w:val="center"/>
              <w:rPr>
                <w:rFonts w:ascii="宋体" w:hAnsi="宋体"/>
                <w:b/>
                <w:color w:val="auto"/>
              </w:rPr>
            </w:pPr>
            <w:r>
              <w:rPr>
                <w:rFonts w:hint="eastAsia" w:ascii="宋体" w:hAnsi="宋体"/>
                <w:b/>
                <w:color w:val="auto"/>
              </w:rPr>
              <w:t>序号</w:t>
            </w:r>
          </w:p>
        </w:tc>
        <w:tc>
          <w:tcPr>
            <w:tcW w:w="2219" w:type="dxa"/>
            <w:tcBorders>
              <w:tl2br w:val="nil"/>
              <w:tr2bl w:val="nil"/>
            </w:tcBorders>
            <w:shd w:val="clear" w:color="auto" w:fill="auto"/>
            <w:vAlign w:val="center"/>
          </w:tcPr>
          <w:p>
            <w:pPr>
              <w:adjustRightInd w:val="0"/>
              <w:snapToGrid w:val="0"/>
              <w:ind w:left="-71" w:leftChars="-34" w:right="-73" w:rightChars="-35"/>
              <w:jc w:val="center"/>
              <w:rPr>
                <w:rFonts w:ascii="宋体" w:hAnsi="宋体"/>
                <w:b/>
                <w:color w:val="auto"/>
              </w:rPr>
            </w:pPr>
            <w:r>
              <w:rPr>
                <w:rFonts w:hint="eastAsia" w:ascii="宋体" w:hAnsi="宋体"/>
                <w:b/>
                <w:color w:val="auto"/>
              </w:rPr>
              <w:t>招标文件条款描述</w:t>
            </w:r>
          </w:p>
        </w:tc>
        <w:tc>
          <w:tcPr>
            <w:tcW w:w="2887" w:type="dxa"/>
            <w:tcBorders>
              <w:tl2br w:val="nil"/>
              <w:tr2bl w:val="nil"/>
            </w:tcBorders>
            <w:shd w:val="clear" w:color="auto" w:fill="auto"/>
            <w:vAlign w:val="center"/>
          </w:tcPr>
          <w:p>
            <w:pPr>
              <w:adjustRightInd w:val="0"/>
              <w:snapToGrid w:val="0"/>
              <w:ind w:left="-71" w:leftChars="-34" w:right="-73" w:rightChars="-35"/>
              <w:jc w:val="center"/>
              <w:rPr>
                <w:rFonts w:ascii="宋体" w:hAnsi="宋体"/>
                <w:b/>
                <w:color w:val="auto"/>
              </w:rPr>
            </w:pPr>
            <w:r>
              <w:rPr>
                <w:rFonts w:hint="eastAsia" w:ascii="宋体" w:hAnsi="宋体"/>
                <w:b/>
                <w:color w:val="auto"/>
              </w:rPr>
              <w:t>投标人响应描述</w:t>
            </w:r>
          </w:p>
          <w:p>
            <w:pPr>
              <w:adjustRightInd w:val="0"/>
              <w:snapToGrid w:val="0"/>
              <w:ind w:left="-71" w:leftChars="-34" w:right="-73" w:rightChars="-35"/>
              <w:jc w:val="center"/>
              <w:rPr>
                <w:rFonts w:ascii="宋体" w:hAnsi="宋体"/>
                <w:b/>
                <w:color w:val="auto"/>
              </w:rPr>
            </w:pPr>
            <w:r>
              <w:rPr>
                <w:rFonts w:hint="eastAsia" w:ascii="宋体" w:hAnsi="宋体"/>
                <w:b/>
                <w:bCs/>
                <w:color w:val="auto"/>
                <w:szCs w:val="21"/>
              </w:rPr>
              <w:t>(投标人应按实际情况填写)</w:t>
            </w:r>
          </w:p>
        </w:tc>
        <w:tc>
          <w:tcPr>
            <w:tcW w:w="2029" w:type="dxa"/>
            <w:tcBorders>
              <w:tl2br w:val="nil"/>
              <w:tr2bl w:val="nil"/>
            </w:tcBorders>
            <w:shd w:val="clear" w:color="auto" w:fill="auto"/>
            <w:vAlign w:val="center"/>
          </w:tcPr>
          <w:p>
            <w:pPr>
              <w:adjustRightInd w:val="0"/>
              <w:snapToGrid w:val="0"/>
              <w:ind w:left="-71" w:leftChars="-34" w:right="-73" w:rightChars="-35"/>
              <w:jc w:val="center"/>
              <w:rPr>
                <w:rFonts w:ascii="宋体" w:hAnsi="宋体"/>
                <w:b/>
                <w:color w:val="auto"/>
              </w:rPr>
            </w:pPr>
            <w:r>
              <w:rPr>
                <w:rFonts w:hint="eastAsia" w:ascii="宋体" w:hAnsi="宋体"/>
                <w:b/>
                <w:color w:val="auto"/>
              </w:rPr>
              <w:t>偏离情况说明</w:t>
            </w:r>
          </w:p>
          <w:p>
            <w:pPr>
              <w:adjustRightInd w:val="0"/>
              <w:snapToGrid w:val="0"/>
              <w:jc w:val="center"/>
              <w:rPr>
                <w:rFonts w:ascii="宋体" w:hAnsi="宋体"/>
                <w:b/>
                <w:color w:val="auto"/>
              </w:rPr>
            </w:pPr>
            <w:r>
              <w:rPr>
                <w:rFonts w:hint="eastAsia" w:ascii="宋体" w:hAnsi="宋体"/>
                <w:b/>
                <w:color w:val="auto"/>
              </w:rPr>
              <w:t>（</w:t>
            </w:r>
            <w:r>
              <w:rPr>
                <w:rFonts w:hint="eastAsia"/>
                <w:b/>
                <w:color w:val="auto"/>
              </w:rPr>
              <w:t>正偏离/完全响应/负偏离</w:t>
            </w:r>
            <w:r>
              <w:rPr>
                <w:rFonts w:hint="eastAsia" w:ascii="宋体" w:hAnsi="宋体"/>
                <w:b/>
                <w:color w:val="auto"/>
              </w:rPr>
              <w:t>）</w:t>
            </w:r>
          </w:p>
        </w:tc>
        <w:tc>
          <w:tcPr>
            <w:tcW w:w="1342" w:type="dxa"/>
            <w:tcBorders>
              <w:tl2br w:val="nil"/>
              <w:tr2bl w:val="nil"/>
            </w:tcBorders>
            <w:shd w:val="clear" w:color="auto" w:fill="auto"/>
            <w:vAlign w:val="center"/>
          </w:tcPr>
          <w:p>
            <w:pPr>
              <w:adjustRightInd w:val="0"/>
              <w:snapToGrid w:val="0"/>
              <w:ind w:left="-71" w:leftChars="-34" w:right="-73" w:rightChars="-35"/>
              <w:jc w:val="center"/>
              <w:rPr>
                <w:rFonts w:ascii="宋体" w:hAnsi="宋体"/>
                <w:b/>
                <w:color w:val="auto"/>
              </w:rPr>
            </w:pPr>
            <w:r>
              <w:rPr>
                <w:rFonts w:hint="eastAsia" w:ascii="宋体" w:hAnsi="宋体"/>
                <w:b/>
                <w:color w:val="auto"/>
              </w:rPr>
              <w:t>查阅/证明文件指引（如有）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jc w:val="center"/>
        </w:trPr>
        <w:tc>
          <w:tcPr>
            <w:tcW w:w="534" w:type="dxa"/>
            <w:tcBorders>
              <w:tl2br w:val="nil"/>
              <w:tr2bl w:val="nil"/>
            </w:tcBorders>
            <w:shd w:val="clear" w:color="auto" w:fill="auto"/>
            <w:vAlign w:val="center"/>
          </w:tcPr>
          <w:p>
            <w:pPr>
              <w:numPr>
                <w:ilvl w:val="0"/>
                <w:numId w:val="34"/>
              </w:numPr>
              <w:spacing w:line="400" w:lineRule="exact"/>
              <w:jc w:val="center"/>
              <w:rPr>
                <w:rFonts w:ascii="宋体" w:hAnsi="宋体"/>
                <w:color w:val="auto"/>
                <w:szCs w:val="21"/>
              </w:rPr>
            </w:pPr>
          </w:p>
        </w:tc>
        <w:tc>
          <w:tcPr>
            <w:tcW w:w="2219" w:type="dxa"/>
            <w:tcBorders>
              <w:tl2br w:val="nil"/>
              <w:tr2bl w:val="nil"/>
            </w:tcBorders>
            <w:shd w:val="clear" w:color="auto" w:fill="auto"/>
            <w:vAlign w:val="center"/>
          </w:tcPr>
          <w:p>
            <w:pPr>
              <w:spacing w:line="400" w:lineRule="exact"/>
              <w:jc w:val="center"/>
              <w:rPr>
                <w:rFonts w:ascii="宋体" w:hAnsi="宋体"/>
                <w:color w:val="auto"/>
              </w:rPr>
            </w:pPr>
          </w:p>
        </w:tc>
        <w:tc>
          <w:tcPr>
            <w:tcW w:w="2887" w:type="dxa"/>
            <w:tcBorders>
              <w:tl2br w:val="nil"/>
              <w:tr2bl w:val="nil"/>
            </w:tcBorders>
            <w:shd w:val="clear" w:color="auto" w:fill="auto"/>
            <w:vAlign w:val="center"/>
          </w:tcPr>
          <w:p>
            <w:pPr>
              <w:spacing w:line="400" w:lineRule="exact"/>
              <w:jc w:val="center"/>
              <w:rPr>
                <w:rFonts w:ascii="宋体" w:hAnsi="宋体"/>
                <w:color w:val="auto"/>
              </w:rPr>
            </w:pPr>
          </w:p>
        </w:tc>
        <w:tc>
          <w:tcPr>
            <w:tcW w:w="2029" w:type="dxa"/>
            <w:tcBorders>
              <w:tl2br w:val="nil"/>
              <w:tr2bl w:val="nil"/>
            </w:tcBorders>
            <w:shd w:val="clear" w:color="auto" w:fill="auto"/>
            <w:vAlign w:val="center"/>
          </w:tcPr>
          <w:p>
            <w:pPr>
              <w:spacing w:line="400" w:lineRule="exact"/>
              <w:jc w:val="center"/>
              <w:rPr>
                <w:rFonts w:ascii="宋体" w:hAnsi="宋体"/>
                <w:color w:val="auto"/>
              </w:rPr>
            </w:pPr>
          </w:p>
        </w:tc>
        <w:tc>
          <w:tcPr>
            <w:tcW w:w="1342" w:type="dxa"/>
            <w:tcBorders>
              <w:tl2br w:val="nil"/>
              <w:tr2bl w:val="nil"/>
            </w:tcBorders>
            <w:shd w:val="clear" w:color="auto" w:fill="auto"/>
            <w:vAlign w:val="center"/>
          </w:tcPr>
          <w:p>
            <w:pPr>
              <w:spacing w:line="400" w:lineRule="exact"/>
              <w:jc w:val="center"/>
              <w:rPr>
                <w:rFonts w:ascii="宋体" w:hAnsi="宋体"/>
                <w:color w:val="auto"/>
              </w:rPr>
            </w:pPr>
            <w:r>
              <w:rPr>
                <w:rFonts w:hint="eastAsia" w:ascii="宋体" w:hAnsi="宋体" w:cs="宋体"/>
                <w:color w:val="auto"/>
                <w:szCs w:val="21"/>
              </w:rPr>
              <w:t>见第页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jc w:val="center"/>
        </w:trPr>
        <w:tc>
          <w:tcPr>
            <w:tcW w:w="534" w:type="dxa"/>
            <w:tcBorders>
              <w:tl2br w:val="nil"/>
              <w:tr2bl w:val="nil"/>
            </w:tcBorders>
            <w:shd w:val="clear" w:color="auto" w:fill="auto"/>
            <w:vAlign w:val="center"/>
          </w:tcPr>
          <w:p>
            <w:pPr>
              <w:numPr>
                <w:ilvl w:val="0"/>
                <w:numId w:val="34"/>
              </w:numPr>
              <w:spacing w:line="400" w:lineRule="exact"/>
              <w:jc w:val="center"/>
              <w:rPr>
                <w:rFonts w:ascii="宋体" w:hAnsi="宋体"/>
                <w:color w:val="auto"/>
                <w:szCs w:val="21"/>
              </w:rPr>
            </w:pPr>
          </w:p>
        </w:tc>
        <w:tc>
          <w:tcPr>
            <w:tcW w:w="2219" w:type="dxa"/>
            <w:tcBorders>
              <w:tl2br w:val="nil"/>
              <w:tr2bl w:val="nil"/>
            </w:tcBorders>
            <w:shd w:val="clear" w:color="auto" w:fill="auto"/>
            <w:vAlign w:val="center"/>
          </w:tcPr>
          <w:p>
            <w:pPr>
              <w:spacing w:line="400" w:lineRule="exact"/>
              <w:jc w:val="center"/>
              <w:rPr>
                <w:rFonts w:ascii="宋体" w:hAnsi="宋体"/>
                <w:color w:val="auto"/>
              </w:rPr>
            </w:pPr>
          </w:p>
        </w:tc>
        <w:tc>
          <w:tcPr>
            <w:tcW w:w="2887" w:type="dxa"/>
            <w:tcBorders>
              <w:tl2br w:val="nil"/>
              <w:tr2bl w:val="nil"/>
            </w:tcBorders>
            <w:shd w:val="clear" w:color="auto" w:fill="auto"/>
            <w:vAlign w:val="center"/>
          </w:tcPr>
          <w:p>
            <w:pPr>
              <w:spacing w:line="400" w:lineRule="exact"/>
              <w:jc w:val="center"/>
              <w:rPr>
                <w:rFonts w:ascii="宋体" w:hAnsi="宋体"/>
                <w:color w:val="auto"/>
              </w:rPr>
            </w:pPr>
          </w:p>
        </w:tc>
        <w:tc>
          <w:tcPr>
            <w:tcW w:w="2029" w:type="dxa"/>
            <w:tcBorders>
              <w:tl2br w:val="nil"/>
              <w:tr2bl w:val="nil"/>
            </w:tcBorders>
            <w:shd w:val="clear" w:color="auto" w:fill="auto"/>
            <w:vAlign w:val="center"/>
          </w:tcPr>
          <w:p>
            <w:pPr>
              <w:spacing w:line="400" w:lineRule="exact"/>
              <w:jc w:val="center"/>
              <w:rPr>
                <w:rFonts w:ascii="宋体" w:hAnsi="宋体"/>
                <w:color w:val="auto"/>
              </w:rPr>
            </w:pPr>
          </w:p>
        </w:tc>
        <w:tc>
          <w:tcPr>
            <w:tcW w:w="1342" w:type="dxa"/>
            <w:tcBorders>
              <w:tl2br w:val="nil"/>
              <w:tr2bl w:val="nil"/>
            </w:tcBorders>
            <w:shd w:val="clear" w:color="auto" w:fill="auto"/>
            <w:vAlign w:val="center"/>
          </w:tcPr>
          <w:p>
            <w:pPr>
              <w:spacing w:line="400" w:lineRule="exact"/>
              <w:jc w:val="center"/>
              <w:rPr>
                <w:rFonts w:ascii="宋体" w:hAnsi="宋体"/>
                <w:color w:val="auto"/>
              </w:rPr>
            </w:pPr>
            <w:r>
              <w:rPr>
                <w:rFonts w:hint="eastAsia" w:ascii="宋体" w:hAnsi="宋体" w:cs="宋体"/>
                <w:color w:val="auto"/>
                <w:szCs w:val="21"/>
              </w:rPr>
              <w:t>见第页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jc w:val="center"/>
        </w:trPr>
        <w:tc>
          <w:tcPr>
            <w:tcW w:w="534" w:type="dxa"/>
            <w:tcBorders>
              <w:tl2br w:val="nil"/>
              <w:tr2bl w:val="nil"/>
            </w:tcBorders>
            <w:shd w:val="clear" w:color="auto" w:fill="auto"/>
            <w:vAlign w:val="center"/>
          </w:tcPr>
          <w:p>
            <w:pPr>
              <w:numPr>
                <w:ilvl w:val="0"/>
                <w:numId w:val="34"/>
              </w:numPr>
              <w:spacing w:line="400" w:lineRule="exact"/>
              <w:jc w:val="center"/>
              <w:rPr>
                <w:rFonts w:ascii="宋体" w:hAnsi="宋体"/>
                <w:color w:val="auto"/>
                <w:szCs w:val="21"/>
              </w:rPr>
            </w:pPr>
          </w:p>
        </w:tc>
        <w:tc>
          <w:tcPr>
            <w:tcW w:w="2219" w:type="dxa"/>
            <w:tcBorders>
              <w:tl2br w:val="nil"/>
              <w:tr2bl w:val="nil"/>
            </w:tcBorders>
            <w:shd w:val="clear" w:color="auto" w:fill="auto"/>
            <w:vAlign w:val="center"/>
          </w:tcPr>
          <w:p>
            <w:pPr>
              <w:spacing w:line="400" w:lineRule="exact"/>
              <w:jc w:val="center"/>
              <w:rPr>
                <w:rFonts w:ascii="宋体" w:hAnsi="宋体"/>
                <w:color w:val="auto"/>
              </w:rPr>
            </w:pPr>
          </w:p>
        </w:tc>
        <w:tc>
          <w:tcPr>
            <w:tcW w:w="2887" w:type="dxa"/>
            <w:tcBorders>
              <w:tl2br w:val="nil"/>
              <w:tr2bl w:val="nil"/>
            </w:tcBorders>
            <w:shd w:val="clear" w:color="auto" w:fill="auto"/>
            <w:vAlign w:val="center"/>
          </w:tcPr>
          <w:p>
            <w:pPr>
              <w:spacing w:line="400" w:lineRule="exact"/>
              <w:jc w:val="center"/>
              <w:rPr>
                <w:rFonts w:ascii="宋体" w:hAnsi="宋体"/>
                <w:color w:val="auto"/>
              </w:rPr>
            </w:pPr>
          </w:p>
        </w:tc>
        <w:tc>
          <w:tcPr>
            <w:tcW w:w="2029" w:type="dxa"/>
            <w:tcBorders>
              <w:tl2br w:val="nil"/>
              <w:tr2bl w:val="nil"/>
            </w:tcBorders>
            <w:shd w:val="clear" w:color="auto" w:fill="auto"/>
            <w:vAlign w:val="center"/>
          </w:tcPr>
          <w:p>
            <w:pPr>
              <w:spacing w:line="400" w:lineRule="exact"/>
              <w:jc w:val="center"/>
              <w:rPr>
                <w:rFonts w:ascii="宋体" w:hAnsi="宋体"/>
                <w:color w:val="auto"/>
              </w:rPr>
            </w:pPr>
          </w:p>
        </w:tc>
        <w:tc>
          <w:tcPr>
            <w:tcW w:w="1342" w:type="dxa"/>
            <w:tcBorders>
              <w:tl2br w:val="nil"/>
              <w:tr2bl w:val="nil"/>
            </w:tcBorders>
            <w:shd w:val="clear" w:color="auto" w:fill="auto"/>
            <w:vAlign w:val="center"/>
          </w:tcPr>
          <w:p>
            <w:pPr>
              <w:spacing w:line="400" w:lineRule="exact"/>
              <w:jc w:val="center"/>
              <w:rPr>
                <w:rFonts w:ascii="宋体" w:hAnsi="宋体"/>
                <w:color w:val="auto"/>
              </w:rPr>
            </w:pPr>
            <w:r>
              <w:rPr>
                <w:rFonts w:hint="eastAsia" w:ascii="宋体" w:hAnsi="宋体" w:cs="宋体"/>
                <w:color w:val="auto"/>
                <w:szCs w:val="21"/>
              </w:rPr>
              <w:t>见第页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jc w:val="center"/>
        </w:trPr>
        <w:tc>
          <w:tcPr>
            <w:tcW w:w="534" w:type="dxa"/>
            <w:tcBorders>
              <w:tl2br w:val="nil"/>
              <w:tr2bl w:val="nil"/>
            </w:tcBorders>
            <w:shd w:val="clear" w:color="auto" w:fill="auto"/>
            <w:vAlign w:val="center"/>
          </w:tcPr>
          <w:p>
            <w:pPr>
              <w:numPr>
                <w:ilvl w:val="0"/>
                <w:numId w:val="34"/>
              </w:numPr>
              <w:spacing w:line="400" w:lineRule="exact"/>
              <w:jc w:val="center"/>
              <w:rPr>
                <w:rFonts w:ascii="宋体" w:hAnsi="宋体"/>
                <w:color w:val="auto"/>
                <w:szCs w:val="21"/>
              </w:rPr>
            </w:pPr>
          </w:p>
        </w:tc>
        <w:tc>
          <w:tcPr>
            <w:tcW w:w="2219" w:type="dxa"/>
            <w:tcBorders>
              <w:tl2br w:val="nil"/>
              <w:tr2bl w:val="nil"/>
            </w:tcBorders>
            <w:shd w:val="clear" w:color="auto" w:fill="auto"/>
            <w:vAlign w:val="center"/>
          </w:tcPr>
          <w:p>
            <w:pPr>
              <w:spacing w:line="400" w:lineRule="exact"/>
              <w:jc w:val="center"/>
              <w:rPr>
                <w:rFonts w:ascii="宋体" w:hAnsi="宋体"/>
                <w:color w:val="auto"/>
              </w:rPr>
            </w:pPr>
          </w:p>
        </w:tc>
        <w:tc>
          <w:tcPr>
            <w:tcW w:w="2887" w:type="dxa"/>
            <w:tcBorders>
              <w:tl2br w:val="nil"/>
              <w:tr2bl w:val="nil"/>
            </w:tcBorders>
            <w:shd w:val="clear" w:color="auto" w:fill="auto"/>
            <w:vAlign w:val="center"/>
          </w:tcPr>
          <w:p>
            <w:pPr>
              <w:spacing w:line="400" w:lineRule="exact"/>
              <w:jc w:val="center"/>
              <w:rPr>
                <w:rFonts w:ascii="宋体" w:hAnsi="宋体"/>
                <w:color w:val="auto"/>
              </w:rPr>
            </w:pPr>
          </w:p>
        </w:tc>
        <w:tc>
          <w:tcPr>
            <w:tcW w:w="2029" w:type="dxa"/>
            <w:tcBorders>
              <w:tl2br w:val="nil"/>
              <w:tr2bl w:val="nil"/>
            </w:tcBorders>
            <w:shd w:val="clear" w:color="auto" w:fill="auto"/>
            <w:vAlign w:val="center"/>
          </w:tcPr>
          <w:p>
            <w:pPr>
              <w:spacing w:line="400" w:lineRule="exact"/>
              <w:jc w:val="center"/>
              <w:rPr>
                <w:rFonts w:ascii="宋体" w:hAnsi="宋体"/>
                <w:color w:val="auto"/>
              </w:rPr>
            </w:pPr>
          </w:p>
        </w:tc>
        <w:tc>
          <w:tcPr>
            <w:tcW w:w="1342" w:type="dxa"/>
            <w:tcBorders>
              <w:tl2br w:val="nil"/>
              <w:tr2bl w:val="nil"/>
            </w:tcBorders>
            <w:shd w:val="clear" w:color="auto" w:fill="auto"/>
            <w:vAlign w:val="center"/>
          </w:tcPr>
          <w:p>
            <w:pPr>
              <w:spacing w:line="400" w:lineRule="exact"/>
              <w:jc w:val="center"/>
              <w:rPr>
                <w:rFonts w:ascii="宋体" w:hAnsi="宋体" w:cs="宋体"/>
                <w:color w:val="auto"/>
                <w:szCs w:val="21"/>
              </w:rPr>
            </w:pPr>
            <w:r>
              <w:rPr>
                <w:rFonts w:hint="eastAsia" w:ascii="宋体" w:hAnsi="宋体" w:cs="宋体"/>
                <w:color w:val="auto"/>
                <w:szCs w:val="21"/>
              </w:rPr>
              <w:t>见第页</w:t>
            </w:r>
          </w:p>
        </w:tc>
      </w:tr>
    </w:tbl>
    <w:p>
      <w:pPr>
        <w:adjustRightInd w:val="0"/>
        <w:snapToGrid w:val="0"/>
        <w:spacing w:line="460" w:lineRule="exact"/>
        <w:rPr>
          <w:rFonts w:ascii="宋体" w:hAnsi="宋体"/>
          <w:color w:val="auto"/>
          <w:szCs w:val="21"/>
        </w:rPr>
      </w:pPr>
      <w:r>
        <w:rPr>
          <w:rFonts w:hint="eastAsia" w:ascii="宋体" w:hAnsi="宋体"/>
          <w:color w:val="auto"/>
          <w:szCs w:val="21"/>
        </w:rPr>
        <w:t>备注：投标人必须按招标文件要求附相关证明文件，如有任何一项不响应或不满足的视为负偏离。</w:t>
      </w:r>
    </w:p>
    <w:p>
      <w:pPr>
        <w:spacing w:line="500" w:lineRule="exact"/>
        <w:rPr>
          <w:color w:val="auto"/>
          <w:spacing w:val="4"/>
        </w:rPr>
      </w:pPr>
    </w:p>
    <w:p>
      <w:pPr>
        <w:spacing w:line="500" w:lineRule="exact"/>
        <w:ind w:firstLine="109" w:firstLineChars="50"/>
        <w:rPr>
          <w:rFonts w:ascii="宋体" w:hAnsi="宋体"/>
          <w:color w:val="auto"/>
          <w:u w:val="single"/>
        </w:rPr>
      </w:pPr>
      <w:bookmarkStart w:id="79" w:name="_Toc435515308"/>
      <w:bookmarkStart w:id="80" w:name="_Toc435514868"/>
      <w:r>
        <w:rPr>
          <w:rFonts w:hint="eastAsia"/>
          <w:color w:val="auto"/>
          <w:spacing w:val="4"/>
        </w:rPr>
        <w:t>投标人名称（</w:t>
      </w:r>
      <w:r>
        <w:rPr>
          <w:rFonts w:hint="eastAsia" w:ascii="宋体" w:hAnsi="宋体"/>
          <w:color w:val="auto"/>
        </w:rPr>
        <w:t>单位盖</w:t>
      </w:r>
      <w:r>
        <w:rPr>
          <w:rFonts w:hint="eastAsia"/>
          <w:color w:val="auto"/>
          <w:spacing w:val="4"/>
        </w:rPr>
        <w:t>公章）：</w:t>
      </w:r>
    </w:p>
    <w:p>
      <w:pPr>
        <w:spacing w:line="440" w:lineRule="exact"/>
        <w:ind w:firstLine="109" w:firstLineChars="50"/>
        <w:rPr>
          <w:rFonts w:ascii="Arial" w:hAnsi="Arial" w:eastAsia="黑体"/>
          <w:bCs/>
          <w:color w:val="auto"/>
          <w:sz w:val="32"/>
          <w:szCs w:val="32"/>
        </w:rPr>
      </w:pPr>
      <w:r>
        <w:rPr>
          <w:rFonts w:hint="eastAsia"/>
          <w:color w:val="auto"/>
          <w:spacing w:val="4"/>
        </w:rPr>
        <w:t>日期：</w:t>
      </w:r>
    </w:p>
    <w:bookmarkEnd w:id="79"/>
    <w:bookmarkEnd w:id="80"/>
    <w:p>
      <w:pPr>
        <w:spacing w:line="520" w:lineRule="exact"/>
        <w:ind w:firstLine="436" w:firstLineChars="200"/>
        <w:rPr>
          <w:color w:val="auto"/>
          <w:spacing w:val="4"/>
        </w:rPr>
        <w:sectPr>
          <w:pgSz w:w="11906" w:h="16838"/>
          <w:pgMar w:top="1440" w:right="1286" w:bottom="1440" w:left="1440" w:header="851" w:footer="992" w:gutter="0"/>
          <w:cols w:space="720" w:num="1"/>
          <w:docGrid w:type="lines" w:linePitch="312" w:charSpace="0"/>
        </w:sectPr>
      </w:pPr>
      <w:bookmarkStart w:id="81" w:name="_Toc50703730"/>
      <w:bookmarkStart w:id="82" w:name="_Toc50691037"/>
      <w:bookmarkStart w:id="83" w:name="_Toc43264518"/>
    </w:p>
    <w:p>
      <w:pPr>
        <w:pStyle w:val="4"/>
        <w:adjustRightInd w:val="0"/>
        <w:snapToGrid w:val="0"/>
        <w:spacing w:beforeLines="50" w:afterLines="50" w:line="360" w:lineRule="auto"/>
        <w:jc w:val="center"/>
        <w:rPr>
          <w:b w:val="0"/>
          <w:color w:val="auto"/>
        </w:rPr>
      </w:pPr>
      <w:bookmarkStart w:id="84" w:name="_Toc435515309"/>
      <w:bookmarkStart w:id="85" w:name="_Toc435514869"/>
      <w:bookmarkStart w:id="86" w:name="_Toc275865616"/>
      <w:bookmarkStart w:id="87" w:name="_Toc173553182"/>
      <w:r>
        <w:rPr>
          <w:rFonts w:hint="eastAsia"/>
          <w:b w:val="0"/>
          <w:color w:val="auto"/>
        </w:rPr>
        <w:t>投标人基本情况表</w:t>
      </w:r>
      <w:bookmarkEnd w:id="84"/>
      <w:bookmarkEnd w:id="85"/>
      <w:bookmarkEnd w:id="86"/>
      <w:bookmarkEnd w:id="87"/>
    </w:p>
    <w:p>
      <w:pPr>
        <w:numPr>
          <w:ilvl w:val="0"/>
          <w:numId w:val="35"/>
        </w:numPr>
        <w:tabs>
          <w:tab w:val="left" w:pos="420"/>
          <w:tab w:val="left" w:pos="567"/>
        </w:tabs>
        <w:spacing w:line="360" w:lineRule="auto"/>
        <w:ind w:left="426"/>
        <w:rPr>
          <w:rFonts w:ascii="宋体" w:hAnsi="宋体" w:cs="Arial"/>
          <w:b/>
          <w:color w:val="auto"/>
          <w:szCs w:val="21"/>
        </w:rPr>
      </w:pPr>
      <w:r>
        <w:rPr>
          <w:rFonts w:ascii="宋体" w:hAnsi="宋体" w:cs="Arial"/>
          <w:b/>
          <w:color w:val="auto"/>
          <w:szCs w:val="21"/>
        </w:rPr>
        <w:t>公司基本情况</w:t>
      </w:r>
    </w:p>
    <w:p>
      <w:pPr>
        <w:numPr>
          <w:ilvl w:val="1"/>
          <w:numId w:val="35"/>
        </w:numPr>
        <w:tabs>
          <w:tab w:val="left" w:pos="420"/>
        </w:tabs>
        <w:spacing w:line="360" w:lineRule="auto"/>
        <w:ind w:left="420"/>
        <w:rPr>
          <w:rFonts w:ascii="宋体" w:hAnsi="宋体" w:cs="Arial"/>
          <w:color w:val="auto"/>
          <w:szCs w:val="21"/>
        </w:rPr>
      </w:pPr>
      <w:r>
        <w:rPr>
          <w:rFonts w:ascii="宋体" w:hAnsi="宋体" w:cs="Arial"/>
          <w:color w:val="auto"/>
          <w:szCs w:val="21"/>
        </w:rPr>
        <w:t>公司名称：  电话号码：</w:t>
      </w:r>
    </w:p>
    <w:p>
      <w:pPr>
        <w:numPr>
          <w:ilvl w:val="1"/>
          <w:numId w:val="35"/>
        </w:numPr>
        <w:tabs>
          <w:tab w:val="left" w:pos="420"/>
        </w:tabs>
        <w:spacing w:line="360" w:lineRule="auto"/>
        <w:ind w:left="420"/>
        <w:rPr>
          <w:rFonts w:ascii="宋体" w:hAnsi="宋体" w:cs="Arial"/>
          <w:color w:val="auto"/>
          <w:szCs w:val="21"/>
        </w:rPr>
      </w:pPr>
      <w:r>
        <w:rPr>
          <w:rFonts w:hint="eastAsia" w:ascii="宋体" w:hAnsi="宋体" w:cs="Arial"/>
          <w:color w:val="auto"/>
          <w:szCs w:val="21"/>
        </w:rPr>
        <w:t>法定代表人：                        移动电话：</w:t>
      </w:r>
    </w:p>
    <w:p>
      <w:pPr>
        <w:numPr>
          <w:ilvl w:val="1"/>
          <w:numId w:val="35"/>
        </w:numPr>
        <w:tabs>
          <w:tab w:val="left" w:pos="420"/>
        </w:tabs>
        <w:spacing w:line="360" w:lineRule="auto"/>
        <w:ind w:left="420"/>
        <w:rPr>
          <w:rFonts w:ascii="宋体" w:hAnsi="宋体" w:cs="Arial"/>
          <w:color w:val="auto"/>
          <w:szCs w:val="21"/>
        </w:rPr>
      </w:pPr>
      <w:r>
        <w:rPr>
          <w:rFonts w:ascii="宋体" w:hAnsi="宋体" w:cs="Arial"/>
          <w:color w:val="auto"/>
          <w:szCs w:val="21"/>
        </w:rPr>
        <w:t>地    址：  传    真：</w:t>
      </w:r>
    </w:p>
    <w:p>
      <w:pPr>
        <w:numPr>
          <w:ilvl w:val="1"/>
          <w:numId w:val="35"/>
        </w:numPr>
        <w:tabs>
          <w:tab w:val="left" w:pos="420"/>
        </w:tabs>
        <w:spacing w:line="360" w:lineRule="auto"/>
        <w:ind w:left="420"/>
        <w:rPr>
          <w:rFonts w:ascii="宋体" w:hAnsi="宋体" w:cs="Arial"/>
          <w:color w:val="auto"/>
          <w:szCs w:val="21"/>
        </w:rPr>
      </w:pPr>
      <w:r>
        <w:rPr>
          <w:rFonts w:ascii="宋体" w:hAnsi="宋体" w:cs="Arial"/>
          <w:color w:val="auto"/>
          <w:szCs w:val="21"/>
        </w:rPr>
        <w:t>营业注册执照号：注册资金：</w:t>
      </w:r>
    </w:p>
    <w:p>
      <w:pPr>
        <w:numPr>
          <w:ilvl w:val="1"/>
          <w:numId w:val="35"/>
        </w:numPr>
        <w:tabs>
          <w:tab w:val="left" w:pos="420"/>
        </w:tabs>
        <w:spacing w:line="360" w:lineRule="auto"/>
        <w:ind w:left="420"/>
        <w:rPr>
          <w:rFonts w:ascii="宋体" w:hAnsi="宋体" w:cs="Arial"/>
          <w:color w:val="auto"/>
          <w:szCs w:val="21"/>
        </w:rPr>
      </w:pPr>
      <w:r>
        <w:rPr>
          <w:rFonts w:ascii="宋体" w:hAnsi="宋体" w:cs="Arial"/>
          <w:color w:val="auto"/>
          <w:szCs w:val="21"/>
        </w:rPr>
        <w:t>公司开户银行名称及账号：</w:t>
      </w:r>
    </w:p>
    <w:p>
      <w:pPr>
        <w:numPr>
          <w:ilvl w:val="1"/>
          <w:numId w:val="35"/>
        </w:numPr>
        <w:tabs>
          <w:tab w:val="left" w:pos="420"/>
        </w:tabs>
        <w:spacing w:line="360" w:lineRule="auto"/>
        <w:ind w:left="420"/>
        <w:rPr>
          <w:rFonts w:ascii="宋体" w:hAnsi="宋体" w:cs="Arial"/>
          <w:color w:val="auto"/>
          <w:szCs w:val="21"/>
        </w:rPr>
      </w:pPr>
      <w:r>
        <w:rPr>
          <w:rFonts w:ascii="宋体" w:hAnsi="宋体" w:cs="Arial"/>
          <w:color w:val="auto"/>
          <w:szCs w:val="21"/>
        </w:rPr>
        <w:t>公司简介</w:t>
      </w:r>
    </w:p>
    <w:p>
      <w:pPr>
        <w:spacing w:line="360" w:lineRule="auto"/>
        <w:ind w:left="359" w:leftChars="171" w:firstLine="65" w:firstLineChars="31"/>
        <w:rPr>
          <w:rFonts w:ascii="宋体" w:hAnsi="宋体"/>
          <w:color w:val="auto"/>
        </w:rPr>
      </w:pPr>
      <w:r>
        <w:rPr>
          <w:rFonts w:hint="eastAsia" w:ascii="宋体" w:hAnsi="宋体"/>
          <w:color w:val="auto"/>
        </w:rPr>
        <w:t>文字描述：</w:t>
      </w:r>
      <w:r>
        <w:rPr>
          <w:rFonts w:hint="eastAsia" w:ascii="宋体" w:hAnsi="宋体"/>
          <w:bCs/>
          <w:color w:val="auto"/>
          <w:szCs w:val="21"/>
          <w:lang w:val="en-GB"/>
        </w:rPr>
        <w:t>发展历程、经营规模及服务理念</w:t>
      </w:r>
      <w:r>
        <w:rPr>
          <w:rFonts w:hint="eastAsia" w:ascii="宋体" w:hAnsi="宋体"/>
          <w:color w:val="auto"/>
        </w:rPr>
        <w:t>、技术力量、财务状况、</w:t>
      </w:r>
      <w:r>
        <w:rPr>
          <w:rFonts w:ascii="宋体" w:hAnsi="宋体"/>
          <w:color w:val="auto"/>
        </w:rPr>
        <w:t>管理水平</w:t>
      </w:r>
      <w:r>
        <w:rPr>
          <w:rFonts w:hint="eastAsia" w:ascii="宋体" w:hAnsi="宋体"/>
          <w:color w:val="auto"/>
        </w:rPr>
        <w:t>等方面进行阐述。</w:t>
      </w:r>
    </w:p>
    <w:p>
      <w:pPr>
        <w:spacing w:line="360" w:lineRule="auto"/>
        <w:ind w:left="359" w:leftChars="171" w:firstLine="65" w:firstLineChars="31"/>
        <w:rPr>
          <w:rFonts w:ascii="宋体" w:hAnsi="宋体"/>
          <w:bCs/>
          <w:color w:val="auto"/>
          <w:szCs w:val="21"/>
          <w:lang w:val="en-GB"/>
        </w:rPr>
      </w:pPr>
      <w:r>
        <w:rPr>
          <w:rFonts w:hint="eastAsia" w:ascii="宋体" w:hAnsi="宋体"/>
          <w:color w:val="auto"/>
        </w:rPr>
        <w:t>图片描述：</w:t>
      </w:r>
      <w:r>
        <w:rPr>
          <w:rFonts w:hint="eastAsia" w:ascii="宋体" w:hAnsi="宋体"/>
          <w:bCs/>
          <w:color w:val="auto"/>
          <w:szCs w:val="21"/>
          <w:lang w:val="en-GB"/>
        </w:rPr>
        <w:t>经营场所、主要或关键产品介绍、生产场所等。</w:t>
      </w:r>
    </w:p>
    <w:p>
      <w:pPr>
        <w:numPr>
          <w:ilvl w:val="0"/>
          <w:numId w:val="35"/>
        </w:numPr>
        <w:tabs>
          <w:tab w:val="left" w:pos="420"/>
          <w:tab w:val="left" w:pos="567"/>
        </w:tabs>
        <w:spacing w:line="360" w:lineRule="auto"/>
        <w:ind w:left="426"/>
        <w:rPr>
          <w:rFonts w:ascii="宋体" w:hAnsi="宋体" w:cs="Arial"/>
          <w:b/>
          <w:color w:val="auto"/>
          <w:szCs w:val="21"/>
        </w:rPr>
      </w:pPr>
      <w:r>
        <w:rPr>
          <w:rFonts w:ascii="宋体" w:hAnsi="宋体" w:cs="Arial"/>
          <w:b/>
          <w:color w:val="auto"/>
          <w:szCs w:val="21"/>
        </w:rPr>
        <w:t>投标人获得国家有关部门颁发的资质</w:t>
      </w:r>
    </w:p>
    <w:tbl>
      <w:tblPr>
        <w:tblStyle w:val="44"/>
        <w:tblW w:w="91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6"/>
        <w:gridCol w:w="2286"/>
        <w:gridCol w:w="2286"/>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2286" w:type="dxa"/>
            <w:tcBorders>
              <w:top w:val="single" w:color="auto" w:sz="12" w:space="0"/>
              <w:left w:val="single" w:color="auto" w:sz="12" w:space="0"/>
            </w:tcBorders>
          </w:tcPr>
          <w:p>
            <w:pPr>
              <w:spacing w:line="360" w:lineRule="auto"/>
              <w:jc w:val="center"/>
              <w:rPr>
                <w:rFonts w:ascii="宋体" w:hAnsi="宋体" w:cs="Arial"/>
                <w:b/>
                <w:color w:val="auto"/>
                <w:szCs w:val="21"/>
              </w:rPr>
            </w:pPr>
            <w:r>
              <w:rPr>
                <w:rFonts w:ascii="宋体" w:hAnsi="宋体" w:cs="Arial"/>
                <w:b/>
                <w:color w:val="auto"/>
                <w:szCs w:val="21"/>
              </w:rPr>
              <w:t xml:space="preserve">  证书名称</w:t>
            </w:r>
          </w:p>
        </w:tc>
        <w:tc>
          <w:tcPr>
            <w:tcW w:w="2286" w:type="dxa"/>
            <w:tcBorders>
              <w:top w:val="single" w:color="auto" w:sz="12" w:space="0"/>
            </w:tcBorders>
          </w:tcPr>
          <w:p>
            <w:pPr>
              <w:spacing w:line="360" w:lineRule="auto"/>
              <w:jc w:val="center"/>
              <w:rPr>
                <w:rFonts w:ascii="宋体" w:hAnsi="宋体" w:cs="Arial"/>
                <w:b/>
                <w:color w:val="auto"/>
                <w:szCs w:val="21"/>
              </w:rPr>
            </w:pPr>
            <w:r>
              <w:rPr>
                <w:rFonts w:ascii="宋体" w:hAnsi="宋体" w:cs="Arial"/>
                <w:b/>
                <w:color w:val="auto"/>
                <w:szCs w:val="21"/>
              </w:rPr>
              <w:t>发证单位</w:t>
            </w:r>
          </w:p>
        </w:tc>
        <w:tc>
          <w:tcPr>
            <w:tcW w:w="2286" w:type="dxa"/>
            <w:tcBorders>
              <w:top w:val="single" w:color="auto" w:sz="12" w:space="0"/>
            </w:tcBorders>
          </w:tcPr>
          <w:p>
            <w:pPr>
              <w:spacing w:line="360" w:lineRule="auto"/>
              <w:jc w:val="center"/>
              <w:rPr>
                <w:rFonts w:ascii="宋体" w:hAnsi="宋体" w:cs="Arial"/>
                <w:b/>
                <w:color w:val="auto"/>
                <w:szCs w:val="21"/>
              </w:rPr>
            </w:pPr>
            <w:r>
              <w:rPr>
                <w:rFonts w:ascii="宋体" w:hAnsi="宋体" w:cs="Arial"/>
                <w:b/>
                <w:color w:val="auto"/>
                <w:szCs w:val="21"/>
              </w:rPr>
              <w:t>证书等级</w:t>
            </w:r>
          </w:p>
        </w:tc>
        <w:tc>
          <w:tcPr>
            <w:tcW w:w="2286" w:type="dxa"/>
            <w:tcBorders>
              <w:top w:val="single" w:color="auto" w:sz="12" w:space="0"/>
              <w:right w:val="single" w:color="auto" w:sz="12" w:space="0"/>
            </w:tcBorders>
          </w:tcPr>
          <w:p>
            <w:pPr>
              <w:spacing w:line="360" w:lineRule="auto"/>
              <w:jc w:val="center"/>
              <w:rPr>
                <w:rFonts w:ascii="宋体" w:hAnsi="宋体" w:cs="Arial"/>
                <w:b/>
                <w:color w:val="auto"/>
                <w:szCs w:val="21"/>
              </w:rPr>
            </w:pPr>
            <w:r>
              <w:rPr>
                <w:rFonts w:ascii="宋体" w:hAnsi="宋体" w:cs="Arial"/>
                <w:b/>
                <w:color w:val="auto"/>
                <w:szCs w:val="21"/>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2286" w:type="dxa"/>
            <w:tcBorders>
              <w:left w:val="single" w:color="auto" w:sz="12" w:space="0"/>
            </w:tcBorders>
          </w:tcPr>
          <w:p>
            <w:pPr>
              <w:spacing w:line="360" w:lineRule="auto"/>
              <w:jc w:val="center"/>
              <w:rPr>
                <w:rFonts w:ascii="宋体" w:hAnsi="宋体" w:cs="Arial"/>
                <w:color w:val="auto"/>
                <w:szCs w:val="21"/>
              </w:rPr>
            </w:pPr>
          </w:p>
        </w:tc>
        <w:tc>
          <w:tcPr>
            <w:tcW w:w="2286" w:type="dxa"/>
          </w:tcPr>
          <w:p>
            <w:pPr>
              <w:spacing w:line="360" w:lineRule="auto"/>
              <w:jc w:val="center"/>
              <w:rPr>
                <w:rFonts w:ascii="宋体" w:hAnsi="宋体" w:cs="Arial"/>
                <w:color w:val="auto"/>
                <w:szCs w:val="21"/>
              </w:rPr>
            </w:pPr>
          </w:p>
        </w:tc>
        <w:tc>
          <w:tcPr>
            <w:tcW w:w="2286" w:type="dxa"/>
          </w:tcPr>
          <w:p>
            <w:pPr>
              <w:spacing w:line="360" w:lineRule="auto"/>
              <w:jc w:val="center"/>
              <w:rPr>
                <w:rFonts w:ascii="宋体" w:hAnsi="宋体" w:cs="Arial"/>
                <w:color w:val="auto"/>
                <w:szCs w:val="21"/>
              </w:rPr>
            </w:pPr>
          </w:p>
        </w:tc>
        <w:tc>
          <w:tcPr>
            <w:tcW w:w="2286" w:type="dxa"/>
            <w:tcBorders>
              <w:right w:val="single" w:color="auto" w:sz="12" w:space="0"/>
            </w:tcBorders>
          </w:tcPr>
          <w:p>
            <w:pPr>
              <w:spacing w:line="360" w:lineRule="auto"/>
              <w:jc w:val="center"/>
              <w:rPr>
                <w:rFonts w:ascii="宋体" w:hAnsi="宋体"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2286" w:type="dxa"/>
            <w:tcBorders>
              <w:left w:val="single" w:color="auto" w:sz="12" w:space="0"/>
            </w:tcBorders>
          </w:tcPr>
          <w:p>
            <w:pPr>
              <w:spacing w:line="360" w:lineRule="auto"/>
              <w:jc w:val="center"/>
              <w:rPr>
                <w:rFonts w:ascii="宋体" w:hAnsi="宋体" w:cs="Arial"/>
                <w:color w:val="auto"/>
                <w:szCs w:val="21"/>
              </w:rPr>
            </w:pPr>
          </w:p>
        </w:tc>
        <w:tc>
          <w:tcPr>
            <w:tcW w:w="2286" w:type="dxa"/>
          </w:tcPr>
          <w:p>
            <w:pPr>
              <w:spacing w:line="360" w:lineRule="auto"/>
              <w:jc w:val="center"/>
              <w:rPr>
                <w:rFonts w:ascii="宋体" w:hAnsi="宋体" w:cs="Arial"/>
                <w:color w:val="auto"/>
                <w:szCs w:val="21"/>
              </w:rPr>
            </w:pPr>
          </w:p>
        </w:tc>
        <w:tc>
          <w:tcPr>
            <w:tcW w:w="2286" w:type="dxa"/>
          </w:tcPr>
          <w:p>
            <w:pPr>
              <w:spacing w:line="360" w:lineRule="auto"/>
              <w:jc w:val="center"/>
              <w:rPr>
                <w:rFonts w:ascii="宋体" w:hAnsi="宋体" w:cs="Arial"/>
                <w:color w:val="auto"/>
                <w:szCs w:val="21"/>
              </w:rPr>
            </w:pPr>
          </w:p>
        </w:tc>
        <w:tc>
          <w:tcPr>
            <w:tcW w:w="2286" w:type="dxa"/>
            <w:tcBorders>
              <w:right w:val="single" w:color="auto" w:sz="12" w:space="0"/>
            </w:tcBorders>
          </w:tcPr>
          <w:p>
            <w:pPr>
              <w:spacing w:line="360" w:lineRule="auto"/>
              <w:jc w:val="center"/>
              <w:rPr>
                <w:rFonts w:ascii="宋体" w:hAnsi="宋体"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2286" w:type="dxa"/>
            <w:tcBorders>
              <w:left w:val="single" w:color="auto" w:sz="12" w:space="0"/>
              <w:bottom w:val="single" w:color="auto" w:sz="12" w:space="0"/>
            </w:tcBorders>
          </w:tcPr>
          <w:p>
            <w:pPr>
              <w:spacing w:line="360" w:lineRule="auto"/>
              <w:jc w:val="center"/>
              <w:rPr>
                <w:rFonts w:ascii="宋体" w:hAnsi="宋体" w:cs="Arial"/>
                <w:color w:val="auto"/>
                <w:szCs w:val="21"/>
              </w:rPr>
            </w:pPr>
          </w:p>
        </w:tc>
        <w:tc>
          <w:tcPr>
            <w:tcW w:w="2286" w:type="dxa"/>
            <w:tcBorders>
              <w:bottom w:val="single" w:color="auto" w:sz="12" w:space="0"/>
            </w:tcBorders>
          </w:tcPr>
          <w:p>
            <w:pPr>
              <w:spacing w:line="360" w:lineRule="auto"/>
              <w:jc w:val="center"/>
              <w:rPr>
                <w:rFonts w:ascii="宋体" w:hAnsi="宋体" w:cs="Arial"/>
                <w:color w:val="auto"/>
                <w:szCs w:val="21"/>
              </w:rPr>
            </w:pPr>
          </w:p>
        </w:tc>
        <w:tc>
          <w:tcPr>
            <w:tcW w:w="2286" w:type="dxa"/>
            <w:tcBorders>
              <w:bottom w:val="single" w:color="auto" w:sz="12" w:space="0"/>
            </w:tcBorders>
          </w:tcPr>
          <w:p>
            <w:pPr>
              <w:spacing w:line="360" w:lineRule="auto"/>
              <w:jc w:val="center"/>
              <w:rPr>
                <w:rFonts w:ascii="宋体" w:hAnsi="宋体" w:cs="Arial"/>
                <w:color w:val="auto"/>
                <w:szCs w:val="21"/>
              </w:rPr>
            </w:pPr>
          </w:p>
        </w:tc>
        <w:tc>
          <w:tcPr>
            <w:tcW w:w="2286" w:type="dxa"/>
            <w:tcBorders>
              <w:bottom w:val="single" w:color="auto" w:sz="12" w:space="0"/>
              <w:right w:val="single" w:color="auto" w:sz="12" w:space="0"/>
            </w:tcBorders>
          </w:tcPr>
          <w:p>
            <w:pPr>
              <w:spacing w:line="360" w:lineRule="auto"/>
              <w:jc w:val="center"/>
              <w:rPr>
                <w:rFonts w:ascii="宋体" w:hAnsi="宋体" w:cs="Arial"/>
                <w:color w:val="auto"/>
                <w:szCs w:val="21"/>
              </w:rPr>
            </w:pPr>
          </w:p>
        </w:tc>
      </w:tr>
    </w:tbl>
    <w:p>
      <w:pPr>
        <w:numPr>
          <w:ilvl w:val="0"/>
          <w:numId w:val="35"/>
        </w:numPr>
        <w:tabs>
          <w:tab w:val="left" w:pos="420"/>
          <w:tab w:val="left" w:pos="567"/>
        </w:tabs>
        <w:spacing w:line="360" w:lineRule="auto"/>
        <w:ind w:left="426"/>
        <w:rPr>
          <w:rFonts w:ascii="宋体" w:hAnsi="宋体" w:cs="Arial"/>
          <w:b/>
          <w:color w:val="auto"/>
          <w:szCs w:val="21"/>
        </w:rPr>
      </w:pPr>
      <w:bookmarkStart w:id="88" w:name="_Toc43264525"/>
      <w:r>
        <w:rPr>
          <w:rFonts w:hint="eastAsia" w:ascii="宋体" w:hAnsi="宋体" w:cs="Arial"/>
          <w:b/>
          <w:color w:val="auto"/>
          <w:szCs w:val="21"/>
        </w:rPr>
        <w:t>财务状况</w:t>
      </w:r>
    </w:p>
    <w:tbl>
      <w:tblPr>
        <w:tblStyle w:val="44"/>
        <w:tblW w:w="91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792"/>
        <w:gridCol w:w="1738"/>
        <w:gridCol w:w="1546"/>
        <w:gridCol w:w="1326"/>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1074" w:type="dxa"/>
            <w:tcBorders>
              <w:top w:val="single" w:color="auto" w:sz="12" w:space="0"/>
              <w:left w:val="single" w:color="auto" w:sz="12" w:space="0"/>
            </w:tcBorders>
            <w:vAlign w:val="center"/>
          </w:tcPr>
          <w:p>
            <w:pPr>
              <w:tabs>
                <w:tab w:val="left" w:pos="540"/>
                <w:tab w:val="left" w:pos="7740"/>
              </w:tabs>
              <w:adjustRightInd w:val="0"/>
              <w:snapToGrid w:val="0"/>
              <w:jc w:val="center"/>
              <w:rPr>
                <w:rFonts w:ascii="宋体" w:hAnsi="宋体" w:cs="宋体"/>
                <w:b/>
                <w:color w:val="auto"/>
                <w:szCs w:val="21"/>
              </w:rPr>
            </w:pPr>
            <w:r>
              <w:rPr>
                <w:rFonts w:hint="eastAsia" w:ascii="宋体" w:hAnsi="宋体" w:cs="宋体"/>
                <w:b/>
                <w:color w:val="auto"/>
                <w:szCs w:val="21"/>
              </w:rPr>
              <w:t>年度</w:t>
            </w:r>
          </w:p>
        </w:tc>
        <w:tc>
          <w:tcPr>
            <w:tcW w:w="1792" w:type="dxa"/>
            <w:tcBorders>
              <w:top w:val="single" w:color="auto" w:sz="12" w:space="0"/>
            </w:tcBorders>
            <w:vAlign w:val="center"/>
          </w:tcPr>
          <w:p>
            <w:pPr>
              <w:tabs>
                <w:tab w:val="left" w:pos="540"/>
                <w:tab w:val="left" w:pos="7740"/>
              </w:tabs>
              <w:adjustRightInd w:val="0"/>
              <w:snapToGrid w:val="0"/>
              <w:jc w:val="center"/>
              <w:rPr>
                <w:rFonts w:ascii="宋体" w:hAnsi="宋体" w:cs="宋体"/>
                <w:b/>
                <w:color w:val="auto"/>
                <w:szCs w:val="21"/>
              </w:rPr>
            </w:pPr>
            <w:r>
              <w:rPr>
                <w:rFonts w:hint="eastAsia" w:ascii="宋体" w:hAnsi="宋体" w:cs="宋体"/>
                <w:b/>
                <w:color w:val="auto"/>
                <w:szCs w:val="21"/>
              </w:rPr>
              <w:t>主营收入</w:t>
            </w:r>
          </w:p>
          <w:p>
            <w:pPr>
              <w:tabs>
                <w:tab w:val="left" w:pos="540"/>
                <w:tab w:val="left" w:pos="7740"/>
              </w:tabs>
              <w:adjustRightInd w:val="0"/>
              <w:snapToGrid w:val="0"/>
              <w:jc w:val="center"/>
              <w:rPr>
                <w:rFonts w:ascii="宋体" w:hAnsi="宋体" w:cs="宋体"/>
                <w:b/>
                <w:color w:val="auto"/>
                <w:szCs w:val="21"/>
              </w:rPr>
            </w:pPr>
            <w:r>
              <w:rPr>
                <w:rFonts w:hint="eastAsia" w:ascii="宋体" w:hAnsi="宋体" w:cs="宋体"/>
                <w:b/>
                <w:color w:val="auto"/>
                <w:szCs w:val="21"/>
              </w:rPr>
              <w:t>（万元）</w:t>
            </w:r>
          </w:p>
        </w:tc>
        <w:tc>
          <w:tcPr>
            <w:tcW w:w="1738" w:type="dxa"/>
            <w:tcBorders>
              <w:top w:val="single" w:color="auto" w:sz="12" w:space="0"/>
            </w:tcBorders>
            <w:vAlign w:val="center"/>
          </w:tcPr>
          <w:p>
            <w:pPr>
              <w:tabs>
                <w:tab w:val="left" w:pos="540"/>
                <w:tab w:val="left" w:pos="7740"/>
              </w:tabs>
              <w:adjustRightInd w:val="0"/>
              <w:snapToGrid w:val="0"/>
              <w:jc w:val="center"/>
              <w:rPr>
                <w:rFonts w:ascii="宋体" w:hAnsi="宋体" w:cs="宋体"/>
                <w:b/>
                <w:color w:val="auto"/>
                <w:szCs w:val="21"/>
              </w:rPr>
            </w:pPr>
            <w:r>
              <w:rPr>
                <w:rFonts w:hint="eastAsia" w:ascii="宋体" w:hAnsi="宋体" w:cs="宋体"/>
                <w:b/>
                <w:color w:val="auto"/>
                <w:szCs w:val="21"/>
              </w:rPr>
              <w:t>收入总额</w:t>
            </w:r>
          </w:p>
          <w:p>
            <w:pPr>
              <w:tabs>
                <w:tab w:val="left" w:pos="540"/>
                <w:tab w:val="left" w:pos="7740"/>
              </w:tabs>
              <w:adjustRightInd w:val="0"/>
              <w:snapToGrid w:val="0"/>
              <w:jc w:val="center"/>
              <w:rPr>
                <w:rFonts w:ascii="宋体" w:hAnsi="宋体" w:cs="宋体"/>
                <w:b/>
                <w:color w:val="auto"/>
                <w:szCs w:val="21"/>
              </w:rPr>
            </w:pPr>
            <w:r>
              <w:rPr>
                <w:rFonts w:hint="eastAsia" w:ascii="宋体" w:hAnsi="宋体" w:cs="宋体"/>
                <w:b/>
                <w:color w:val="auto"/>
                <w:szCs w:val="21"/>
              </w:rPr>
              <w:t>（万元）</w:t>
            </w:r>
          </w:p>
        </w:tc>
        <w:tc>
          <w:tcPr>
            <w:tcW w:w="1546" w:type="dxa"/>
            <w:tcBorders>
              <w:top w:val="single" w:color="auto" w:sz="12" w:space="0"/>
            </w:tcBorders>
            <w:vAlign w:val="center"/>
          </w:tcPr>
          <w:p>
            <w:pPr>
              <w:tabs>
                <w:tab w:val="left" w:pos="540"/>
                <w:tab w:val="left" w:pos="7740"/>
              </w:tabs>
              <w:adjustRightInd w:val="0"/>
              <w:snapToGrid w:val="0"/>
              <w:jc w:val="center"/>
              <w:rPr>
                <w:rFonts w:ascii="宋体" w:hAnsi="宋体" w:cs="宋体"/>
                <w:b/>
                <w:color w:val="auto"/>
                <w:szCs w:val="21"/>
              </w:rPr>
            </w:pPr>
            <w:r>
              <w:rPr>
                <w:rFonts w:hint="eastAsia" w:ascii="宋体" w:hAnsi="宋体" w:cs="宋体"/>
                <w:b/>
                <w:color w:val="auto"/>
                <w:szCs w:val="21"/>
              </w:rPr>
              <w:t>利润总额</w:t>
            </w:r>
          </w:p>
          <w:p>
            <w:pPr>
              <w:tabs>
                <w:tab w:val="left" w:pos="540"/>
                <w:tab w:val="left" w:pos="7740"/>
              </w:tabs>
              <w:adjustRightInd w:val="0"/>
              <w:snapToGrid w:val="0"/>
              <w:jc w:val="center"/>
              <w:rPr>
                <w:rFonts w:ascii="宋体" w:hAnsi="宋体" w:cs="宋体"/>
                <w:b/>
                <w:color w:val="auto"/>
                <w:szCs w:val="21"/>
              </w:rPr>
            </w:pPr>
            <w:r>
              <w:rPr>
                <w:rFonts w:hint="eastAsia" w:ascii="宋体" w:hAnsi="宋体" w:cs="宋体"/>
                <w:b/>
                <w:color w:val="auto"/>
                <w:szCs w:val="21"/>
              </w:rPr>
              <w:t>（万元）</w:t>
            </w:r>
          </w:p>
        </w:tc>
        <w:tc>
          <w:tcPr>
            <w:tcW w:w="1326" w:type="dxa"/>
            <w:tcBorders>
              <w:top w:val="single" w:color="auto" w:sz="12" w:space="0"/>
            </w:tcBorders>
            <w:vAlign w:val="center"/>
          </w:tcPr>
          <w:p>
            <w:pPr>
              <w:tabs>
                <w:tab w:val="left" w:pos="540"/>
                <w:tab w:val="left" w:pos="7740"/>
              </w:tabs>
              <w:adjustRightInd w:val="0"/>
              <w:snapToGrid w:val="0"/>
              <w:jc w:val="center"/>
              <w:rPr>
                <w:rFonts w:ascii="宋体" w:hAnsi="宋体" w:cs="宋体"/>
                <w:b/>
                <w:color w:val="auto"/>
                <w:szCs w:val="21"/>
              </w:rPr>
            </w:pPr>
            <w:r>
              <w:rPr>
                <w:rFonts w:hint="eastAsia" w:ascii="宋体" w:hAnsi="宋体" w:cs="宋体"/>
                <w:b/>
                <w:color w:val="auto"/>
                <w:szCs w:val="21"/>
              </w:rPr>
              <w:t>净利润（万元）</w:t>
            </w:r>
          </w:p>
        </w:tc>
        <w:tc>
          <w:tcPr>
            <w:tcW w:w="1665" w:type="dxa"/>
            <w:tcBorders>
              <w:top w:val="single" w:color="auto" w:sz="12" w:space="0"/>
              <w:right w:val="single" w:color="auto" w:sz="12" w:space="0"/>
            </w:tcBorders>
            <w:vAlign w:val="center"/>
          </w:tcPr>
          <w:p>
            <w:pPr>
              <w:tabs>
                <w:tab w:val="left" w:pos="540"/>
                <w:tab w:val="left" w:pos="7740"/>
              </w:tabs>
              <w:adjustRightInd w:val="0"/>
              <w:snapToGrid w:val="0"/>
              <w:jc w:val="center"/>
              <w:rPr>
                <w:rFonts w:ascii="宋体" w:hAnsi="宋体" w:cs="宋体"/>
                <w:b/>
                <w:color w:val="auto"/>
                <w:szCs w:val="21"/>
              </w:rPr>
            </w:pPr>
            <w:r>
              <w:rPr>
                <w:rFonts w:hint="eastAsia" w:ascii="宋体" w:hAnsi="宋体" w:cs="宋体"/>
                <w:b/>
                <w:color w:val="auto"/>
                <w:szCs w:val="21"/>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1074" w:type="dxa"/>
            <w:tcBorders>
              <w:left w:val="single" w:color="auto" w:sz="12" w:space="0"/>
            </w:tcBorders>
            <w:vAlign w:val="center"/>
          </w:tcPr>
          <w:p>
            <w:pPr>
              <w:tabs>
                <w:tab w:val="left" w:pos="540"/>
                <w:tab w:val="left" w:pos="7740"/>
              </w:tabs>
              <w:adjustRightInd w:val="0"/>
              <w:snapToGrid w:val="0"/>
              <w:jc w:val="center"/>
              <w:rPr>
                <w:rFonts w:ascii="宋体" w:hAnsi="宋体" w:cs="宋体"/>
                <w:color w:val="auto"/>
                <w:szCs w:val="21"/>
              </w:rPr>
            </w:pPr>
          </w:p>
        </w:tc>
        <w:tc>
          <w:tcPr>
            <w:tcW w:w="1792" w:type="dxa"/>
            <w:vAlign w:val="center"/>
          </w:tcPr>
          <w:p>
            <w:pPr>
              <w:tabs>
                <w:tab w:val="left" w:pos="540"/>
                <w:tab w:val="left" w:pos="7740"/>
              </w:tabs>
              <w:adjustRightInd w:val="0"/>
              <w:snapToGrid w:val="0"/>
              <w:jc w:val="center"/>
              <w:rPr>
                <w:rFonts w:ascii="宋体" w:hAnsi="宋体" w:cs="宋体"/>
                <w:color w:val="auto"/>
                <w:szCs w:val="21"/>
              </w:rPr>
            </w:pPr>
          </w:p>
        </w:tc>
        <w:tc>
          <w:tcPr>
            <w:tcW w:w="1738" w:type="dxa"/>
            <w:vAlign w:val="center"/>
          </w:tcPr>
          <w:p>
            <w:pPr>
              <w:tabs>
                <w:tab w:val="left" w:pos="540"/>
                <w:tab w:val="left" w:pos="7740"/>
              </w:tabs>
              <w:adjustRightInd w:val="0"/>
              <w:snapToGrid w:val="0"/>
              <w:jc w:val="center"/>
              <w:rPr>
                <w:rFonts w:ascii="宋体" w:hAnsi="宋体" w:cs="宋体"/>
                <w:color w:val="auto"/>
                <w:szCs w:val="21"/>
              </w:rPr>
            </w:pPr>
          </w:p>
        </w:tc>
        <w:tc>
          <w:tcPr>
            <w:tcW w:w="1546" w:type="dxa"/>
            <w:vAlign w:val="center"/>
          </w:tcPr>
          <w:p>
            <w:pPr>
              <w:tabs>
                <w:tab w:val="left" w:pos="540"/>
                <w:tab w:val="left" w:pos="7740"/>
              </w:tabs>
              <w:adjustRightInd w:val="0"/>
              <w:snapToGrid w:val="0"/>
              <w:jc w:val="center"/>
              <w:rPr>
                <w:rFonts w:ascii="宋体" w:hAnsi="宋体" w:cs="宋体"/>
                <w:color w:val="auto"/>
                <w:szCs w:val="21"/>
              </w:rPr>
            </w:pPr>
          </w:p>
        </w:tc>
        <w:tc>
          <w:tcPr>
            <w:tcW w:w="1326" w:type="dxa"/>
            <w:vAlign w:val="center"/>
          </w:tcPr>
          <w:p>
            <w:pPr>
              <w:tabs>
                <w:tab w:val="left" w:pos="540"/>
                <w:tab w:val="left" w:pos="7740"/>
              </w:tabs>
              <w:adjustRightInd w:val="0"/>
              <w:snapToGrid w:val="0"/>
              <w:jc w:val="center"/>
              <w:rPr>
                <w:rFonts w:ascii="宋体" w:hAnsi="宋体" w:cs="宋体"/>
                <w:color w:val="auto"/>
                <w:szCs w:val="21"/>
              </w:rPr>
            </w:pPr>
          </w:p>
        </w:tc>
        <w:tc>
          <w:tcPr>
            <w:tcW w:w="1665" w:type="dxa"/>
            <w:tcBorders>
              <w:right w:val="single" w:color="auto" w:sz="12" w:space="0"/>
            </w:tcBorders>
            <w:vAlign w:val="center"/>
          </w:tcPr>
          <w:p>
            <w:pPr>
              <w:tabs>
                <w:tab w:val="left" w:pos="540"/>
                <w:tab w:val="left" w:pos="7740"/>
              </w:tabs>
              <w:adjustRightInd w:val="0"/>
              <w:snapToGrid w:val="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1074" w:type="dxa"/>
            <w:tcBorders>
              <w:left w:val="single" w:color="auto" w:sz="12" w:space="0"/>
            </w:tcBorders>
            <w:vAlign w:val="center"/>
          </w:tcPr>
          <w:p>
            <w:pPr>
              <w:tabs>
                <w:tab w:val="left" w:pos="540"/>
                <w:tab w:val="left" w:pos="7740"/>
              </w:tabs>
              <w:adjustRightInd w:val="0"/>
              <w:snapToGrid w:val="0"/>
              <w:jc w:val="center"/>
              <w:rPr>
                <w:rFonts w:ascii="宋体" w:hAnsi="宋体" w:cs="宋体"/>
                <w:color w:val="auto"/>
                <w:szCs w:val="21"/>
              </w:rPr>
            </w:pPr>
          </w:p>
        </w:tc>
        <w:tc>
          <w:tcPr>
            <w:tcW w:w="1792" w:type="dxa"/>
            <w:vAlign w:val="center"/>
          </w:tcPr>
          <w:p>
            <w:pPr>
              <w:tabs>
                <w:tab w:val="left" w:pos="540"/>
                <w:tab w:val="left" w:pos="7740"/>
              </w:tabs>
              <w:adjustRightInd w:val="0"/>
              <w:snapToGrid w:val="0"/>
              <w:jc w:val="center"/>
              <w:rPr>
                <w:rFonts w:ascii="宋体" w:hAnsi="宋体" w:cs="宋体"/>
                <w:color w:val="auto"/>
                <w:szCs w:val="21"/>
              </w:rPr>
            </w:pPr>
          </w:p>
        </w:tc>
        <w:tc>
          <w:tcPr>
            <w:tcW w:w="1738" w:type="dxa"/>
            <w:vAlign w:val="center"/>
          </w:tcPr>
          <w:p>
            <w:pPr>
              <w:tabs>
                <w:tab w:val="left" w:pos="540"/>
                <w:tab w:val="left" w:pos="7740"/>
              </w:tabs>
              <w:adjustRightInd w:val="0"/>
              <w:snapToGrid w:val="0"/>
              <w:jc w:val="center"/>
              <w:rPr>
                <w:rFonts w:ascii="宋体" w:hAnsi="宋体" w:cs="宋体"/>
                <w:color w:val="auto"/>
                <w:szCs w:val="21"/>
              </w:rPr>
            </w:pPr>
          </w:p>
        </w:tc>
        <w:tc>
          <w:tcPr>
            <w:tcW w:w="1546" w:type="dxa"/>
            <w:vAlign w:val="center"/>
          </w:tcPr>
          <w:p>
            <w:pPr>
              <w:tabs>
                <w:tab w:val="left" w:pos="540"/>
                <w:tab w:val="left" w:pos="7740"/>
              </w:tabs>
              <w:adjustRightInd w:val="0"/>
              <w:snapToGrid w:val="0"/>
              <w:jc w:val="center"/>
              <w:rPr>
                <w:rFonts w:ascii="宋体" w:hAnsi="宋体" w:cs="宋体"/>
                <w:color w:val="auto"/>
                <w:szCs w:val="21"/>
              </w:rPr>
            </w:pPr>
          </w:p>
        </w:tc>
        <w:tc>
          <w:tcPr>
            <w:tcW w:w="1326" w:type="dxa"/>
            <w:vAlign w:val="center"/>
          </w:tcPr>
          <w:p>
            <w:pPr>
              <w:tabs>
                <w:tab w:val="left" w:pos="540"/>
                <w:tab w:val="left" w:pos="7740"/>
              </w:tabs>
              <w:adjustRightInd w:val="0"/>
              <w:snapToGrid w:val="0"/>
              <w:jc w:val="center"/>
              <w:rPr>
                <w:rFonts w:ascii="宋体" w:hAnsi="宋体" w:cs="宋体"/>
                <w:color w:val="auto"/>
                <w:szCs w:val="21"/>
              </w:rPr>
            </w:pPr>
          </w:p>
        </w:tc>
        <w:tc>
          <w:tcPr>
            <w:tcW w:w="1665" w:type="dxa"/>
            <w:tcBorders>
              <w:right w:val="single" w:color="auto" w:sz="12" w:space="0"/>
            </w:tcBorders>
            <w:vAlign w:val="center"/>
          </w:tcPr>
          <w:p>
            <w:pPr>
              <w:tabs>
                <w:tab w:val="left" w:pos="540"/>
                <w:tab w:val="left" w:pos="7740"/>
              </w:tabs>
              <w:adjustRightInd w:val="0"/>
              <w:snapToGrid w:val="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1074" w:type="dxa"/>
            <w:tcBorders>
              <w:left w:val="single" w:color="auto" w:sz="12" w:space="0"/>
              <w:bottom w:val="single" w:color="auto" w:sz="12" w:space="0"/>
            </w:tcBorders>
            <w:vAlign w:val="center"/>
          </w:tcPr>
          <w:p>
            <w:pPr>
              <w:tabs>
                <w:tab w:val="left" w:pos="540"/>
                <w:tab w:val="left" w:pos="7740"/>
              </w:tabs>
              <w:adjustRightInd w:val="0"/>
              <w:snapToGrid w:val="0"/>
              <w:jc w:val="center"/>
              <w:rPr>
                <w:rFonts w:ascii="宋体" w:hAnsi="宋体" w:cs="宋体"/>
                <w:color w:val="auto"/>
                <w:szCs w:val="21"/>
              </w:rPr>
            </w:pPr>
          </w:p>
        </w:tc>
        <w:tc>
          <w:tcPr>
            <w:tcW w:w="1792" w:type="dxa"/>
            <w:tcBorders>
              <w:bottom w:val="single" w:color="auto" w:sz="12" w:space="0"/>
            </w:tcBorders>
            <w:vAlign w:val="center"/>
          </w:tcPr>
          <w:p>
            <w:pPr>
              <w:tabs>
                <w:tab w:val="left" w:pos="540"/>
                <w:tab w:val="left" w:pos="7740"/>
              </w:tabs>
              <w:adjustRightInd w:val="0"/>
              <w:snapToGrid w:val="0"/>
              <w:jc w:val="center"/>
              <w:rPr>
                <w:rFonts w:ascii="宋体" w:hAnsi="宋体" w:cs="宋体"/>
                <w:color w:val="auto"/>
                <w:szCs w:val="21"/>
              </w:rPr>
            </w:pPr>
          </w:p>
        </w:tc>
        <w:tc>
          <w:tcPr>
            <w:tcW w:w="1738" w:type="dxa"/>
            <w:tcBorders>
              <w:bottom w:val="single" w:color="auto" w:sz="12" w:space="0"/>
            </w:tcBorders>
            <w:vAlign w:val="center"/>
          </w:tcPr>
          <w:p>
            <w:pPr>
              <w:tabs>
                <w:tab w:val="left" w:pos="540"/>
                <w:tab w:val="left" w:pos="7740"/>
              </w:tabs>
              <w:adjustRightInd w:val="0"/>
              <w:snapToGrid w:val="0"/>
              <w:jc w:val="center"/>
              <w:rPr>
                <w:rFonts w:ascii="宋体" w:hAnsi="宋体" w:cs="宋体"/>
                <w:color w:val="auto"/>
                <w:szCs w:val="21"/>
              </w:rPr>
            </w:pPr>
          </w:p>
        </w:tc>
        <w:tc>
          <w:tcPr>
            <w:tcW w:w="1546" w:type="dxa"/>
            <w:tcBorders>
              <w:bottom w:val="single" w:color="auto" w:sz="12" w:space="0"/>
            </w:tcBorders>
            <w:vAlign w:val="center"/>
          </w:tcPr>
          <w:p>
            <w:pPr>
              <w:tabs>
                <w:tab w:val="left" w:pos="540"/>
                <w:tab w:val="left" w:pos="7740"/>
              </w:tabs>
              <w:adjustRightInd w:val="0"/>
              <w:snapToGrid w:val="0"/>
              <w:jc w:val="center"/>
              <w:rPr>
                <w:rFonts w:ascii="宋体" w:hAnsi="宋体" w:cs="宋体"/>
                <w:color w:val="auto"/>
                <w:szCs w:val="21"/>
              </w:rPr>
            </w:pPr>
          </w:p>
        </w:tc>
        <w:tc>
          <w:tcPr>
            <w:tcW w:w="1326" w:type="dxa"/>
            <w:tcBorders>
              <w:bottom w:val="single" w:color="auto" w:sz="12" w:space="0"/>
            </w:tcBorders>
            <w:vAlign w:val="center"/>
          </w:tcPr>
          <w:p>
            <w:pPr>
              <w:tabs>
                <w:tab w:val="left" w:pos="540"/>
                <w:tab w:val="left" w:pos="7740"/>
              </w:tabs>
              <w:adjustRightInd w:val="0"/>
              <w:snapToGrid w:val="0"/>
              <w:jc w:val="center"/>
              <w:rPr>
                <w:rFonts w:ascii="宋体" w:hAnsi="宋体" w:cs="宋体"/>
                <w:color w:val="auto"/>
                <w:szCs w:val="21"/>
              </w:rPr>
            </w:pPr>
          </w:p>
        </w:tc>
        <w:tc>
          <w:tcPr>
            <w:tcW w:w="1665" w:type="dxa"/>
            <w:tcBorders>
              <w:bottom w:val="single" w:color="auto" w:sz="12" w:space="0"/>
              <w:right w:val="single" w:color="auto" w:sz="12" w:space="0"/>
            </w:tcBorders>
            <w:vAlign w:val="center"/>
          </w:tcPr>
          <w:p>
            <w:pPr>
              <w:tabs>
                <w:tab w:val="left" w:pos="540"/>
                <w:tab w:val="left" w:pos="7740"/>
              </w:tabs>
              <w:adjustRightInd w:val="0"/>
              <w:snapToGrid w:val="0"/>
              <w:jc w:val="center"/>
              <w:rPr>
                <w:rFonts w:ascii="宋体" w:hAnsi="宋体" w:cs="宋体"/>
                <w:color w:val="auto"/>
                <w:szCs w:val="21"/>
              </w:rPr>
            </w:pPr>
          </w:p>
        </w:tc>
      </w:tr>
    </w:tbl>
    <w:p>
      <w:pPr>
        <w:spacing w:line="360" w:lineRule="auto"/>
        <w:ind w:firstLine="315" w:firstLineChars="150"/>
        <w:rPr>
          <w:rFonts w:hAnsi="宋体"/>
          <w:color w:val="auto"/>
          <w:szCs w:val="21"/>
          <w:lang w:val="en-GB"/>
        </w:rPr>
      </w:pPr>
      <w:r>
        <w:rPr>
          <w:rFonts w:ascii="宋体" w:hAnsi="宋体" w:cs="Arial"/>
          <w:color w:val="auto"/>
          <w:szCs w:val="21"/>
        </w:rPr>
        <w:t>我/我们声明以上所述是正确无误的，您有权进行您认为必要的所有调查</w:t>
      </w:r>
      <w:r>
        <w:rPr>
          <w:rFonts w:hint="eastAsia" w:ascii="宋体" w:hAnsi="宋体" w:cs="Arial"/>
          <w:color w:val="auto"/>
          <w:szCs w:val="21"/>
        </w:rPr>
        <w:t>，</w:t>
      </w:r>
      <w:r>
        <w:rPr>
          <w:rFonts w:hint="eastAsia" w:hAnsi="宋体"/>
          <w:color w:val="auto"/>
          <w:szCs w:val="21"/>
          <w:lang w:val="en-GB"/>
        </w:rPr>
        <w:t>如以上数据有虚假，一经查实，自行承担相关责任。</w:t>
      </w:r>
    </w:p>
    <w:p>
      <w:pPr>
        <w:spacing w:line="500" w:lineRule="exact"/>
        <w:ind w:firstLine="109" w:firstLineChars="50"/>
        <w:rPr>
          <w:color w:val="auto"/>
          <w:spacing w:val="4"/>
        </w:rPr>
      </w:pPr>
    </w:p>
    <w:p>
      <w:pPr>
        <w:spacing w:line="500" w:lineRule="exact"/>
        <w:ind w:firstLine="109" w:firstLineChars="50"/>
        <w:rPr>
          <w:rFonts w:ascii="宋体" w:hAnsi="宋体"/>
          <w:color w:val="auto"/>
          <w:u w:val="single"/>
        </w:rPr>
      </w:pPr>
      <w:r>
        <w:rPr>
          <w:rFonts w:hint="eastAsia"/>
          <w:color w:val="auto"/>
          <w:spacing w:val="4"/>
        </w:rPr>
        <w:t>投标人名称（</w:t>
      </w:r>
      <w:r>
        <w:rPr>
          <w:rFonts w:hint="eastAsia" w:ascii="宋体" w:hAnsi="宋体"/>
          <w:color w:val="auto"/>
        </w:rPr>
        <w:t>单位盖</w:t>
      </w:r>
      <w:r>
        <w:rPr>
          <w:rFonts w:hint="eastAsia"/>
          <w:color w:val="auto"/>
          <w:spacing w:val="4"/>
        </w:rPr>
        <w:t>公章）：</w:t>
      </w:r>
    </w:p>
    <w:p>
      <w:pPr>
        <w:spacing w:line="440" w:lineRule="exact"/>
        <w:ind w:firstLine="109" w:firstLineChars="50"/>
        <w:rPr>
          <w:rFonts w:ascii="Arial" w:hAnsi="Arial" w:eastAsia="黑体"/>
          <w:bCs/>
          <w:color w:val="auto"/>
          <w:sz w:val="32"/>
          <w:szCs w:val="32"/>
          <w:lang w:val="zh-CN"/>
        </w:rPr>
      </w:pPr>
      <w:r>
        <w:rPr>
          <w:rFonts w:hint="eastAsia"/>
          <w:color w:val="auto"/>
          <w:spacing w:val="4"/>
        </w:rPr>
        <w:t>日期：</w:t>
      </w:r>
    </w:p>
    <w:p>
      <w:pPr>
        <w:pStyle w:val="4"/>
        <w:adjustRightInd w:val="0"/>
        <w:snapToGrid w:val="0"/>
        <w:spacing w:beforeLines="50" w:afterLines="50" w:line="360" w:lineRule="auto"/>
        <w:jc w:val="center"/>
        <w:rPr>
          <w:b w:val="0"/>
          <w:color w:val="auto"/>
        </w:rPr>
        <w:sectPr>
          <w:pgSz w:w="11906" w:h="16838"/>
          <w:pgMar w:top="1440" w:right="1286" w:bottom="1440" w:left="1440" w:header="851" w:footer="992" w:gutter="0"/>
          <w:cols w:space="425" w:num="1"/>
          <w:docGrid w:type="lines" w:linePitch="312" w:charSpace="0"/>
        </w:sectPr>
      </w:pPr>
      <w:bookmarkStart w:id="89" w:name="_Toc50737301"/>
      <w:bookmarkStart w:id="90" w:name="_Toc50691044"/>
      <w:bookmarkStart w:id="91" w:name="_Toc50736481"/>
      <w:bookmarkStart w:id="92" w:name="_Toc435515310"/>
      <w:bookmarkStart w:id="93" w:name="_Toc435514870"/>
      <w:bookmarkStart w:id="94" w:name="_Toc275865617"/>
      <w:bookmarkStart w:id="95" w:name="_Toc52165085"/>
      <w:bookmarkStart w:id="96" w:name="_Toc50737333"/>
    </w:p>
    <w:bookmarkEnd w:id="88"/>
    <w:bookmarkEnd w:id="89"/>
    <w:bookmarkEnd w:id="90"/>
    <w:bookmarkEnd w:id="91"/>
    <w:bookmarkEnd w:id="92"/>
    <w:bookmarkEnd w:id="93"/>
    <w:bookmarkEnd w:id="94"/>
    <w:bookmarkEnd w:id="95"/>
    <w:bookmarkEnd w:id="96"/>
    <w:p>
      <w:pPr>
        <w:pStyle w:val="4"/>
        <w:adjustRightInd w:val="0"/>
        <w:snapToGrid w:val="0"/>
        <w:spacing w:beforeLines="50" w:afterLines="50" w:line="360" w:lineRule="auto"/>
        <w:jc w:val="center"/>
        <w:rPr>
          <w:b w:val="0"/>
          <w:color w:val="auto"/>
        </w:rPr>
      </w:pPr>
      <w:r>
        <w:rPr>
          <w:rFonts w:hint="eastAsia"/>
          <w:b w:val="0"/>
          <w:color w:val="auto"/>
        </w:rPr>
        <w:t>同类项目情况一览表</w:t>
      </w:r>
    </w:p>
    <w:p>
      <w:pPr>
        <w:tabs>
          <w:tab w:val="left" w:pos="7740"/>
        </w:tabs>
        <w:adjustRightInd w:val="0"/>
        <w:snapToGrid w:val="0"/>
        <w:spacing w:line="360" w:lineRule="auto"/>
        <w:rPr>
          <w:rFonts w:ascii="宋体" w:hAnsi="宋体"/>
          <w:color w:val="auto"/>
        </w:rPr>
      </w:pPr>
      <w:r>
        <w:rPr>
          <w:rFonts w:hint="eastAsia" w:ascii="宋体" w:hAnsi="宋体"/>
          <w:color w:val="auto"/>
        </w:rPr>
        <w:t>项目名称：珠江街2021年粤港深度合作区（启动区）临时排水设施日常运行管养项目</w:t>
      </w:r>
    </w:p>
    <w:p>
      <w:pPr>
        <w:tabs>
          <w:tab w:val="left" w:pos="7740"/>
        </w:tabs>
        <w:adjustRightInd w:val="0"/>
        <w:snapToGrid w:val="0"/>
        <w:spacing w:line="360" w:lineRule="auto"/>
        <w:rPr>
          <w:rFonts w:ascii="宋体" w:hAnsi="宋体"/>
          <w:color w:val="auto"/>
        </w:rPr>
      </w:pPr>
      <w:r>
        <w:rPr>
          <w:rFonts w:hint="eastAsia" w:ascii="宋体" w:hAnsi="宋体"/>
          <w:color w:val="auto"/>
        </w:rPr>
        <w:t>项目编号：GZGX21GZ00QY-45</w:t>
      </w:r>
    </w:p>
    <w:tbl>
      <w:tblPr>
        <w:tblStyle w:val="44"/>
        <w:tblW w:w="939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67"/>
        <w:gridCol w:w="1082"/>
        <w:gridCol w:w="1225"/>
        <w:gridCol w:w="1210"/>
        <w:gridCol w:w="1366"/>
        <w:gridCol w:w="1208"/>
        <w:gridCol w:w="1257"/>
        <w:gridCol w:w="13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jc w:val="center"/>
        </w:trPr>
        <w:tc>
          <w:tcPr>
            <w:tcW w:w="667" w:type="dxa"/>
            <w:tcBorders>
              <w:tl2br w:val="nil"/>
              <w:tr2bl w:val="nil"/>
            </w:tcBorders>
            <w:shd w:val="clear" w:color="auto" w:fill="auto"/>
            <w:vAlign w:val="center"/>
          </w:tcPr>
          <w:p>
            <w:pPr>
              <w:adjustRightInd w:val="0"/>
              <w:snapToGrid w:val="0"/>
              <w:ind w:left="-84" w:leftChars="-40" w:right="-107" w:rightChars="-51"/>
              <w:jc w:val="center"/>
              <w:rPr>
                <w:rFonts w:ascii="宋体" w:hAnsi="宋体"/>
                <w:b/>
                <w:color w:val="auto"/>
                <w:szCs w:val="21"/>
              </w:rPr>
            </w:pPr>
            <w:r>
              <w:rPr>
                <w:rFonts w:hint="eastAsia" w:ascii="宋体" w:hAnsi="宋体"/>
                <w:b/>
                <w:color w:val="auto"/>
                <w:szCs w:val="21"/>
              </w:rPr>
              <w:t>序号</w:t>
            </w:r>
          </w:p>
        </w:tc>
        <w:tc>
          <w:tcPr>
            <w:tcW w:w="1082" w:type="dxa"/>
            <w:tcBorders>
              <w:tl2br w:val="nil"/>
              <w:tr2bl w:val="nil"/>
            </w:tcBorders>
            <w:shd w:val="clear" w:color="auto" w:fill="auto"/>
            <w:vAlign w:val="center"/>
          </w:tcPr>
          <w:p>
            <w:pPr>
              <w:adjustRightInd w:val="0"/>
              <w:snapToGrid w:val="0"/>
              <w:ind w:left="-84" w:leftChars="-40" w:right="-107" w:rightChars="-51"/>
              <w:jc w:val="center"/>
              <w:rPr>
                <w:rFonts w:ascii="宋体" w:hAnsi="宋体"/>
                <w:b/>
                <w:color w:val="auto"/>
                <w:szCs w:val="21"/>
              </w:rPr>
            </w:pPr>
            <w:r>
              <w:rPr>
                <w:rFonts w:hint="eastAsia" w:ascii="宋体" w:hAnsi="宋体"/>
                <w:b/>
                <w:color w:val="auto"/>
                <w:szCs w:val="21"/>
              </w:rPr>
              <w:t>用户/业主名称</w:t>
            </w:r>
          </w:p>
        </w:tc>
        <w:tc>
          <w:tcPr>
            <w:tcW w:w="1225" w:type="dxa"/>
            <w:tcBorders>
              <w:tl2br w:val="nil"/>
              <w:tr2bl w:val="nil"/>
            </w:tcBorders>
            <w:shd w:val="clear" w:color="auto" w:fill="auto"/>
            <w:vAlign w:val="center"/>
          </w:tcPr>
          <w:p>
            <w:pPr>
              <w:adjustRightInd w:val="0"/>
              <w:snapToGrid w:val="0"/>
              <w:ind w:left="-84" w:leftChars="-40" w:right="-107" w:rightChars="-51"/>
              <w:jc w:val="center"/>
              <w:rPr>
                <w:rFonts w:ascii="宋体" w:hAnsi="宋体"/>
                <w:b/>
                <w:color w:val="auto"/>
                <w:szCs w:val="21"/>
              </w:rPr>
            </w:pPr>
            <w:r>
              <w:rPr>
                <w:rFonts w:hint="eastAsia" w:ascii="宋体" w:hAnsi="宋体"/>
                <w:b/>
                <w:color w:val="auto"/>
                <w:szCs w:val="21"/>
              </w:rPr>
              <w:t>项目名称</w:t>
            </w:r>
          </w:p>
        </w:tc>
        <w:tc>
          <w:tcPr>
            <w:tcW w:w="1210" w:type="dxa"/>
            <w:tcBorders>
              <w:tl2br w:val="nil"/>
              <w:tr2bl w:val="nil"/>
            </w:tcBorders>
            <w:shd w:val="clear" w:color="auto" w:fill="auto"/>
            <w:vAlign w:val="center"/>
          </w:tcPr>
          <w:p>
            <w:pPr>
              <w:adjustRightInd w:val="0"/>
              <w:snapToGrid w:val="0"/>
              <w:ind w:left="-84" w:leftChars="-40" w:right="-107" w:rightChars="-51"/>
              <w:jc w:val="center"/>
              <w:rPr>
                <w:rFonts w:ascii="宋体" w:hAnsi="宋体"/>
                <w:b/>
                <w:color w:val="auto"/>
                <w:szCs w:val="21"/>
              </w:rPr>
            </w:pPr>
            <w:r>
              <w:rPr>
                <w:rFonts w:hint="eastAsia" w:ascii="宋体" w:hAnsi="宋体"/>
                <w:b/>
                <w:color w:val="auto"/>
                <w:szCs w:val="21"/>
              </w:rPr>
              <w:t>合同总价</w:t>
            </w:r>
          </w:p>
        </w:tc>
        <w:tc>
          <w:tcPr>
            <w:tcW w:w="1366" w:type="dxa"/>
            <w:tcBorders>
              <w:tl2br w:val="nil"/>
              <w:tr2bl w:val="nil"/>
            </w:tcBorders>
            <w:shd w:val="clear" w:color="auto" w:fill="auto"/>
            <w:vAlign w:val="center"/>
          </w:tcPr>
          <w:p>
            <w:pPr>
              <w:adjustRightInd w:val="0"/>
              <w:snapToGrid w:val="0"/>
              <w:ind w:left="-84" w:leftChars="-40" w:right="-107" w:rightChars="-51"/>
              <w:jc w:val="center"/>
              <w:rPr>
                <w:rFonts w:ascii="宋体" w:hAnsi="宋体"/>
                <w:b/>
                <w:color w:val="auto"/>
                <w:szCs w:val="21"/>
              </w:rPr>
            </w:pPr>
            <w:r>
              <w:rPr>
                <w:rFonts w:hint="eastAsia" w:ascii="宋体" w:hAnsi="宋体"/>
                <w:b/>
                <w:color w:val="auto"/>
                <w:szCs w:val="21"/>
              </w:rPr>
              <w:t>签订时间</w:t>
            </w:r>
          </w:p>
        </w:tc>
        <w:tc>
          <w:tcPr>
            <w:tcW w:w="1208" w:type="dxa"/>
            <w:tcBorders>
              <w:tl2br w:val="nil"/>
              <w:tr2bl w:val="nil"/>
            </w:tcBorders>
            <w:shd w:val="clear" w:color="auto" w:fill="auto"/>
            <w:vAlign w:val="center"/>
          </w:tcPr>
          <w:p>
            <w:pPr>
              <w:adjustRightInd w:val="0"/>
              <w:snapToGrid w:val="0"/>
              <w:ind w:left="-84" w:leftChars="-40" w:right="-107" w:rightChars="-51"/>
              <w:jc w:val="center"/>
              <w:rPr>
                <w:rFonts w:ascii="宋体" w:hAnsi="宋体"/>
                <w:b/>
                <w:color w:val="auto"/>
                <w:szCs w:val="21"/>
              </w:rPr>
            </w:pPr>
            <w:r>
              <w:rPr>
                <w:rFonts w:hint="eastAsia" w:ascii="宋体" w:hAnsi="宋体"/>
                <w:b/>
                <w:color w:val="auto"/>
                <w:szCs w:val="21"/>
              </w:rPr>
              <w:t>完成时间</w:t>
            </w:r>
          </w:p>
        </w:tc>
        <w:tc>
          <w:tcPr>
            <w:tcW w:w="1257" w:type="dxa"/>
            <w:tcBorders>
              <w:tl2br w:val="nil"/>
              <w:tr2bl w:val="nil"/>
            </w:tcBorders>
            <w:shd w:val="clear" w:color="auto" w:fill="auto"/>
            <w:vAlign w:val="center"/>
          </w:tcPr>
          <w:p>
            <w:pPr>
              <w:adjustRightInd w:val="0"/>
              <w:snapToGrid w:val="0"/>
              <w:ind w:left="-84" w:leftChars="-40" w:right="-107" w:rightChars="-51"/>
              <w:jc w:val="center"/>
              <w:rPr>
                <w:rFonts w:ascii="宋体" w:hAnsi="宋体"/>
                <w:b/>
                <w:color w:val="auto"/>
                <w:szCs w:val="21"/>
              </w:rPr>
            </w:pPr>
            <w:r>
              <w:rPr>
                <w:rFonts w:hint="eastAsia" w:ascii="宋体" w:hAnsi="宋体"/>
                <w:b/>
                <w:color w:val="auto"/>
                <w:szCs w:val="21"/>
              </w:rPr>
              <w:t>用户/业主联系人及电话</w:t>
            </w:r>
          </w:p>
        </w:tc>
        <w:tc>
          <w:tcPr>
            <w:tcW w:w="1375" w:type="dxa"/>
            <w:tcBorders>
              <w:tl2br w:val="nil"/>
              <w:tr2bl w:val="nil"/>
            </w:tcBorders>
            <w:shd w:val="clear" w:color="auto" w:fill="auto"/>
            <w:vAlign w:val="center"/>
          </w:tcPr>
          <w:p>
            <w:pPr>
              <w:adjustRightInd w:val="0"/>
              <w:snapToGrid w:val="0"/>
              <w:ind w:left="-84" w:leftChars="-40" w:right="-107" w:rightChars="-51"/>
              <w:jc w:val="center"/>
              <w:rPr>
                <w:rFonts w:ascii="宋体" w:hAnsi="宋体"/>
                <w:b/>
                <w:color w:val="auto"/>
                <w:szCs w:val="21"/>
              </w:rPr>
            </w:pPr>
            <w:r>
              <w:rPr>
                <w:rFonts w:hint="eastAsia" w:ascii="宋体" w:hAnsi="宋体"/>
                <w:b/>
                <w:color w:val="auto"/>
                <w:szCs w:val="21"/>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667" w:type="dxa"/>
            <w:tcBorders>
              <w:tl2br w:val="nil"/>
              <w:tr2bl w:val="nil"/>
            </w:tcBorders>
            <w:shd w:val="clear" w:color="auto" w:fill="auto"/>
            <w:vAlign w:val="center"/>
          </w:tcPr>
          <w:p>
            <w:pPr>
              <w:numPr>
                <w:ilvl w:val="0"/>
                <w:numId w:val="36"/>
              </w:numPr>
              <w:spacing w:line="400" w:lineRule="exact"/>
              <w:jc w:val="center"/>
              <w:rPr>
                <w:rFonts w:ascii="宋体" w:hAnsi="宋体"/>
                <w:color w:val="auto"/>
                <w:szCs w:val="21"/>
              </w:rPr>
            </w:pPr>
          </w:p>
        </w:tc>
        <w:tc>
          <w:tcPr>
            <w:tcW w:w="1082" w:type="dxa"/>
            <w:tcBorders>
              <w:tl2br w:val="nil"/>
              <w:tr2bl w:val="nil"/>
            </w:tcBorders>
            <w:shd w:val="clear" w:color="auto" w:fill="auto"/>
            <w:vAlign w:val="center"/>
          </w:tcPr>
          <w:p>
            <w:pPr>
              <w:spacing w:line="400" w:lineRule="exact"/>
              <w:jc w:val="center"/>
              <w:rPr>
                <w:rFonts w:ascii="宋体" w:hAnsi="宋体"/>
                <w:color w:val="auto"/>
                <w:szCs w:val="21"/>
              </w:rPr>
            </w:pPr>
          </w:p>
        </w:tc>
        <w:tc>
          <w:tcPr>
            <w:tcW w:w="1225" w:type="dxa"/>
            <w:tcBorders>
              <w:tl2br w:val="nil"/>
              <w:tr2bl w:val="nil"/>
            </w:tcBorders>
            <w:shd w:val="clear" w:color="auto" w:fill="auto"/>
            <w:vAlign w:val="center"/>
          </w:tcPr>
          <w:p>
            <w:pPr>
              <w:spacing w:line="400" w:lineRule="exact"/>
              <w:jc w:val="center"/>
              <w:rPr>
                <w:rFonts w:ascii="宋体" w:hAnsi="宋体"/>
                <w:color w:val="auto"/>
                <w:szCs w:val="21"/>
              </w:rPr>
            </w:pPr>
          </w:p>
        </w:tc>
        <w:tc>
          <w:tcPr>
            <w:tcW w:w="1210" w:type="dxa"/>
            <w:tcBorders>
              <w:tl2br w:val="nil"/>
              <w:tr2bl w:val="nil"/>
            </w:tcBorders>
            <w:shd w:val="clear" w:color="auto" w:fill="auto"/>
            <w:vAlign w:val="center"/>
          </w:tcPr>
          <w:p>
            <w:pPr>
              <w:spacing w:line="400" w:lineRule="exact"/>
              <w:jc w:val="center"/>
              <w:rPr>
                <w:rFonts w:ascii="宋体" w:hAnsi="宋体"/>
                <w:color w:val="auto"/>
                <w:szCs w:val="21"/>
              </w:rPr>
            </w:pPr>
          </w:p>
        </w:tc>
        <w:tc>
          <w:tcPr>
            <w:tcW w:w="1366" w:type="dxa"/>
            <w:tcBorders>
              <w:tl2br w:val="nil"/>
              <w:tr2bl w:val="nil"/>
            </w:tcBorders>
            <w:shd w:val="clear" w:color="auto" w:fill="auto"/>
            <w:vAlign w:val="center"/>
          </w:tcPr>
          <w:p>
            <w:pPr>
              <w:spacing w:line="400" w:lineRule="exact"/>
              <w:jc w:val="center"/>
              <w:rPr>
                <w:rFonts w:ascii="宋体" w:hAnsi="宋体"/>
                <w:color w:val="auto"/>
                <w:szCs w:val="21"/>
              </w:rPr>
            </w:pPr>
          </w:p>
        </w:tc>
        <w:tc>
          <w:tcPr>
            <w:tcW w:w="1208" w:type="dxa"/>
            <w:tcBorders>
              <w:tl2br w:val="nil"/>
              <w:tr2bl w:val="nil"/>
            </w:tcBorders>
            <w:shd w:val="clear" w:color="auto" w:fill="auto"/>
            <w:vAlign w:val="center"/>
          </w:tcPr>
          <w:p>
            <w:pPr>
              <w:spacing w:line="400" w:lineRule="exact"/>
              <w:jc w:val="center"/>
              <w:rPr>
                <w:rFonts w:ascii="宋体" w:hAnsi="宋体"/>
                <w:color w:val="auto"/>
                <w:szCs w:val="21"/>
              </w:rPr>
            </w:pPr>
          </w:p>
        </w:tc>
        <w:tc>
          <w:tcPr>
            <w:tcW w:w="1257" w:type="dxa"/>
            <w:tcBorders>
              <w:tl2br w:val="nil"/>
              <w:tr2bl w:val="nil"/>
            </w:tcBorders>
            <w:shd w:val="clear" w:color="auto" w:fill="auto"/>
            <w:vAlign w:val="center"/>
          </w:tcPr>
          <w:p>
            <w:pPr>
              <w:spacing w:line="400" w:lineRule="exact"/>
              <w:jc w:val="center"/>
              <w:rPr>
                <w:rFonts w:ascii="宋体" w:hAnsi="宋体"/>
                <w:color w:val="auto"/>
                <w:szCs w:val="21"/>
              </w:rPr>
            </w:pPr>
          </w:p>
        </w:tc>
        <w:tc>
          <w:tcPr>
            <w:tcW w:w="1375" w:type="dxa"/>
            <w:tcBorders>
              <w:tl2br w:val="nil"/>
              <w:tr2bl w:val="nil"/>
            </w:tcBorders>
            <w:shd w:val="clear" w:color="auto" w:fill="auto"/>
            <w:vAlign w:val="center"/>
          </w:tcPr>
          <w:p>
            <w:pPr>
              <w:spacing w:line="400" w:lineRule="exact"/>
              <w:jc w:val="center"/>
              <w:rPr>
                <w:rFonts w:ascii="宋体" w:hAnsi="宋体"/>
                <w:color w:val="auto"/>
                <w:szCs w:val="21"/>
              </w:rPr>
            </w:pPr>
            <w:r>
              <w:rPr>
                <w:rFonts w:hint="eastAsia" w:ascii="宋体" w:hAnsi="宋体" w:cs="宋体"/>
                <w:color w:val="auto"/>
                <w:szCs w:val="21"/>
              </w:rPr>
              <w:t>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667" w:type="dxa"/>
            <w:tcBorders>
              <w:tl2br w:val="nil"/>
              <w:tr2bl w:val="nil"/>
            </w:tcBorders>
            <w:shd w:val="clear" w:color="auto" w:fill="auto"/>
            <w:vAlign w:val="center"/>
          </w:tcPr>
          <w:p>
            <w:pPr>
              <w:numPr>
                <w:ilvl w:val="0"/>
                <w:numId w:val="36"/>
              </w:numPr>
              <w:spacing w:line="400" w:lineRule="exact"/>
              <w:jc w:val="center"/>
              <w:rPr>
                <w:rFonts w:ascii="宋体" w:hAnsi="宋体"/>
                <w:color w:val="auto"/>
                <w:szCs w:val="21"/>
              </w:rPr>
            </w:pPr>
          </w:p>
        </w:tc>
        <w:tc>
          <w:tcPr>
            <w:tcW w:w="1082" w:type="dxa"/>
            <w:tcBorders>
              <w:tl2br w:val="nil"/>
              <w:tr2bl w:val="nil"/>
            </w:tcBorders>
            <w:shd w:val="clear" w:color="auto" w:fill="auto"/>
            <w:vAlign w:val="center"/>
          </w:tcPr>
          <w:p>
            <w:pPr>
              <w:spacing w:line="400" w:lineRule="exact"/>
              <w:jc w:val="center"/>
              <w:rPr>
                <w:rFonts w:ascii="宋体" w:hAnsi="宋体"/>
                <w:color w:val="auto"/>
                <w:szCs w:val="21"/>
              </w:rPr>
            </w:pPr>
          </w:p>
        </w:tc>
        <w:tc>
          <w:tcPr>
            <w:tcW w:w="1225" w:type="dxa"/>
            <w:tcBorders>
              <w:tl2br w:val="nil"/>
              <w:tr2bl w:val="nil"/>
            </w:tcBorders>
            <w:shd w:val="clear" w:color="auto" w:fill="auto"/>
            <w:vAlign w:val="center"/>
          </w:tcPr>
          <w:p>
            <w:pPr>
              <w:spacing w:line="400" w:lineRule="exact"/>
              <w:jc w:val="center"/>
              <w:rPr>
                <w:rFonts w:ascii="宋体" w:hAnsi="宋体"/>
                <w:color w:val="auto"/>
                <w:szCs w:val="21"/>
              </w:rPr>
            </w:pPr>
          </w:p>
        </w:tc>
        <w:tc>
          <w:tcPr>
            <w:tcW w:w="1210" w:type="dxa"/>
            <w:tcBorders>
              <w:tl2br w:val="nil"/>
              <w:tr2bl w:val="nil"/>
            </w:tcBorders>
            <w:shd w:val="clear" w:color="auto" w:fill="auto"/>
            <w:vAlign w:val="center"/>
          </w:tcPr>
          <w:p>
            <w:pPr>
              <w:spacing w:line="400" w:lineRule="exact"/>
              <w:jc w:val="center"/>
              <w:rPr>
                <w:rFonts w:ascii="宋体" w:hAnsi="宋体"/>
                <w:color w:val="auto"/>
                <w:szCs w:val="21"/>
              </w:rPr>
            </w:pPr>
          </w:p>
        </w:tc>
        <w:tc>
          <w:tcPr>
            <w:tcW w:w="1366" w:type="dxa"/>
            <w:tcBorders>
              <w:tl2br w:val="nil"/>
              <w:tr2bl w:val="nil"/>
            </w:tcBorders>
            <w:shd w:val="clear" w:color="auto" w:fill="auto"/>
            <w:vAlign w:val="center"/>
          </w:tcPr>
          <w:p>
            <w:pPr>
              <w:spacing w:line="400" w:lineRule="exact"/>
              <w:jc w:val="center"/>
              <w:rPr>
                <w:rFonts w:ascii="宋体" w:hAnsi="宋体"/>
                <w:color w:val="auto"/>
                <w:szCs w:val="21"/>
              </w:rPr>
            </w:pPr>
          </w:p>
        </w:tc>
        <w:tc>
          <w:tcPr>
            <w:tcW w:w="1208" w:type="dxa"/>
            <w:tcBorders>
              <w:tl2br w:val="nil"/>
              <w:tr2bl w:val="nil"/>
            </w:tcBorders>
            <w:shd w:val="clear" w:color="auto" w:fill="auto"/>
            <w:vAlign w:val="center"/>
          </w:tcPr>
          <w:p>
            <w:pPr>
              <w:spacing w:line="400" w:lineRule="exact"/>
              <w:jc w:val="center"/>
              <w:rPr>
                <w:rFonts w:ascii="宋体" w:hAnsi="宋体"/>
                <w:color w:val="auto"/>
                <w:szCs w:val="21"/>
              </w:rPr>
            </w:pPr>
          </w:p>
        </w:tc>
        <w:tc>
          <w:tcPr>
            <w:tcW w:w="1257" w:type="dxa"/>
            <w:tcBorders>
              <w:tl2br w:val="nil"/>
              <w:tr2bl w:val="nil"/>
            </w:tcBorders>
            <w:shd w:val="clear" w:color="auto" w:fill="auto"/>
            <w:vAlign w:val="center"/>
          </w:tcPr>
          <w:p>
            <w:pPr>
              <w:spacing w:line="400" w:lineRule="exact"/>
              <w:jc w:val="center"/>
              <w:rPr>
                <w:rFonts w:ascii="宋体" w:hAnsi="宋体"/>
                <w:color w:val="auto"/>
                <w:szCs w:val="21"/>
              </w:rPr>
            </w:pPr>
          </w:p>
        </w:tc>
        <w:tc>
          <w:tcPr>
            <w:tcW w:w="1375" w:type="dxa"/>
            <w:tcBorders>
              <w:tl2br w:val="nil"/>
              <w:tr2bl w:val="nil"/>
            </w:tcBorders>
            <w:shd w:val="clear" w:color="auto" w:fill="auto"/>
            <w:vAlign w:val="center"/>
          </w:tcPr>
          <w:p>
            <w:pPr>
              <w:spacing w:line="400" w:lineRule="exact"/>
              <w:jc w:val="center"/>
              <w:rPr>
                <w:rFonts w:ascii="宋体" w:hAnsi="宋体"/>
                <w:color w:val="auto"/>
                <w:szCs w:val="21"/>
              </w:rPr>
            </w:pPr>
            <w:r>
              <w:rPr>
                <w:rFonts w:hint="eastAsia" w:ascii="宋体" w:hAnsi="宋体" w:cs="宋体"/>
                <w:color w:val="auto"/>
                <w:szCs w:val="21"/>
              </w:rPr>
              <w:t>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667" w:type="dxa"/>
            <w:tcBorders>
              <w:tl2br w:val="nil"/>
              <w:tr2bl w:val="nil"/>
            </w:tcBorders>
            <w:shd w:val="clear" w:color="auto" w:fill="auto"/>
            <w:vAlign w:val="center"/>
          </w:tcPr>
          <w:p>
            <w:pPr>
              <w:numPr>
                <w:ilvl w:val="0"/>
                <w:numId w:val="36"/>
              </w:numPr>
              <w:spacing w:line="400" w:lineRule="exact"/>
              <w:jc w:val="center"/>
              <w:rPr>
                <w:rFonts w:ascii="宋体" w:hAnsi="宋体"/>
                <w:color w:val="auto"/>
                <w:szCs w:val="21"/>
              </w:rPr>
            </w:pPr>
          </w:p>
        </w:tc>
        <w:tc>
          <w:tcPr>
            <w:tcW w:w="1082" w:type="dxa"/>
            <w:tcBorders>
              <w:tl2br w:val="nil"/>
              <w:tr2bl w:val="nil"/>
            </w:tcBorders>
            <w:shd w:val="clear" w:color="auto" w:fill="auto"/>
            <w:vAlign w:val="center"/>
          </w:tcPr>
          <w:p>
            <w:pPr>
              <w:spacing w:line="400" w:lineRule="exact"/>
              <w:jc w:val="center"/>
              <w:rPr>
                <w:rFonts w:ascii="宋体" w:hAnsi="宋体"/>
                <w:color w:val="auto"/>
                <w:szCs w:val="21"/>
              </w:rPr>
            </w:pPr>
          </w:p>
        </w:tc>
        <w:tc>
          <w:tcPr>
            <w:tcW w:w="1225" w:type="dxa"/>
            <w:tcBorders>
              <w:tl2br w:val="nil"/>
              <w:tr2bl w:val="nil"/>
            </w:tcBorders>
            <w:shd w:val="clear" w:color="auto" w:fill="auto"/>
            <w:vAlign w:val="center"/>
          </w:tcPr>
          <w:p>
            <w:pPr>
              <w:spacing w:line="400" w:lineRule="exact"/>
              <w:jc w:val="center"/>
              <w:rPr>
                <w:rFonts w:ascii="宋体" w:hAnsi="宋体"/>
                <w:color w:val="auto"/>
                <w:szCs w:val="21"/>
              </w:rPr>
            </w:pPr>
          </w:p>
        </w:tc>
        <w:tc>
          <w:tcPr>
            <w:tcW w:w="1210" w:type="dxa"/>
            <w:tcBorders>
              <w:tl2br w:val="nil"/>
              <w:tr2bl w:val="nil"/>
            </w:tcBorders>
            <w:shd w:val="clear" w:color="auto" w:fill="auto"/>
            <w:vAlign w:val="center"/>
          </w:tcPr>
          <w:p>
            <w:pPr>
              <w:spacing w:line="400" w:lineRule="exact"/>
              <w:jc w:val="center"/>
              <w:rPr>
                <w:rFonts w:ascii="宋体" w:hAnsi="宋体"/>
                <w:color w:val="auto"/>
                <w:szCs w:val="21"/>
              </w:rPr>
            </w:pPr>
          </w:p>
        </w:tc>
        <w:tc>
          <w:tcPr>
            <w:tcW w:w="1366" w:type="dxa"/>
            <w:tcBorders>
              <w:tl2br w:val="nil"/>
              <w:tr2bl w:val="nil"/>
            </w:tcBorders>
            <w:shd w:val="clear" w:color="auto" w:fill="auto"/>
            <w:vAlign w:val="center"/>
          </w:tcPr>
          <w:p>
            <w:pPr>
              <w:spacing w:line="400" w:lineRule="exact"/>
              <w:jc w:val="center"/>
              <w:rPr>
                <w:rFonts w:ascii="宋体" w:hAnsi="宋体"/>
                <w:color w:val="auto"/>
                <w:szCs w:val="21"/>
              </w:rPr>
            </w:pPr>
          </w:p>
        </w:tc>
        <w:tc>
          <w:tcPr>
            <w:tcW w:w="1208" w:type="dxa"/>
            <w:tcBorders>
              <w:tl2br w:val="nil"/>
              <w:tr2bl w:val="nil"/>
            </w:tcBorders>
            <w:shd w:val="clear" w:color="auto" w:fill="auto"/>
            <w:vAlign w:val="center"/>
          </w:tcPr>
          <w:p>
            <w:pPr>
              <w:spacing w:line="400" w:lineRule="exact"/>
              <w:jc w:val="center"/>
              <w:rPr>
                <w:rFonts w:ascii="宋体" w:hAnsi="宋体"/>
                <w:color w:val="auto"/>
                <w:szCs w:val="21"/>
              </w:rPr>
            </w:pPr>
          </w:p>
        </w:tc>
        <w:tc>
          <w:tcPr>
            <w:tcW w:w="1257" w:type="dxa"/>
            <w:tcBorders>
              <w:tl2br w:val="nil"/>
              <w:tr2bl w:val="nil"/>
            </w:tcBorders>
            <w:shd w:val="clear" w:color="auto" w:fill="auto"/>
            <w:vAlign w:val="center"/>
          </w:tcPr>
          <w:p>
            <w:pPr>
              <w:spacing w:line="400" w:lineRule="exact"/>
              <w:jc w:val="center"/>
              <w:rPr>
                <w:rFonts w:ascii="宋体" w:hAnsi="宋体"/>
                <w:color w:val="auto"/>
                <w:szCs w:val="21"/>
              </w:rPr>
            </w:pPr>
          </w:p>
        </w:tc>
        <w:tc>
          <w:tcPr>
            <w:tcW w:w="1375" w:type="dxa"/>
            <w:tcBorders>
              <w:tl2br w:val="nil"/>
              <w:tr2bl w:val="nil"/>
            </w:tcBorders>
            <w:shd w:val="clear" w:color="auto" w:fill="auto"/>
            <w:vAlign w:val="center"/>
          </w:tcPr>
          <w:p>
            <w:pPr>
              <w:spacing w:line="400" w:lineRule="exact"/>
              <w:jc w:val="center"/>
              <w:rPr>
                <w:rFonts w:ascii="宋体" w:hAnsi="宋体"/>
                <w:color w:val="auto"/>
                <w:szCs w:val="21"/>
              </w:rPr>
            </w:pPr>
            <w:r>
              <w:rPr>
                <w:rFonts w:hint="eastAsia" w:ascii="宋体" w:hAnsi="宋体" w:cs="宋体"/>
                <w:color w:val="auto"/>
                <w:szCs w:val="21"/>
              </w:rPr>
              <w:t>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667" w:type="dxa"/>
            <w:tcBorders>
              <w:tl2br w:val="nil"/>
              <w:tr2bl w:val="nil"/>
            </w:tcBorders>
            <w:shd w:val="clear" w:color="auto" w:fill="auto"/>
            <w:vAlign w:val="center"/>
          </w:tcPr>
          <w:p>
            <w:pPr>
              <w:numPr>
                <w:ilvl w:val="0"/>
                <w:numId w:val="36"/>
              </w:numPr>
              <w:spacing w:line="400" w:lineRule="exact"/>
              <w:jc w:val="center"/>
              <w:rPr>
                <w:rFonts w:ascii="宋体" w:hAnsi="宋体"/>
                <w:color w:val="auto"/>
                <w:szCs w:val="21"/>
              </w:rPr>
            </w:pPr>
          </w:p>
        </w:tc>
        <w:tc>
          <w:tcPr>
            <w:tcW w:w="1082" w:type="dxa"/>
            <w:tcBorders>
              <w:tl2br w:val="nil"/>
              <w:tr2bl w:val="nil"/>
            </w:tcBorders>
            <w:shd w:val="clear" w:color="auto" w:fill="auto"/>
            <w:vAlign w:val="center"/>
          </w:tcPr>
          <w:p>
            <w:pPr>
              <w:spacing w:line="400" w:lineRule="exact"/>
              <w:jc w:val="center"/>
              <w:rPr>
                <w:rFonts w:ascii="宋体" w:hAnsi="宋体"/>
                <w:color w:val="auto"/>
                <w:szCs w:val="21"/>
              </w:rPr>
            </w:pPr>
          </w:p>
        </w:tc>
        <w:tc>
          <w:tcPr>
            <w:tcW w:w="1225" w:type="dxa"/>
            <w:tcBorders>
              <w:tl2br w:val="nil"/>
              <w:tr2bl w:val="nil"/>
            </w:tcBorders>
            <w:shd w:val="clear" w:color="auto" w:fill="auto"/>
            <w:vAlign w:val="center"/>
          </w:tcPr>
          <w:p>
            <w:pPr>
              <w:spacing w:line="400" w:lineRule="exact"/>
              <w:jc w:val="center"/>
              <w:rPr>
                <w:rFonts w:ascii="宋体" w:hAnsi="宋体"/>
                <w:color w:val="auto"/>
                <w:szCs w:val="21"/>
              </w:rPr>
            </w:pPr>
          </w:p>
        </w:tc>
        <w:tc>
          <w:tcPr>
            <w:tcW w:w="1210" w:type="dxa"/>
            <w:tcBorders>
              <w:tl2br w:val="nil"/>
              <w:tr2bl w:val="nil"/>
            </w:tcBorders>
            <w:shd w:val="clear" w:color="auto" w:fill="auto"/>
            <w:vAlign w:val="center"/>
          </w:tcPr>
          <w:p>
            <w:pPr>
              <w:spacing w:line="400" w:lineRule="exact"/>
              <w:jc w:val="center"/>
              <w:rPr>
                <w:rFonts w:ascii="宋体" w:hAnsi="宋体"/>
                <w:color w:val="auto"/>
                <w:szCs w:val="21"/>
              </w:rPr>
            </w:pPr>
          </w:p>
        </w:tc>
        <w:tc>
          <w:tcPr>
            <w:tcW w:w="1366" w:type="dxa"/>
            <w:tcBorders>
              <w:tl2br w:val="nil"/>
              <w:tr2bl w:val="nil"/>
            </w:tcBorders>
            <w:shd w:val="clear" w:color="auto" w:fill="auto"/>
            <w:vAlign w:val="center"/>
          </w:tcPr>
          <w:p>
            <w:pPr>
              <w:spacing w:line="400" w:lineRule="exact"/>
              <w:jc w:val="center"/>
              <w:rPr>
                <w:rFonts w:ascii="宋体" w:hAnsi="宋体"/>
                <w:color w:val="auto"/>
                <w:szCs w:val="21"/>
              </w:rPr>
            </w:pPr>
          </w:p>
        </w:tc>
        <w:tc>
          <w:tcPr>
            <w:tcW w:w="1208" w:type="dxa"/>
            <w:tcBorders>
              <w:tl2br w:val="nil"/>
              <w:tr2bl w:val="nil"/>
            </w:tcBorders>
            <w:shd w:val="clear" w:color="auto" w:fill="auto"/>
            <w:vAlign w:val="center"/>
          </w:tcPr>
          <w:p>
            <w:pPr>
              <w:spacing w:line="400" w:lineRule="exact"/>
              <w:jc w:val="center"/>
              <w:rPr>
                <w:rFonts w:ascii="宋体" w:hAnsi="宋体"/>
                <w:color w:val="auto"/>
                <w:szCs w:val="21"/>
              </w:rPr>
            </w:pPr>
          </w:p>
        </w:tc>
        <w:tc>
          <w:tcPr>
            <w:tcW w:w="1257" w:type="dxa"/>
            <w:tcBorders>
              <w:tl2br w:val="nil"/>
              <w:tr2bl w:val="nil"/>
            </w:tcBorders>
            <w:shd w:val="clear" w:color="auto" w:fill="auto"/>
            <w:vAlign w:val="center"/>
          </w:tcPr>
          <w:p>
            <w:pPr>
              <w:spacing w:line="400" w:lineRule="exact"/>
              <w:jc w:val="center"/>
              <w:rPr>
                <w:rFonts w:ascii="宋体" w:hAnsi="宋体"/>
                <w:color w:val="auto"/>
                <w:szCs w:val="21"/>
              </w:rPr>
            </w:pPr>
          </w:p>
        </w:tc>
        <w:tc>
          <w:tcPr>
            <w:tcW w:w="1375" w:type="dxa"/>
            <w:tcBorders>
              <w:tl2br w:val="nil"/>
              <w:tr2bl w:val="nil"/>
            </w:tcBorders>
            <w:shd w:val="clear" w:color="auto" w:fill="auto"/>
            <w:vAlign w:val="center"/>
          </w:tcPr>
          <w:p>
            <w:pPr>
              <w:spacing w:line="400" w:lineRule="exact"/>
              <w:jc w:val="center"/>
              <w:rPr>
                <w:rFonts w:ascii="宋体" w:hAnsi="宋体"/>
                <w:color w:val="auto"/>
                <w:szCs w:val="21"/>
              </w:rPr>
            </w:pPr>
            <w:r>
              <w:rPr>
                <w:rFonts w:hint="eastAsia" w:ascii="宋体" w:hAnsi="宋体" w:cs="宋体"/>
                <w:color w:val="auto"/>
                <w:szCs w:val="21"/>
              </w:rPr>
              <w:t>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667" w:type="dxa"/>
            <w:tcBorders>
              <w:tl2br w:val="nil"/>
              <w:tr2bl w:val="nil"/>
            </w:tcBorders>
            <w:shd w:val="clear" w:color="auto" w:fill="auto"/>
            <w:vAlign w:val="center"/>
          </w:tcPr>
          <w:p>
            <w:pPr>
              <w:numPr>
                <w:ilvl w:val="0"/>
                <w:numId w:val="36"/>
              </w:numPr>
              <w:spacing w:line="400" w:lineRule="exact"/>
              <w:jc w:val="center"/>
              <w:rPr>
                <w:rFonts w:ascii="宋体" w:hAnsi="宋体"/>
                <w:color w:val="auto"/>
                <w:szCs w:val="21"/>
              </w:rPr>
            </w:pPr>
          </w:p>
        </w:tc>
        <w:tc>
          <w:tcPr>
            <w:tcW w:w="1082" w:type="dxa"/>
            <w:tcBorders>
              <w:tl2br w:val="nil"/>
              <w:tr2bl w:val="nil"/>
            </w:tcBorders>
            <w:shd w:val="clear" w:color="auto" w:fill="auto"/>
            <w:vAlign w:val="center"/>
          </w:tcPr>
          <w:p>
            <w:pPr>
              <w:spacing w:line="400" w:lineRule="exact"/>
              <w:jc w:val="center"/>
              <w:rPr>
                <w:rFonts w:ascii="宋体" w:hAnsi="宋体"/>
                <w:color w:val="auto"/>
                <w:szCs w:val="21"/>
              </w:rPr>
            </w:pPr>
          </w:p>
        </w:tc>
        <w:tc>
          <w:tcPr>
            <w:tcW w:w="1225" w:type="dxa"/>
            <w:tcBorders>
              <w:tl2br w:val="nil"/>
              <w:tr2bl w:val="nil"/>
            </w:tcBorders>
            <w:shd w:val="clear" w:color="auto" w:fill="auto"/>
            <w:vAlign w:val="center"/>
          </w:tcPr>
          <w:p>
            <w:pPr>
              <w:spacing w:line="400" w:lineRule="exact"/>
              <w:jc w:val="center"/>
              <w:rPr>
                <w:rFonts w:ascii="宋体" w:hAnsi="宋体"/>
                <w:color w:val="auto"/>
                <w:szCs w:val="21"/>
              </w:rPr>
            </w:pPr>
          </w:p>
        </w:tc>
        <w:tc>
          <w:tcPr>
            <w:tcW w:w="1210" w:type="dxa"/>
            <w:tcBorders>
              <w:tl2br w:val="nil"/>
              <w:tr2bl w:val="nil"/>
            </w:tcBorders>
            <w:shd w:val="clear" w:color="auto" w:fill="auto"/>
            <w:vAlign w:val="center"/>
          </w:tcPr>
          <w:p>
            <w:pPr>
              <w:spacing w:line="400" w:lineRule="exact"/>
              <w:jc w:val="center"/>
              <w:rPr>
                <w:rFonts w:ascii="宋体" w:hAnsi="宋体"/>
                <w:color w:val="auto"/>
                <w:szCs w:val="21"/>
              </w:rPr>
            </w:pPr>
          </w:p>
        </w:tc>
        <w:tc>
          <w:tcPr>
            <w:tcW w:w="1366" w:type="dxa"/>
            <w:tcBorders>
              <w:tl2br w:val="nil"/>
              <w:tr2bl w:val="nil"/>
            </w:tcBorders>
            <w:shd w:val="clear" w:color="auto" w:fill="auto"/>
            <w:vAlign w:val="center"/>
          </w:tcPr>
          <w:p>
            <w:pPr>
              <w:spacing w:line="400" w:lineRule="exact"/>
              <w:jc w:val="center"/>
              <w:rPr>
                <w:rFonts w:ascii="宋体" w:hAnsi="宋体"/>
                <w:color w:val="auto"/>
                <w:szCs w:val="21"/>
              </w:rPr>
            </w:pPr>
          </w:p>
        </w:tc>
        <w:tc>
          <w:tcPr>
            <w:tcW w:w="1208" w:type="dxa"/>
            <w:tcBorders>
              <w:tl2br w:val="nil"/>
              <w:tr2bl w:val="nil"/>
            </w:tcBorders>
            <w:shd w:val="clear" w:color="auto" w:fill="auto"/>
            <w:vAlign w:val="center"/>
          </w:tcPr>
          <w:p>
            <w:pPr>
              <w:spacing w:line="400" w:lineRule="exact"/>
              <w:jc w:val="center"/>
              <w:rPr>
                <w:rFonts w:ascii="宋体" w:hAnsi="宋体"/>
                <w:color w:val="auto"/>
                <w:szCs w:val="21"/>
              </w:rPr>
            </w:pPr>
          </w:p>
        </w:tc>
        <w:tc>
          <w:tcPr>
            <w:tcW w:w="1257" w:type="dxa"/>
            <w:tcBorders>
              <w:tl2br w:val="nil"/>
              <w:tr2bl w:val="nil"/>
            </w:tcBorders>
            <w:shd w:val="clear" w:color="auto" w:fill="auto"/>
            <w:vAlign w:val="center"/>
          </w:tcPr>
          <w:p>
            <w:pPr>
              <w:spacing w:line="400" w:lineRule="exact"/>
              <w:jc w:val="center"/>
              <w:rPr>
                <w:rFonts w:ascii="宋体" w:hAnsi="宋体"/>
                <w:color w:val="auto"/>
                <w:szCs w:val="21"/>
              </w:rPr>
            </w:pPr>
          </w:p>
        </w:tc>
        <w:tc>
          <w:tcPr>
            <w:tcW w:w="1375" w:type="dxa"/>
            <w:tcBorders>
              <w:tl2br w:val="nil"/>
              <w:tr2bl w:val="nil"/>
            </w:tcBorders>
            <w:shd w:val="clear" w:color="auto" w:fill="auto"/>
            <w:vAlign w:val="center"/>
          </w:tcPr>
          <w:p>
            <w:pPr>
              <w:spacing w:line="400" w:lineRule="exact"/>
              <w:jc w:val="center"/>
              <w:rPr>
                <w:rFonts w:ascii="宋体" w:hAnsi="宋体"/>
                <w:color w:val="auto"/>
                <w:szCs w:val="21"/>
              </w:rPr>
            </w:pPr>
            <w:r>
              <w:rPr>
                <w:rFonts w:hint="eastAsia" w:ascii="宋体" w:hAnsi="宋体" w:cs="宋体"/>
                <w:color w:val="auto"/>
                <w:szCs w:val="21"/>
              </w:rPr>
              <w:t>第页</w:t>
            </w:r>
          </w:p>
        </w:tc>
      </w:tr>
    </w:tbl>
    <w:p>
      <w:pPr>
        <w:spacing w:line="440" w:lineRule="exact"/>
        <w:rPr>
          <w:rFonts w:ascii="宋体" w:hAnsi="宋体"/>
          <w:color w:val="auto"/>
          <w:szCs w:val="21"/>
        </w:rPr>
      </w:pPr>
      <w:r>
        <w:rPr>
          <w:rFonts w:hint="eastAsia"/>
          <w:bCs/>
          <w:color w:val="auto"/>
        </w:rPr>
        <w:t>备注：</w:t>
      </w:r>
      <w:r>
        <w:rPr>
          <w:rFonts w:hint="eastAsia" w:ascii="宋体" w:hAnsi="宋体"/>
          <w:color w:val="auto"/>
          <w:szCs w:val="21"/>
        </w:rPr>
        <w:t>根据评分表的要求提交相应资料。</w:t>
      </w:r>
    </w:p>
    <w:bookmarkEnd w:id="81"/>
    <w:bookmarkEnd w:id="82"/>
    <w:p>
      <w:pPr>
        <w:spacing w:line="500" w:lineRule="exact"/>
        <w:ind w:firstLine="109" w:firstLineChars="50"/>
        <w:rPr>
          <w:color w:val="auto"/>
          <w:spacing w:val="4"/>
        </w:rPr>
      </w:pPr>
    </w:p>
    <w:p>
      <w:pPr>
        <w:spacing w:line="500" w:lineRule="exact"/>
        <w:ind w:firstLine="109" w:firstLineChars="50"/>
        <w:rPr>
          <w:rFonts w:ascii="宋体" w:hAnsi="宋体"/>
          <w:color w:val="auto"/>
          <w:u w:val="single"/>
        </w:rPr>
      </w:pPr>
      <w:r>
        <w:rPr>
          <w:rFonts w:hint="eastAsia"/>
          <w:color w:val="auto"/>
          <w:spacing w:val="4"/>
        </w:rPr>
        <w:t>投标人名称（</w:t>
      </w:r>
      <w:r>
        <w:rPr>
          <w:rFonts w:hint="eastAsia" w:ascii="宋体" w:hAnsi="宋体"/>
          <w:color w:val="auto"/>
        </w:rPr>
        <w:t>单位盖</w:t>
      </w:r>
      <w:r>
        <w:rPr>
          <w:rFonts w:hint="eastAsia"/>
          <w:color w:val="auto"/>
          <w:spacing w:val="4"/>
        </w:rPr>
        <w:t>公章）：</w:t>
      </w:r>
    </w:p>
    <w:p>
      <w:pPr>
        <w:spacing w:line="440" w:lineRule="exact"/>
        <w:ind w:firstLine="109" w:firstLineChars="50"/>
        <w:rPr>
          <w:rFonts w:hAnsi="宋体"/>
          <w:bCs/>
          <w:color w:val="auto"/>
        </w:rPr>
      </w:pPr>
      <w:r>
        <w:rPr>
          <w:rFonts w:hint="eastAsia"/>
          <w:color w:val="auto"/>
          <w:spacing w:val="4"/>
        </w:rPr>
        <w:t>日期：</w:t>
      </w:r>
    </w:p>
    <w:p>
      <w:pPr>
        <w:pStyle w:val="4"/>
        <w:adjustRightInd w:val="0"/>
        <w:snapToGrid w:val="0"/>
        <w:spacing w:beforeLines="50" w:afterLines="50" w:line="360" w:lineRule="auto"/>
        <w:jc w:val="center"/>
        <w:rPr>
          <w:b w:val="0"/>
          <w:color w:val="auto"/>
        </w:rPr>
        <w:sectPr>
          <w:pgSz w:w="11906" w:h="16838"/>
          <w:pgMar w:top="1440" w:right="1286" w:bottom="1440" w:left="1440" w:header="851" w:footer="992" w:gutter="0"/>
          <w:cols w:space="425" w:num="1"/>
          <w:docGrid w:type="lines" w:linePitch="312" w:charSpace="0"/>
        </w:sectPr>
      </w:pPr>
      <w:bookmarkStart w:id="97" w:name="_Toc275865618"/>
      <w:bookmarkStart w:id="98" w:name="_Toc50736480"/>
      <w:bookmarkStart w:id="99" w:name="_Toc50737300"/>
      <w:bookmarkStart w:id="100" w:name="_Toc435515311"/>
      <w:bookmarkStart w:id="101" w:name="_Toc435514871"/>
      <w:bookmarkStart w:id="102" w:name="_Toc52165084"/>
      <w:bookmarkStart w:id="103" w:name="_Toc50737332"/>
      <w:bookmarkStart w:id="104" w:name="_Toc50691042"/>
    </w:p>
    <w:p>
      <w:pPr>
        <w:pStyle w:val="4"/>
        <w:adjustRightInd w:val="0"/>
        <w:snapToGrid w:val="0"/>
        <w:spacing w:beforeLines="50" w:afterLines="50" w:line="360" w:lineRule="auto"/>
        <w:jc w:val="center"/>
        <w:rPr>
          <w:b w:val="0"/>
          <w:color w:val="auto"/>
        </w:rPr>
      </w:pPr>
      <w:r>
        <w:rPr>
          <w:rFonts w:hint="eastAsia"/>
          <w:b w:val="0"/>
          <w:color w:val="auto"/>
        </w:rPr>
        <w:t>投入团队</w:t>
      </w:r>
      <w:r>
        <w:rPr>
          <w:b w:val="0"/>
          <w:color w:val="auto"/>
        </w:rPr>
        <w:t>成员情况</w:t>
      </w:r>
      <w:r>
        <w:rPr>
          <w:rFonts w:hint="eastAsia"/>
          <w:b w:val="0"/>
          <w:color w:val="auto"/>
        </w:rPr>
        <w:t>一览表</w:t>
      </w:r>
      <w:bookmarkEnd w:id="97"/>
      <w:bookmarkEnd w:id="98"/>
      <w:bookmarkEnd w:id="99"/>
      <w:bookmarkEnd w:id="100"/>
      <w:bookmarkEnd w:id="101"/>
      <w:bookmarkEnd w:id="102"/>
      <w:bookmarkEnd w:id="103"/>
      <w:bookmarkEnd w:id="104"/>
    </w:p>
    <w:p>
      <w:pPr>
        <w:tabs>
          <w:tab w:val="left" w:pos="7740"/>
        </w:tabs>
        <w:adjustRightInd w:val="0"/>
        <w:snapToGrid w:val="0"/>
        <w:spacing w:line="360" w:lineRule="auto"/>
        <w:rPr>
          <w:rFonts w:ascii="宋体" w:hAnsi="宋体"/>
          <w:color w:val="auto"/>
        </w:rPr>
      </w:pPr>
      <w:r>
        <w:rPr>
          <w:rFonts w:hint="eastAsia" w:ascii="宋体" w:hAnsi="宋体"/>
          <w:color w:val="auto"/>
        </w:rPr>
        <w:t>项目名称：珠江街2021年粤港深度合作区（启动区）临时排水设施日常运行管养项目</w:t>
      </w:r>
    </w:p>
    <w:p>
      <w:pPr>
        <w:tabs>
          <w:tab w:val="left" w:pos="7740"/>
        </w:tabs>
        <w:adjustRightInd w:val="0"/>
        <w:snapToGrid w:val="0"/>
        <w:spacing w:line="360" w:lineRule="auto"/>
        <w:rPr>
          <w:rFonts w:ascii="宋体" w:hAnsi="宋体"/>
          <w:color w:val="auto"/>
        </w:rPr>
      </w:pPr>
      <w:r>
        <w:rPr>
          <w:rFonts w:hint="eastAsia" w:ascii="宋体" w:hAnsi="宋体"/>
          <w:color w:val="auto"/>
        </w:rPr>
        <w:t>项目编号：GZGX21GZ00QY-45</w:t>
      </w:r>
    </w:p>
    <w:tbl>
      <w:tblPr>
        <w:tblStyle w:val="44"/>
        <w:tblW w:w="902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72"/>
        <w:gridCol w:w="1034"/>
        <w:gridCol w:w="662"/>
        <w:gridCol w:w="658"/>
        <w:gridCol w:w="822"/>
        <w:gridCol w:w="1051"/>
        <w:gridCol w:w="731"/>
        <w:gridCol w:w="579"/>
        <w:gridCol w:w="924"/>
        <w:gridCol w:w="709"/>
        <w:gridCol w:w="12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572" w:type="dxa"/>
            <w:tcBorders>
              <w:tl2br w:val="nil"/>
              <w:tr2bl w:val="nil"/>
            </w:tcBorders>
            <w:shd w:val="clear" w:color="auto" w:fill="auto"/>
            <w:vAlign w:val="center"/>
          </w:tcPr>
          <w:p>
            <w:pPr>
              <w:adjustRightInd w:val="0"/>
              <w:snapToGrid w:val="0"/>
              <w:ind w:left="-92" w:leftChars="-44" w:right="-80" w:rightChars="-38"/>
              <w:jc w:val="center"/>
              <w:rPr>
                <w:rFonts w:ascii="宋体" w:hAnsi="宋体"/>
                <w:b/>
                <w:color w:val="auto"/>
              </w:rPr>
            </w:pPr>
            <w:r>
              <w:rPr>
                <w:rFonts w:hint="eastAsia" w:ascii="宋体" w:hAnsi="宋体"/>
                <w:b/>
                <w:color w:val="auto"/>
              </w:rPr>
              <w:t>序号</w:t>
            </w:r>
          </w:p>
        </w:tc>
        <w:tc>
          <w:tcPr>
            <w:tcW w:w="1034" w:type="dxa"/>
            <w:tcBorders>
              <w:tl2br w:val="nil"/>
              <w:tr2bl w:val="nil"/>
            </w:tcBorders>
            <w:shd w:val="clear" w:color="auto" w:fill="auto"/>
            <w:vAlign w:val="center"/>
          </w:tcPr>
          <w:p>
            <w:pPr>
              <w:adjustRightInd w:val="0"/>
              <w:snapToGrid w:val="0"/>
              <w:ind w:left="-92" w:leftChars="-44" w:right="-80" w:rightChars="-38"/>
              <w:jc w:val="center"/>
              <w:rPr>
                <w:rFonts w:ascii="宋体" w:hAnsi="宋体"/>
                <w:b/>
                <w:color w:val="auto"/>
              </w:rPr>
            </w:pPr>
            <w:r>
              <w:rPr>
                <w:rFonts w:hint="eastAsia" w:ascii="宋体" w:hAnsi="宋体"/>
                <w:b/>
                <w:color w:val="auto"/>
              </w:rPr>
              <w:t>姓名</w:t>
            </w:r>
          </w:p>
        </w:tc>
        <w:tc>
          <w:tcPr>
            <w:tcW w:w="662" w:type="dxa"/>
            <w:tcBorders>
              <w:tl2br w:val="nil"/>
              <w:tr2bl w:val="nil"/>
            </w:tcBorders>
            <w:shd w:val="clear" w:color="auto" w:fill="auto"/>
            <w:vAlign w:val="center"/>
          </w:tcPr>
          <w:p>
            <w:pPr>
              <w:adjustRightInd w:val="0"/>
              <w:snapToGrid w:val="0"/>
              <w:ind w:left="-92" w:leftChars="-44" w:right="-80" w:rightChars="-38"/>
              <w:jc w:val="center"/>
              <w:rPr>
                <w:rFonts w:ascii="宋体" w:hAnsi="宋体"/>
                <w:b/>
                <w:color w:val="auto"/>
              </w:rPr>
            </w:pPr>
            <w:r>
              <w:rPr>
                <w:rFonts w:hint="eastAsia" w:ascii="宋体" w:hAnsi="宋体"/>
                <w:b/>
                <w:color w:val="auto"/>
              </w:rPr>
              <w:t>性别</w:t>
            </w:r>
          </w:p>
        </w:tc>
        <w:tc>
          <w:tcPr>
            <w:tcW w:w="658" w:type="dxa"/>
            <w:tcBorders>
              <w:tl2br w:val="nil"/>
              <w:tr2bl w:val="nil"/>
            </w:tcBorders>
            <w:shd w:val="clear" w:color="auto" w:fill="auto"/>
            <w:vAlign w:val="center"/>
          </w:tcPr>
          <w:p>
            <w:pPr>
              <w:adjustRightInd w:val="0"/>
              <w:snapToGrid w:val="0"/>
              <w:ind w:left="-92" w:leftChars="-44" w:right="-80" w:rightChars="-38"/>
              <w:jc w:val="center"/>
              <w:rPr>
                <w:rFonts w:ascii="宋体" w:hAnsi="宋体"/>
                <w:b/>
                <w:color w:val="auto"/>
              </w:rPr>
            </w:pPr>
            <w:r>
              <w:rPr>
                <w:rFonts w:hint="eastAsia" w:ascii="宋体" w:hAnsi="宋体"/>
                <w:b/>
                <w:color w:val="auto"/>
              </w:rPr>
              <w:t>年龄</w:t>
            </w:r>
          </w:p>
        </w:tc>
        <w:tc>
          <w:tcPr>
            <w:tcW w:w="822" w:type="dxa"/>
            <w:tcBorders>
              <w:tl2br w:val="nil"/>
              <w:tr2bl w:val="nil"/>
            </w:tcBorders>
            <w:shd w:val="clear" w:color="auto" w:fill="auto"/>
            <w:vAlign w:val="center"/>
          </w:tcPr>
          <w:p>
            <w:pPr>
              <w:adjustRightInd w:val="0"/>
              <w:snapToGrid w:val="0"/>
              <w:ind w:left="-92" w:leftChars="-44" w:right="-80" w:rightChars="-38"/>
              <w:jc w:val="center"/>
              <w:rPr>
                <w:rFonts w:ascii="宋体" w:hAnsi="宋体"/>
                <w:b/>
                <w:color w:val="auto"/>
              </w:rPr>
            </w:pPr>
            <w:r>
              <w:rPr>
                <w:rFonts w:hint="eastAsia" w:ascii="宋体" w:hAnsi="宋体"/>
                <w:b/>
                <w:color w:val="auto"/>
              </w:rPr>
              <w:t>学历</w:t>
            </w:r>
          </w:p>
        </w:tc>
        <w:tc>
          <w:tcPr>
            <w:tcW w:w="1051" w:type="dxa"/>
            <w:tcBorders>
              <w:tl2br w:val="nil"/>
              <w:tr2bl w:val="nil"/>
            </w:tcBorders>
            <w:shd w:val="clear" w:color="auto" w:fill="auto"/>
            <w:vAlign w:val="center"/>
          </w:tcPr>
          <w:p>
            <w:pPr>
              <w:adjustRightInd w:val="0"/>
              <w:snapToGrid w:val="0"/>
              <w:ind w:left="-92" w:leftChars="-44" w:right="-80" w:rightChars="-38"/>
              <w:jc w:val="center"/>
              <w:rPr>
                <w:rFonts w:ascii="宋体" w:hAnsi="宋体"/>
                <w:b/>
                <w:color w:val="auto"/>
              </w:rPr>
            </w:pPr>
            <w:r>
              <w:rPr>
                <w:rFonts w:hint="eastAsia" w:ascii="宋体" w:hAnsi="宋体"/>
                <w:b/>
                <w:color w:val="auto"/>
              </w:rPr>
              <w:t>职称</w:t>
            </w:r>
          </w:p>
        </w:tc>
        <w:tc>
          <w:tcPr>
            <w:tcW w:w="731" w:type="dxa"/>
            <w:tcBorders>
              <w:tl2br w:val="nil"/>
              <w:tr2bl w:val="nil"/>
            </w:tcBorders>
            <w:shd w:val="clear" w:color="auto" w:fill="auto"/>
            <w:vAlign w:val="center"/>
          </w:tcPr>
          <w:p>
            <w:pPr>
              <w:adjustRightInd w:val="0"/>
              <w:snapToGrid w:val="0"/>
              <w:ind w:left="-92" w:leftChars="-44" w:right="-80" w:rightChars="-38"/>
              <w:jc w:val="center"/>
              <w:rPr>
                <w:rFonts w:ascii="宋体" w:hAnsi="宋体"/>
                <w:b/>
                <w:color w:val="auto"/>
              </w:rPr>
            </w:pPr>
            <w:r>
              <w:rPr>
                <w:rFonts w:hint="eastAsia" w:ascii="宋体" w:hAnsi="宋体"/>
                <w:b/>
                <w:color w:val="auto"/>
              </w:rPr>
              <w:t>专业</w:t>
            </w:r>
          </w:p>
        </w:tc>
        <w:tc>
          <w:tcPr>
            <w:tcW w:w="579" w:type="dxa"/>
            <w:tcBorders>
              <w:tl2br w:val="nil"/>
              <w:tr2bl w:val="nil"/>
            </w:tcBorders>
            <w:shd w:val="clear" w:color="auto" w:fill="auto"/>
            <w:vAlign w:val="center"/>
          </w:tcPr>
          <w:p>
            <w:pPr>
              <w:adjustRightInd w:val="0"/>
              <w:snapToGrid w:val="0"/>
              <w:ind w:left="-92" w:leftChars="-44" w:right="-80" w:rightChars="-38"/>
              <w:jc w:val="center"/>
              <w:rPr>
                <w:rFonts w:ascii="宋体" w:hAnsi="宋体"/>
                <w:b/>
                <w:color w:val="auto"/>
              </w:rPr>
            </w:pPr>
            <w:r>
              <w:rPr>
                <w:rFonts w:hint="eastAsia" w:ascii="宋体" w:hAnsi="宋体"/>
                <w:b/>
                <w:color w:val="auto"/>
              </w:rPr>
              <w:t>经验年限</w:t>
            </w:r>
          </w:p>
        </w:tc>
        <w:tc>
          <w:tcPr>
            <w:tcW w:w="924" w:type="dxa"/>
            <w:tcBorders>
              <w:tl2br w:val="nil"/>
              <w:tr2bl w:val="nil"/>
            </w:tcBorders>
            <w:shd w:val="clear" w:color="auto" w:fill="auto"/>
            <w:vAlign w:val="center"/>
          </w:tcPr>
          <w:p>
            <w:pPr>
              <w:adjustRightInd w:val="0"/>
              <w:snapToGrid w:val="0"/>
              <w:ind w:left="-92" w:leftChars="-44" w:right="-80" w:rightChars="-38"/>
              <w:jc w:val="center"/>
              <w:rPr>
                <w:rFonts w:ascii="宋体" w:hAnsi="宋体"/>
                <w:b/>
                <w:color w:val="auto"/>
              </w:rPr>
            </w:pPr>
            <w:r>
              <w:rPr>
                <w:rFonts w:hint="eastAsia" w:ascii="宋体" w:hAnsi="宋体"/>
                <w:b/>
                <w:color w:val="auto"/>
              </w:rPr>
              <w:t>担任职务</w:t>
            </w:r>
          </w:p>
        </w:tc>
        <w:tc>
          <w:tcPr>
            <w:tcW w:w="709" w:type="dxa"/>
            <w:tcBorders>
              <w:tl2br w:val="nil"/>
              <w:tr2bl w:val="nil"/>
            </w:tcBorders>
            <w:shd w:val="clear" w:color="auto" w:fill="auto"/>
            <w:vAlign w:val="center"/>
          </w:tcPr>
          <w:p>
            <w:pPr>
              <w:adjustRightInd w:val="0"/>
              <w:snapToGrid w:val="0"/>
              <w:ind w:left="-92" w:leftChars="-44" w:right="-80" w:rightChars="-38"/>
              <w:jc w:val="center"/>
              <w:rPr>
                <w:rFonts w:ascii="宋体" w:hAnsi="宋体"/>
                <w:b/>
                <w:color w:val="auto"/>
              </w:rPr>
            </w:pPr>
            <w:r>
              <w:rPr>
                <w:rFonts w:hint="eastAsia" w:ascii="宋体" w:hAnsi="宋体"/>
                <w:b/>
                <w:color w:val="auto"/>
              </w:rPr>
              <w:t>承担工作内容</w:t>
            </w:r>
          </w:p>
        </w:tc>
        <w:tc>
          <w:tcPr>
            <w:tcW w:w="1283" w:type="dxa"/>
            <w:tcBorders>
              <w:tl2br w:val="nil"/>
              <w:tr2bl w:val="nil"/>
            </w:tcBorders>
            <w:shd w:val="clear" w:color="auto" w:fill="auto"/>
            <w:vAlign w:val="center"/>
          </w:tcPr>
          <w:p>
            <w:pPr>
              <w:adjustRightInd w:val="0"/>
              <w:snapToGrid w:val="0"/>
              <w:ind w:left="-92" w:leftChars="-44" w:right="-80" w:rightChars="-38"/>
              <w:jc w:val="center"/>
              <w:rPr>
                <w:rFonts w:ascii="宋体" w:hAnsi="宋体"/>
                <w:b/>
                <w:color w:val="auto"/>
              </w:rPr>
            </w:pPr>
            <w:r>
              <w:rPr>
                <w:rFonts w:hint="eastAsia" w:ascii="宋体" w:hAnsi="宋体"/>
                <w:b/>
                <w:color w:val="auto"/>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572" w:type="dxa"/>
            <w:tcBorders>
              <w:tl2br w:val="nil"/>
              <w:tr2bl w:val="nil"/>
            </w:tcBorders>
            <w:shd w:val="clear" w:color="auto" w:fill="auto"/>
            <w:vAlign w:val="center"/>
          </w:tcPr>
          <w:p>
            <w:pPr>
              <w:numPr>
                <w:ilvl w:val="0"/>
                <w:numId w:val="37"/>
              </w:numPr>
              <w:spacing w:line="400" w:lineRule="exact"/>
              <w:jc w:val="center"/>
              <w:rPr>
                <w:rFonts w:ascii="宋体" w:hAnsi="宋体"/>
                <w:color w:val="auto"/>
              </w:rPr>
            </w:pPr>
          </w:p>
        </w:tc>
        <w:tc>
          <w:tcPr>
            <w:tcW w:w="1034" w:type="dxa"/>
            <w:tcBorders>
              <w:tl2br w:val="nil"/>
              <w:tr2bl w:val="nil"/>
            </w:tcBorders>
            <w:shd w:val="clear" w:color="auto" w:fill="auto"/>
            <w:vAlign w:val="center"/>
          </w:tcPr>
          <w:p>
            <w:pPr>
              <w:spacing w:line="400" w:lineRule="exact"/>
              <w:jc w:val="center"/>
              <w:rPr>
                <w:rFonts w:ascii="宋体" w:hAnsi="宋体"/>
                <w:color w:val="auto"/>
              </w:rPr>
            </w:pPr>
          </w:p>
        </w:tc>
        <w:tc>
          <w:tcPr>
            <w:tcW w:w="662" w:type="dxa"/>
            <w:tcBorders>
              <w:tl2br w:val="nil"/>
              <w:tr2bl w:val="nil"/>
            </w:tcBorders>
            <w:shd w:val="clear" w:color="auto" w:fill="auto"/>
            <w:vAlign w:val="center"/>
          </w:tcPr>
          <w:p>
            <w:pPr>
              <w:spacing w:line="400" w:lineRule="exact"/>
              <w:jc w:val="center"/>
              <w:rPr>
                <w:rFonts w:ascii="宋体" w:hAnsi="宋体"/>
                <w:color w:val="auto"/>
              </w:rPr>
            </w:pPr>
          </w:p>
        </w:tc>
        <w:tc>
          <w:tcPr>
            <w:tcW w:w="658" w:type="dxa"/>
            <w:tcBorders>
              <w:tl2br w:val="nil"/>
              <w:tr2bl w:val="nil"/>
            </w:tcBorders>
            <w:shd w:val="clear" w:color="auto" w:fill="auto"/>
            <w:vAlign w:val="center"/>
          </w:tcPr>
          <w:p>
            <w:pPr>
              <w:spacing w:line="400" w:lineRule="exact"/>
              <w:jc w:val="center"/>
              <w:rPr>
                <w:rFonts w:ascii="宋体" w:hAnsi="宋体"/>
                <w:color w:val="auto"/>
              </w:rPr>
            </w:pPr>
          </w:p>
        </w:tc>
        <w:tc>
          <w:tcPr>
            <w:tcW w:w="822" w:type="dxa"/>
            <w:tcBorders>
              <w:tl2br w:val="nil"/>
              <w:tr2bl w:val="nil"/>
            </w:tcBorders>
            <w:shd w:val="clear" w:color="auto" w:fill="auto"/>
            <w:vAlign w:val="center"/>
          </w:tcPr>
          <w:p>
            <w:pPr>
              <w:spacing w:line="400" w:lineRule="exact"/>
              <w:jc w:val="center"/>
              <w:rPr>
                <w:rFonts w:ascii="宋体" w:hAnsi="宋体"/>
                <w:color w:val="auto"/>
              </w:rPr>
            </w:pPr>
          </w:p>
        </w:tc>
        <w:tc>
          <w:tcPr>
            <w:tcW w:w="1051" w:type="dxa"/>
            <w:tcBorders>
              <w:tl2br w:val="nil"/>
              <w:tr2bl w:val="nil"/>
            </w:tcBorders>
            <w:shd w:val="clear" w:color="auto" w:fill="auto"/>
            <w:vAlign w:val="center"/>
          </w:tcPr>
          <w:p>
            <w:pPr>
              <w:spacing w:line="400" w:lineRule="exact"/>
              <w:jc w:val="center"/>
              <w:rPr>
                <w:rFonts w:ascii="宋体" w:hAnsi="宋体"/>
                <w:color w:val="auto"/>
              </w:rPr>
            </w:pPr>
          </w:p>
        </w:tc>
        <w:tc>
          <w:tcPr>
            <w:tcW w:w="731" w:type="dxa"/>
            <w:tcBorders>
              <w:tl2br w:val="nil"/>
              <w:tr2bl w:val="nil"/>
            </w:tcBorders>
            <w:shd w:val="clear" w:color="auto" w:fill="auto"/>
            <w:vAlign w:val="center"/>
          </w:tcPr>
          <w:p>
            <w:pPr>
              <w:spacing w:line="400" w:lineRule="exact"/>
              <w:jc w:val="center"/>
              <w:rPr>
                <w:rFonts w:ascii="宋体" w:hAnsi="宋体"/>
                <w:color w:val="auto"/>
              </w:rPr>
            </w:pPr>
          </w:p>
        </w:tc>
        <w:tc>
          <w:tcPr>
            <w:tcW w:w="579" w:type="dxa"/>
            <w:tcBorders>
              <w:tl2br w:val="nil"/>
              <w:tr2bl w:val="nil"/>
            </w:tcBorders>
            <w:shd w:val="clear" w:color="auto" w:fill="auto"/>
            <w:vAlign w:val="center"/>
          </w:tcPr>
          <w:p>
            <w:pPr>
              <w:spacing w:line="400" w:lineRule="exact"/>
              <w:jc w:val="center"/>
              <w:rPr>
                <w:rFonts w:ascii="宋体" w:hAnsi="宋体"/>
                <w:color w:val="auto"/>
              </w:rPr>
            </w:pPr>
          </w:p>
        </w:tc>
        <w:tc>
          <w:tcPr>
            <w:tcW w:w="924" w:type="dxa"/>
            <w:tcBorders>
              <w:tl2br w:val="nil"/>
              <w:tr2bl w:val="nil"/>
            </w:tcBorders>
            <w:shd w:val="clear" w:color="auto" w:fill="auto"/>
            <w:vAlign w:val="center"/>
          </w:tcPr>
          <w:p>
            <w:pPr>
              <w:spacing w:line="400" w:lineRule="exact"/>
              <w:jc w:val="center"/>
              <w:rPr>
                <w:rFonts w:ascii="宋体" w:hAnsi="宋体"/>
                <w:color w:val="auto"/>
              </w:rPr>
            </w:pPr>
          </w:p>
        </w:tc>
        <w:tc>
          <w:tcPr>
            <w:tcW w:w="709" w:type="dxa"/>
            <w:tcBorders>
              <w:tl2br w:val="nil"/>
              <w:tr2bl w:val="nil"/>
            </w:tcBorders>
            <w:shd w:val="clear" w:color="auto" w:fill="auto"/>
            <w:vAlign w:val="center"/>
          </w:tcPr>
          <w:p>
            <w:pPr>
              <w:spacing w:line="400" w:lineRule="exact"/>
              <w:jc w:val="center"/>
              <w:rPr>
                <w:rFonts w:ascii="宋体" w:hAnsi="宋体"/>
                <w:color w:val="auto"/>
              </w:rPr>
            </w:pPr>
          </w:p>
        </w:tc>
        <w:tc>
          <w:tcPr>
            <w:tcW w:w="1283" w:type="dxa"/>
            <w:tcBorders>
              <w:tl2br w:val="nil"/>
              <w:tr2bl w:val="nil"/>
            </w:tcBorders>
            <w:shd w:val="clear" w:color="auto" w:fill="auto"/>
            <w:vAlign w:val="center"/>
          </w:tcPr>
          <w:p>
            <w:pPr>
              <w:adjustRightInd w:val="0"/>
              <w:snapToGrid w:val="0"/>
              <w:jc w:val="center"/>
              <w:rPr>
                <w:rFonts w:ascii="宋体" w:hAnsi="宋体"/>
                <w:b/>
                <w:color w:val="auto"/>
              </w:rPr>
            </w:pPr>
            <w:r>
              <w:rPr>
                <w:rFonts w:hint="eastAsia" w:ascii="宋体" w:hAnsi="宋体" w:cs="宋体"/>
                <w:color w:val="auto"/>
                <w:szCs w:val="21"/>
              </w:rPr>
              <w:t>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572" w:type="dxa"/>
            <w:tcBorders>
              <w:tl2br w:val="nil"/>
              <w:tr2bl w:val="nil"/>
            </w:tcBorders>
            <w:shd w:val="clear" w:color="auto" w:fill="auto"/>
            <w:vAlign w:val="center"/>
          </w:tcPr>
          <w:p>
            <w:pPr>
              <w:numPr>
                <w:ilvl w:val="0"/>
                <w:numId w:val="37"/>
              </w:numPr>
              <w:spacing w:line="400" w:lineRule="exact"/>
              <w:jc w:val="center"/>
              <w:rPr>
                <w:rFonts w:ascii="宋体" w:hAnsi="宋体"/>
                <w:color w:val="auto"/>
              </w:rPr>
            </w:pPr>
          </w:p>
        </w:tc>
        <w:tc>
          <w:tcPr>
            <w:tcW w:w="1034" w:type="dxa"/>
            <w:tcBorders>
              <w:tl2br w:val="nil"/>
              <w:tr2bl w:val="nil"/>
            </w:tcBorders>
            <w:shd w:val="clear" w:color="auto" w:fill="auto"/>
            <w:vAlign w:val="center"/>
          </w:tcPr>
          <w:p>
            <w:pPr>
              <w:spacing w:line="400" w:lineRule="exact"/>
              <w:jc w:val="center"/>
              <w:rPr>
                <w:rFonts w:ascii="宋体" w:hAnsi="宋体"/>
                <w:color w:val="auto"/>
              </w:rPr>
            </w:pPr>
          </w:p>
        </w:tc>
        <w:tc>
          <w:tcPr>
            <w:tcW w:w="662" w:type="dxa"/>
            <w:tcBorders>
              <w:tl2br w:val="nil"/>
              <w:tr2bl w:val="nil"/>
            </w:tcBorders>
            <w:shd w:val="clear" w:color="auto" w:fill="auto"/>
            <w:vAlign w:val="center"/>
          </w:tcPr>
          <w:p>
            <w:pPr>
              <w:spacing w:line="400" w:lineRule="exact"/>
              <w:jc w:val="center"/>
              <w:rPr>
                <w:rFonts w:ascii="宋体" w:hAnsi="宋体"/>
                <w:color w:val="auto"/>
              </w:rPr>
            </w:pPr>
          </w:p>
        </w:tc>
        <w:tc>
          <w:tcPr>
            <w:tcW w:w="658" w:type="dxa"/>
            <w:tcBorders>
              <w:tl2br w:val="nil"/>
              <w:tr2bl w:val="nil"/>
            </w:tcBorders>
            <w:shd w:val="clear" w:color="auto" w:fill="auto"/>
            <w:vAlign w:val="center"/>
          </w:tcPr>
          <w:p>
            <w:pPr>
              <w:spacing w:line="400" w:lineRule="exact"/>
              <w:jc w:val="center"/>
              <w:rPr>
                <w:rFonts w:ascii="宋体" w:hAnsi="宋体"/>
                <w:color w:val="auto"/>
              </w:rPr>
            </w:pPr>
          </w:p>
        </w:tc>
        <w:tc>
          <w:tcPr>
            <w:tcW w:w="822" w:type="dxa"/>
            <w:tcBorders>
              <w:tl2br w:val="nil"/>
              <w:tr2bl w:val="nil"/>
            </w:tcBorders>
            <w:shd w:val="clear" w:color="auto" w:fill="auto"/>
            <w:vAlign w:val="center"/>
          </w:tcPr>
          <w:p>
            <w:pPr>
              <w:spacing w:line="400" w:lineRule="exact"/>
              <w:jc w:val="center"/>
              <w:rPr>
                <w:rFonts w:ascii="宋体" w:hAnsi="宋体"/>
                <w:color w:val="auto"/>
              </w:rPr>
            </w:pPr>
          </w:p>
        </w:tc>
        <w:tc>
          <w:tcPr>
            <w:tcW w:w="1051" w:type="dxa"/>
            <w:tcBorders>
              <w:tl2br w:val="nil"/>
              <w:tr2bl w:val="nil"/>
            </w:tcBorders>
            <w:shd w:val="clear" w:color="auto" w:fill="auto"/>
            <w:vAlign w:val="center"/>
          </w:tcPr>
          <w:p>
            <w:pPr>
              <w:spacing w:line="400" w:lineRule="exact"/>
              <w:jc w:val="center"/>
              <w:rPr>
                <w:rFonts w:ascii="宋体" w:hAnsi="宋体"/>
                <w:color w:val="auto"/>
              </w:rPr>
            </w:pPr>
          </w:p>
        </w:tc>
        <w:tc>
          <w:tcPr>
            <w:tcW w:w="731" w:type="dxa"/>
            <w:tcBorders>
              <w:tl2br w:val="nil"/>
              <w:tr2bl w:val="nil"/>
            </w:tcBorders>
            <w:shd w:val="clear" w:color="auto" w:fill="auto"/>
            <w:vAlign w:val="center"/>
          </w:tcPr>
          <w:p>
            <w:pPr>
              <w:spacing w:line="400" w:lineRule="exact"/>
              <w:jc w:val="center"/>
              <w:rPr>
                <w:rFonts w:ascii="宋体" w:hAnsi="宋体"/>
                <w:color w:val="auto"/>
              </w:rPr>
            </w:pPr>
          </w:p>
        </w:tc>
        <w:tc>
          <w:tcPr>
            <w:tcW w:w="579" w:type="dxa"/>
            <w:tcBorders>
              <w:tl2br w:val="nil"/>
              <w:tr2bl w:val="nil"/>
            </w:tcBorders>
            <w:shd w:val="clear" w:color="auto" w:fill="auto"/>
            <w:vAlign w:val="center"/>
          </w:tcPr>
          <w:p>
            <w:pPr>
              <w:spacing w:line="400" w:lineRule="exact"/>
              <w:jc w:val="center"/>
              <w:rPr>
                <w:rFonts w:ascii="宋体" w:hAnsi="宋体"/>
                <w:color w:val="auto"/>
              </w:rPr>
            </w:pPr>
          </w:p>
        </w:tc>
        <w:tc>
          <w:tcPr>
            <w:tcW w:w="924" w:type="dxa"/>
            <w:tcBorders>
              <w:tl2br w:val="nil"/>
              <w:tr2bl w:val="nil"/>
            </w:tcBorders>
            <w:shd w:val="clear" w:color="auto" w:fill="auto"/>
            <w:vAlign w:val="center"/>
          </w:tcPr>
          <w:p>
            <w:pPr>
              <w:spacing w:line="400" w:lineRule="exact"/>
              <w:jc w:val="center"/>
              <w:rPr>
                <w:rFonts w:ascii="宋体" w:hAnsi="宋体"/>
                <w:color w:val="auto"/>
              </w:rPr>
            </w:pPr>
          </w:p>
        </w:tc>
        <w:tc>
          <w:tcPr>
            <w:tcW w:w="709" w:type="dxa"/>
            <w:tcBorders>
              <w:tl2br w:val="nil"/>
              <w:tr2bl w:val="nil"/>
            </w:tcBorders>
            <w:shd w:val="clear" w:color="auto" w:fill="auto"/>
            <w:vAlign w:val="center"/>
          </w:tcPr>
          <w:p>
            <w:pPr>
              <w:spacing w:line="400" w:lineRule="exact"/>
              <w:jc w:val="center"/>
              <w:rPr>
                <w:rFonts w:ascii="宋体" w:hAnsi="宋体"/>
                <w:color w:val="auto"/>
              </w:rPr>
            </w:pPr>
          </w:p>
        </w:tc>
        <w:tc>
          <w:tcPr>
            <w:tcW w:w="1283" w:type="dxa"/>
            <w:tcBorders>
              <w:tl2br w:val="nil"/>
              <w:tr2bl w:val="nil"/>
            </w:tcBorders>
            <w:shd w:val="clear" w:color="auto" w:fill="auto"/>
            <w:vAlign w:val="center"/>
          </w:tcPr>
          <w:p>
            <w:pPr>
              <w:spacing w:line="400" w:lineRule="exact"/>
              <w:jc w:val="center"/>
              <w:rPr>
                <w:rFonts w:ascii="宋体" w:hAnsi="宋体"/>
                <w:color w:val="auto"/>
              </w:rPr>
            </w:pPr>
            <w:r>
              <w:rPr>
                <w:rFonts w:hint="eastAsia" w:ascii="宋体" w:hAnsi="宋体" w:cs="宋体"/>
                <w:color w:val="auto"/>
                <w:szCs w:val="21"/>
              </w:rPr>
              <w:t>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572" w:type="dxa"/>
            <w:tcBorders>
              <w:tl2br w:val="nil"/>
              <w:tr2bl w:val="nil"/>
            </w:tcBorders>
            <w:shd w:val="clear" w:color="auto" w:fill="auto"/>
            <w:vAlign w:val="center"/>
          </w:tcPr>
          <w:p>
            <w:pPr>
              <w:numPr>
                <w:ilvl w:val="0"/>
                <w:numId w:val="37"/>
              </w:numPr>
              <w:spacing w:line="400" w:lineRule="exact"/>
              <w:jc w:val="center"/>
              <w:rPr>
                <w:rFonts w:ascii="宋体" w:hAnsi="宋体"/>
                <w:color w:val="auto"/>
              </w:rPr>
            </w:pPr>
          </w:p>
        </w:tc>
        <w:tc>
          <w:tcPr>
            <w:tcW w:w="1034" w:type="dxa"/>
            <w:tcBorders>
              <w:tl2br w:val="nil"/>
              <w:tr2bl w:val="nil"/>
            </w:tcBorders>
            <w:shd w:val="clear" w:color="auto" w:fill="auto"/>
            <w:vAlign w:val="center"/>
          </w:tcPr>
          <w:p>
            <w:pPr>
              <w:spacing w:line="400" w:lineRule="exact"/>
              <w:jc w:val="center"/>
              <w:rPr>
                <w:rFonts w:ascii="宋体" w:hAnsi="宋体"/>
                <w:color w:val="auto"/>
              </w:rPr>
            </w:pPr>
          </w:p>
        </w:tc>
        <w:tc>
          <w:tcPr>
            <w:tcW w:w="662" w:type="dxa"/>
            <w:tcBorders>
              <w:tl2br w:val="nil"/>
              <w:tr2bl w:val="nil"/>
            </w:tcBorders>
            <w:shd w:val="clear" w:color="auto" w:fill="auto"/>
            <w:vAlign w:val="center"/>
          </w:tcPr>
          <w:p>
            <w:pPr>
              <w:spacing w:line="400" w:lineRule="exact"/>
              <w:jc w:val="center"/>
              <w:rPr>
                <w:rFonts w:ascii="宋体" w:hAnsi="宋体"/>
                <w:color w:val="auto"/>
              </w:rPr>
            </w:pPr>
          </w:p>
        </w:tc>
        <w:tc>
          <w:tcPr>
            <w:tcW w:w="658" w:type="dxa"/>
            <w:tcBorders>
              <w:tl2br w:val="nil"/>
              <w:tr2bl w:val="nil"/>
            </w:tcBorders>
            <w:shd w:val="clear" w:color="auto" w:fill="auto"/>
            <w:vAlign w:val="center"/>
          </w:tcPr>
          <w:p>
            <w:pPr>
              <w:spacing w:line="400" w:lineRule="exact"/>
              <w:jc w:val="center"/>
              <w:rPr>
                <w:rFonts w:ascii="宋体" w:hAnsi="宋体"/>
                <w:color w:val="auto"/>
              </w:rPr>
            </w:pPr>
          </w:p>
        </w:tc>
        <w:tc>
          <w:tcPr>
            <w:tcW w:w="822" w:type="dxa"/>
            <w:tcBorders>
              <w:tl2br w:val="nil"/>
              <w:tr2bl w:val="nil"/>
            </w:tcBorders>
            <w:shd w:val="clear" w:color="auto" w:fill="auto"/>
            <w:vAlign w:val="center"/>
          </w:tcPr>
          <w:p>
            <w:pPr>
              <w:spacing w:line="400" w:lineRule="exact"/>
              <w:jc w:val="center"/>
              <w:rPr>
                <w:rFonts w:ascii="宋体" w:hAnsi="宋体"/>
                <w:color w:val="auto"/>
              </w:rPr>
            </w:pPr>
          </w:p>
        </w:tc>
        <w:tc>
          <w:tcPr>
            <w:tcW w:w="1051" w:type="dxa"/>
            <w:tcBorders>
              <w:tl2br w:val="nil"/>
              <w:tr2bl w:val="nil"/>
            </w:tcBorders>
            <w:shd w:val="clear" w:color="auto" w:fill="auto"/>
            <w:vAlign w:val="center"/>
          </w:tcPr>
          <w:p>
            <w:pPr>
              <w:spacing w:line="400" w:lineRule="exact"/>
              <w:jc w:val="center"/>
              <w:rPr>
                <w:rFonts w:ascii="宋体" w:hAnsi="宋体"/>
                <w:color w:val="auto"/>
              </w:rPr>
            </w:pPr>
          </w:p>
        </w:tc>
        <w:tc>
          <w:tcPr>
            <w:tcW w:w="731" w:type="dxa"/>
            <w:tcBorders>
              <w:tl2br w:val="nil"/>
              <w:tr2bl w:val="nil"/>
            </w:tcBorders>
            <w:shd w:val="clear" w:color="auto" w:fill="auto"/>
            <w:vAlign w:val="center"/>
          </w:tcPr>
          <w:p>
            <w:pPr>
              <w:spacing w:line="400" w:lineRule="exact"/>
              <w:jc w:val="center"/>
              <w:rPr>
                <w:rFonts w:ascii="宋体" w:hAnsi="宋体"/>
                <w:color w:val="auto"/>
              </w:rPr>
            </w:pPr>
          </w:p>
        </w:tc>
        <w:tc>
          <w:tcPr>
            <w:tcW w:w="579" w:type="dxa"/>
            <w:tcBorders>
              <w:tl2br w:val="nil"/>
              <w:tr2bl w:val="nil"/>
            </w:tcBorders>
            <w:shd w:val="clear" w:color="auto" w:fill="auto"/>
            <w:vAlign w:val="center"/>
          </w:tcPr>
          <w:p>
            <w:pPr>
              <w:spacing w:line="400" w:lineRule="exact"/>
              <w:jc w:val="center"/>
              <w:rPr>
                <w:rFonts w:ascii="宋体" w:hAnsi="宋体"/>
                <w:color w:val="auto"/>
              </w:rPr>
            </w:pPr>
          </w:p>
        </w:tc>
        <w:tc>
          <w:tcPr>
            <w:tcW w:w="924" w:type="dxa"/>
            <w:tcBorders>
              <w:tl2br w:val="nil"/>
              <w:tr2bl w:val="nil"/>
            </w:tcBorders>
            <w:shd w:val="clear" w:color="auto" w:fill="auto"/>
            <w:vAlign w:val="center"/>
          </w:tcPr>
          <w:p>
            <w:pPr>
              <w:spacing w:line="400" w:lineRule="exact"/>
              <w:jc w:val="center"/>
              <w:rPr>
                <w:rFonts w:ascii="宋体" w:hAnsi="宋体"/>
                <w:color w:val="auto"/>
              </w:rPr>
            </w:pPr>
          </w:p>
        </w:tc>
        <w:tc>
          <w:tcPr>
            <w:tcW w:w="709" w:type="dxa"/>
            <w:tcBorders>
              <w:tl2br w:val="nil"/>
              <w:tr2bl w:val="nil"/>
            </w:tcBorders>
            <w:shd w:val="clear" w:color="auto" w:fill="auto"/>
            <w:vAlign w:val="center"/>
          </w:tcPr>
          <w:p>
            <w:pPr>
              <w:spacing w:line="400" w:lineRule="exact"/>
              <w:jc w:val="center"/>
              <w:rPr>
                <w:rFonts w:ascii="宋体" w:hAnsi="宋体"/>
                <w:color w:val="auto"/>
              </w:rPr>
            </w:pPr>
          </w:p>
        </w:tc>
        <w:tc>
          <w:tcPr>
            <w:tcW w:w="1283" w:type="dxa"/>
            <w:tcBorders>
              <w:tl2br w:val="nil"/>
              <w:tr2bl w:val="nil"/>
            </w:tcBorders>
            <w:shd w:val="clear" w:color="auto" w:fill="auto"/>
            <w:vAlign w:val="center"/>
          </w:tcPr>
          <w:p>
            <w:pPr>
              <w:spacing w:line="400" w:lineRule="exact"/>
              <w:jc w:val="center"/>
              <w:rPr>
                <w:rFonts w:ascii="宋体" w:hAnsi="宋体"/>
                <w:color w:val="auto"/>
              </w:rPr>
            </w:pPr>
            <w:r>
              <w:rPr>
                <w:rFonts w:hint="eastAsia" w:ascii="宋体" w:hAnsi="宋体" w:cs="宋体"/>
                <w:color w:val="auto"/>
                <w:szCs w:val="21"/>
              </w:rPr>
              <w:t>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572" w:type="dxa"/>
            <w:tcBorders>
              <w:tl2br w:val="nil"/>
              <w:tr2bl w:val="nil"/>
            </w:tcBorders>
            <w:shd w:val="clear" w:color="auto" w:fill="auto"/>
            <w:vAlign w:val="center"/>
          </w:tcPr>
          <w:p>
            <w:pPr>
              <w:numPr>
                <w:ilvl w:val="0"/>
                <w:numId w:val="37"/>
              </w:numPr>
              <w:spacing w:line="400" w:lineRule="exact"/>
              <w:jc w:val="center"/>
              <w:rPr>
                <w:rFonts w:ascii="宋体" w:hAnsi="宋体"/>
                <w:color w:val="auto"/>
              </w:rPr>
            </w:pPr>
          </w:p>
        </w:tc>
        <w:tc>
          <w:tcPr>
            <w:tcW w:w="1034" w:type="dxa"/>
            <w:tcBorders>
              <w:tl2br w:val="nil"/>
              <w:tr2bl w:val="nil"/>
            </w:tcBorders>
            <w:shd w:val="clear" w:color="auto" w:fill="auto"/>
            <w:vAlign w:val="center"/>
          </w:tcPr>
          <w:p>
            <w:pPr>
              <w:spacing w:line="400" w:lineRule="exact"/>
              <w:jc w:val="center"/>
              <w:rPr>
                <w:rFonts w:ascii="宋体" w:hAnsi="宋体"/>
                <w:color w:val="auto"/>
              </w:rPr>
            </w:pPr>
          </w:p>
        </w:tc>
        <w:tc>
          <w:tcPr>
            <w:tcW w:w="662" w:type="dxa"/>
            <w:tcBorders>
              <w:tl2br w:val="nil"/>
              <w:tr2bl w:val="nil"/>
            </w:tcBorders>
            <w:shd w:val="clear" w:color="auto" w:fill="auto"/>
            <w:vAlign w:val="center"/>
          </w:tcPr>
          <w:p>
            <w:pPr>
              <w:spacing w:line="400" w:lineRule="exact"/>
              <w:jc w:val="center"/>
              <w:rPr>
                <w:rFonts w:ascii="宋体" w:hAnsi="宋体"/>
                <w:color w:val="auto"/>
              </w:rPr>
            </w:pPr>
          </w:p>
        </w:tc>
        <w:tc>
          <w:tcPr>
            <w:tcW w:w="658" w:type="dxa"/>
            <w:tcBorders>
              <w:tl2br w:val="nil"/>
              <w:tr2bl w:val="nil"/>
            </w:tcBorders>
            <w:shd w:val="clear" w:color="auto" w:fill="auto"/>
            <w:vAlign w:val="center"/>
          </w:tcPr>
          <w:p>
            <w:pPr>
              <w:spacing w:line="400" w:lineRule="exact"/>
              <w:jc w:val="center"/>
              <w:rPr>
                <w:rFonts w:ascii="宋体" w:hAnsi="宋体"/>
                <w:color w:val="auto"/>
              </w:rPr>
            </w:pPr>
          </w:p>
        </w:tc>
        <w:tc>
          <w:tcPr>
            <w:tcW w:w="822" w:type="dxa"/>
            <w:tcBorders>
              <w:tl2br w:val="nil"/>
              <w:tr2bl w:val="nil"/>
            </w:tcBorders>
            <w:shd w:val="clear" w:color="auto" w:fill="auto"/>
            <w:vAlign w:val="center"/>
          </w:tcPr>
          <w:p>
            <w:pPr>
              <w:spacing w:line="400" w:lineRule="exact"/>
              <w:jc w:val="center"/>
              <w:rPr>
                <w:rFonts w:ascii="宋体" w:hAnsi="宋体"/>
                <w:color w:val="auto"/>
              </w:rPr>
            </w:pPr>
          </w:p>
        </w:tc>
        <w:tc>
          <w:tcPr>
            <w:tcW w:w="1051" w:type="dxa"/>
            <w:tcBorders>
              <w:tl2br w:val="nil"/>
              <w:tr2bl w:val="nil"/>
            </w:tcBorders>
            <w:shd w:val="clear" w:color="auto" w:fill="auto"/>
            <w:vAlign w:val="center"/>
          </w:tcPr>
          <w:p>
            <w:pPr>
              <w:spacing w:line="400" w:lineRule="exact"/>
              <w:jc w:val="center"/>
              <w:rPr>
                <w:rFonts w:ascii="宋体" w:hAnsi="宋体"/>
                <w:color w:val="auto"/>
              </w:rPr>
            </w:pPr>
          </w:p>
        </w:tc>
        <w:tc>
          <w:tcPr>
            <w:tcW w:w="731" w:type="dxa"/>
            <w:tcBorders>
              <w:tl2br w:val="nil"/>
              <w:tr2bl w:val="nil"/>
            </w:tcBorders>
            <w:shd w:val="clear" w:color="auto" w:fill="auto"/>
            <w:vAlign w:val="center"/>
          </w:tcPr>
          <w:p>
            <w:pPr>
              <w:spacing w:line="400" w:lineRule="exact"/>
              <w:jc w:val="center"/>
              <w:rPr>
                <w:rFonts w:ascii="宋体" w:hAnsi="宋体"/>
                <w:color w:val="auto"/>
              </w:rPr>
            </w:pPr>
          </w:p>
        </w:tc>
        <w:tc>
          <w:tcPr>
            <w:tcW w:w="579" w:type="dxa"/>
            <w:tcBorders>
              <w:tl2br w:val="nil"/>
              <w:tr2bl w:val="nil"/>
            </w:tcBorders>
            <w:shd w:val="clear" w:color="auto" w:fill="auto"/>
            <w:vAlign w:val="center"/>
          </w:tcPr>
          <w:p>
            <w:pPr>
              <w:spacing w:line="400" w:lineRule="exact"/>
              <w:jc w:val="center"/>
              <w:rPr>
                <w:rFonts w:ascii="宋体" w:hAnsi="宋体"/>
                <w:color w:val="auto"/>
              </w:rPr>
            </w:pPr>
          </w:p>
        </w:tc>
        <w:tc>
          <w:tcPr>
            <w:tcW w:w="924" w:type="dxa"/>
            <w:tcBorders>
              <w:tl2br w:val="nil"/>
              <w:tr2bl w:val="nil"/>
            </w:tcBorders>
            <w:shd w:val="clear" w:color="auto" w:fill="auto"/>
            <w:vAlign w:val="center"/>
          </w:tcPr>
          <w:p>
            <w:pPr>
              <w:spacing w:line="400" w:lineRule="exact"/>
              <w:jc w:val="center"/>
              <w:rPr>
                <w:rFonts w:ascii="宋体" w:hAnsi="宋体"/>
                <w:color w:val="auto"/>
              </w:rPr>
            </w:pPr>
          </w:p>
        </w:tc>
        <w:tc>
          <w:tcPr>
            <w:tcW w:w="709" w:type="dxa"/>
            <w:tcBorders>
              <w:tl2br w:val="nil"/>
              <w:tr2bl w:val="nil"/>
            </w:tcBorders>
            <w:shd w:val="clear" w:color="auto" w:fill="auto"/>
            <w:vAlign w:val="center"/>
          </w:tcPr>
          <w:p>
            <w:pPr>
              <w:spacing w:line="400" w:lineRule="exact"/>
              <w:jc w:val="center"/>
              <w:rPr>
                <w:rFonts w:ascii="宋体" w:hAnsi="宋体"/>
                <w:color w:val="auto"/>
              </w:rPr>
            </w:pPr>
          </w:p>
        </w:tc>
        <w:tc>
          <w:tcPr>
            <w:tcW w:w="1283" w:type="dxa"/>
            <w:tcBorders>
              <w:tl2br w:val="nil"/>
              <w:tr2bl w:val="nil"/>
            </w:tcBorders>
            <w:shd w:val="clear" w:color="auto" w:fill="auto"/>
            <w:vAlign w:val="center"/>
          </w:tcPr>
          <w:p>
            <w:pPr>
              <w:spacing w:line="400" w:lineRule="exact"/>
              <w:jc w:val="center"/>
              <w:rPr>
                <w:rFonts w:ascii="宋体" w:hAnsi="宋体"/>
                <w:color w:val="auto"/>
              </w:rPr>
            </w:pPr>
            <w:r>
              <w:rPr>
                <w:rFonts w:hint="eastAsia" w:ascii="宋体" w:hAnsi="宋体" w:cs="宋体"/>
                <w:color w:val="auto"/>
                <w:szCs w:val="21"/>
              </w:rPr>
              <w:t>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572" w:type="dxa"/>
            <w:tcBorders>
              <w:tl2br w:val="nil"/>
              <w:tr2bl w:val="nil"/>
            </w:tcBorders>
            <w:shd w:val="clear" w:color="auto" w:fill="auto"/>
            <w:vAlign w:val="center"/>
          </w:tcPr>
          <w:p>
            <w:pPr>
              <w:numPr>
                <w:ilvl w:val="0"/>
                <w:numId w:val="37"/>
              </w:numPr>
              <w:spacing w:line="400" w:lineRule="exact"/>
              <w:jc w:val="center"/>
              <w:rPr>
                <w:rFonts w:ascii="宋体" w:hAnsi="宋体"/>
                <w:color w:val="auto"/>
              </w:rPr>
            </w:pPr>
          </w:p>
        </w:tc>
        <w:tc>
          <w:tcPr>
            <w:tcW w:w="1034" w:type="dxa"/>
            <w:tcBorders>
              <w:tl2br w:val="nil"/>
              <w:tr2bl w:val="nil"/>
            </w:tcBorders>
            <w:shd w:val="clear" w:color="auto" w:fill="auto"/>
            <w:vAlign w:val="center"/>
          </w:tcPr>
          <w:p>
            <w:pPr>
              <w:spacing w:line="400" w:lineRule="exact"/>
              <w:jc w:val="center"/>
              <w:rPr>
                <w:rFonts w:ascii="宋体" w:hAnsi="宋体"/>
                <w:color w:val="auto"/>
              </w:rPr>
            </w:pPr>
          </w:p>
        </w:tc>
        <w:tc>
          <w:tcPr>
            <w:tcW w:w="662" w:type="dxa"/>
            <w:tcBorders>
              <w:tl2br w:val="nil"/>
              <w:tr2bl w:val="nil"/>
            </w:tcBorders>
            <w:shd w:val="clear" w:color="auto" w:fill="auto"/>
            <w:vAlign w:val="center"/>
          </w:tcPr>
          <w:p>
            <w:pPr>
              <w:spacing w:line="400" w:lineRule="exact"/>
              <w:jc w:val="center"/>
              <w:rPr>
                <w:rFonts w:ascii="宋体" w:hAnsi="宋体"/>
                <w:color w:val="auto"/>
              </w:rPr>
            </w:pPr>
          </w:p>
        </w:tc>
        <w:tc>
          <w:tcPr>
            <w:tcW w:w="658" w:type="dxa"/>
            <w:tcBorders>
              <w:tl2br w:val="nil"/>
              <w:tr2bl w:val="nil"/>
            </w:tcBorders>
            <w:shd w:val="clear" w:color="auto" w:fill="auto"/>
            <w:vAlign w:val="center"/>
          </w:tcPr>
          <w:p>
            <w:pPr>
              <w:spacing w:line="400" w:lineRule="exact"/>
              <w:jc w:val="center"/>
              <w:rPr>
                <w:rFonts w:ascii="宋体" w:hAnsi="宋体"/>
                <w:color w:val="auto"/>
              </w:rPr>
            </w:pPr>
          </w:p>
        </w:tc>
        <w:tc>
          <w:tcPr>
            <w:tcW w:w="822" w:type="dxa"/>
            <w:tcBorders>
              <w:tl2br w:val="nil"/>
              <w:tr2bl w:val="nil"/>
            </w:tcBorders>
            <w:shd w:val="clear" w:color="auto" w:fill="auto"/>
            <w:vAlign w:val="center"/>
          </w:tcPr>
          <w:p>
            <w:pPr>
              <w:spacing w:line="400" w:lineRule="exact"/>
              <w:jc w:val="center"/>
              <w:rPr>
                <w:rFonts w:ascii="宋体" w:hAnsi="宋体"/>
                <w:color w:val="auto"/>
              </w:rPr>
            </w:pPr>
          </w:p>
        </w:tc>
        <w:tc>
          <w:tcPr>
            <w:tcW w:w="1051" w:type="dxa"/>
            <w:tcBorders>
              <w:tl2br w:val="nil"/>
              <w:tr2bl w:val="nil"/>
            </w:tcBorders>
            <w:shd w:val="clear" w:color="auto" w:fill="auto"/>
            <w:vAlign w:val="center"/>
          </w:tcPr>
          <w:p>
            <w:pPr>
              <w:spacing w:line="400" w:lineRule="exact"/>
              <w:jc w:val="center"/>
              <w:rPr>
                <w:rFonts w:ascii="宋体" w:hAnsi="宋体"/>
                <w:color w:val="auto"/>
              </w:rPr>
            </w:pPr>
          </w:p>
        </w:tc>
        <w:tc>
          <w:tcPr>
            <w:tcW w:w="731" w:type="dxa"/>
            <w:tcBorders>
              <w:tl2br w:val="nil"/>
              <w:tr2bl w:val="nil"/>
            </w:tcBorders>
            <w:shd w:val="clear" w:color="auto" w:fill="auto"/>
            <w:vAlign w:val="center"/>
          </w:tcPr>
          <w:p>
            <w:pPr>
              <w:spacing w:line="400" w:lineRule="exact"/>
              <w:jc w:val="center"/>
              <w:rPr>
                <w:rFonts w:ascii="宋体" w:hAnsi="宋体"/>
                <w:color w:val="auto"/>
              </w:rPr>
            </w:pPr>
          </w:p>
        </w:tc>
        <w:tc>
          <w:tcPr>
            <w:tcW w:w="579" w:type="dxa"/>
            <w:tcBorders>
              <w:tl2br w:val="nil"/>
              <w:tr2bl w:val="nil"/>
            </w:tcBorders>
            <w:shd w:val="clear" w:color="auto" w:fill="auto"/>
            <w:vAlign w:val="center"/>
          </w:tcPr>
          <w:p>
            <w:pPr>
              <w:spacing w:line="400" w:lineRule="exact"/>
              <w:jc w:val="center"/>
              <w:rPr>
                <w:rFonts w:ascii="宋体" w:hAnsi="宋体"/>
                <w:color w:val="auto"/>
              </w:rPr>
            </w:pPr>
          </w:p>
        </w:tc>
        <w:tc>
          <w:tcPr>
            <w:tcW w:w="924" w:type="dxa"/>
            <w:tcBorders>
              <w:tl2br w:val="nil"/>
              <w:tr2bl w:val="nil"/>
            </w:tcBorders>
            <w:shd w:val="clear" w:color="auto" w:fill="auto"/>
            <w:vAlign w:val="center"/>
          </w:tcPr>
          <w:p>
            <w:pPr>
              <w:spacing w:line="400" w:lineRule="exact"/>
              <w:jc w:val="center"/>
              <w:rPr>
                <w:rFonts w:ascii="宋体" w:hAnsi="宋体"/>
                <w:color w:val="auto"/>
              </w:rPr>
            </w:pPr>
          </w:p>
        </w:tc>
        <w:tc>
          <w:tcPr>
            <w:tcW w:w="709" w:type="dxa"/>
            <w:tcBorders>
              <w:tl2br w:val="nil"/>
              <w:tr2bl w:val="nil"/>
            </w:tcBorders>
            <w:shd w:val="clear" w:color="auto" w:fill="auto"/>
            <w:vAlign w:val="center"/>
          </w:tcPr>
          <w:p>
            <w:pPr>
              <w:spacing w:line="400" w:lineRule="exact"/>
              <w:jc w:val="center"/>
              <w:rPr>
                <w:rFonts w:ascii="宋体" w:hAnsi="宋体"/>
                <w:color w:val="auto"/>
              </w:rPr>
            </w:pPr>
          </w:p>
        </w:tc>
        <w:tc>
          <w:tcPr>
            <w:tcW w:w="1283" w:type="dxa"/>
            <w:tcBorders>
              <w:tl2br w:val="nil"/>
              <w:tr2bl w:val="nil"/>
            </w:tcBorders>
            <w:shd w:val="clear" w:color="auto" w:fill="auto"/>
            <w:vAlign w:val="center"/>
          </w:tcPr>
          <w:p>
            <w:pPr>
              <w:spacing w:line="400" w:lineRule="exact"/>
              <w:jc w:val="center"/>
              <w:rPr>
                <w:rFonts w:ascii="宋体" w:hAnsi="宋体"/>
                <w:color w:val="auto"/>
              </w:rPr>
            </w:pPr>
            <w:r>
              <w:rPr>
                <w:rFonts w:hint="eastAsia" w:ascii="宋体" w:hAnsi="宋体" w:cs="宋体"/>
                <w:color w:val="auto"/>
                <w:szCs w:val="21"/>
              </w:rPr>
              <w:t>第页</w:t>
            </w:r>
          </w:p>
        </w:tc>
      </w:tr>
    </w:tbl>
    <w:p>
      <w:pPr>
        <w:spacing w:line="500" w:lineRule="exact"/>
        <w:ind w:firstLine="315" w:firstLineChars="150"/>
        <w:rPr>
          <w:rFonts w:ascii="宋体" w:hAnsi="宋体"/>
          <w:bCs/>
          <w:color w:val="auto"/>
        </w:rPr>
      </w:pPr>
      <w:r>
        <w:rPr>
          <w:rFonts w:hint="eastAsia" w:ascii="宋体" w:hAnsi="宋体"/>
          <w:bCs/>
          <w:color w:val="auto"/>
        </w:rPr>
        <w:t>备注</w:t>
      </w:r>
      <w:r>
        <w:rPr>
          <w:rFonts w:hint="eastAsia"/>
          <w:bCs/>
          <w:color w:val="auto"/>
        </w:rPr>
        <w:t>：</w:t>
      </w:r>
      <w:r>
        <w:rPr>
          <w:rFonts w:hint="eastAsia" w:ascii="宋体" w:hAnsi="宋体"/>
          <w:color w:val="auto"/>
          <w:szCs w:val="21"/>
        </w:rPr>
        <w:t>根据评分表的要求提交相应资料</w:t>
      </w:r>
      <w:r>
        <w:rPr>
          <w:rFonts w:hint="eastAsia" w:ascii="宋体" w:hAnsi="宋体"/>
          <w:bCs/>
          <w:color w:val="auto"/>
        </w:rPr>
        <w:t>。</w:t>
      </w:r>
    </w:p>
    <w:p>
      <w:pPr>
        <w:spacing w:line="500" w:lineRule="exact"/>
        <w:ind w:firstLine="109" w:firstLineChars="50"/>
        <w:rPr>
          <w:color w:val="auto"/>
          <w:spacing w:val="4"/>
        </w:rPr>
      </w:pPr>
      <w:bookmarkStart w:id="105" w:name="_Toc435515313"/>
      <w:bookmarkStart w:id="106" w:name="_Toc435514873"/>
    </w:p>
    <w:p>
      <w:pPr>
        <w:spacing w:line="500" w:lineRule="exact"/>
        <w:ind w:firstLine="109" w:firstLineChars="50"/>
        <w:rPr>
          <w:rFonts w:ascii="宋体" w:hAnsi="宋体"/>
          <w:color w:val="auto"/>
          <w:u w:val="single"/>
        </w:rPr>
      </w:pPr>
      <w:r>
        <w:rPr>
          <w:rFonts w:hint="eastAsia"/>
          <w:color w:val="auto"/>
          <w:spacing w:val="4"/>
        </w:rPr>
        <w:t>投标人名称（</w:t>
      </w:r>
      <w:r>
        <w:rPr>
          <w:rFonts w:hint="eastAsia" w:ascii="宋体" w:hAnsi="宋体"/>
          <w:color w:val="auto"/>
        </w:rPr>
        <w:t>单位盖</w:t>
      </w:r>
      <w:r>
        <w:rPr>
          <w:rFonts w:hint="eastAsia"/>
          <w:color w:val="auto"/>
          <w:spacing w:val="4"/>
        </w:rPr>
        <w:t>公章）：</w:t>
      </w:r>
    </w:p>
    <w:p>
      <w:pPr>
        <w:spacing w:line="440" w:lineRule="exact"/>
        <w:ind w:firstLine="109" w:firstLineChars="50"/>
        <w:rPr>
          <w:rFonts w:ascii="Arial" w:hAnsi="Arial" w:eastAsia="黑体"/>
          <w:bCs/>
          <w:color w:val="auto"/>
          <w:sz w:val="32"/>
          <w:szCs w:val="32"/>
          <w:lang w:val="zh-CN"/>
        </w:rPr>
      </w:pPr>
      <w:r>
        <w:rPr>
          <w:rFonts w:hint="eastAsia"/>
          <w:color w:val="auto"/>
          <w:spacing w:val="4"/>
        </w:rPr>
        <w:t>日期：</w:t>
      </w:r>
    </w:p>
    <w:p>
      <w:pPr>
        <w:pStyle w:val="4"/>
        <w:adjustRightInd w:val="0"/>
        <w:snapToGrid w:val="0"/>
        <w:spacing w:beforeLines="50" w:afterLines="50" w:line="360" w:lineRule="auto"/>
        <w:jc w:val="center"/>
        <w:rPr>
          <w:b w:val="0"/>
          <w:color w:val="auto"/>
        </w:rPr>
        <w:sectPr>
          <w:pgSz w:w="11906" w:h="16838"/>
          <w:pgMar w:top="1440" w:right="1286" w:bottom="1440" w:left="1440" w:header="851" w:footer="992" w:gutter="0"/>
          <w:cols w:space="425" w:num="1"/>
          <w:docGrid w:type="lines" w:linePitch="312" w:charSpace="0"/>
        </w:sectPr>
      </w:pPr>
    </w:p>
    <w:bookmarkEnd w:id="83"/>
    <w:bookmarkEnd w:id="105"/>
    <w:bookmarkEnd w:id="106"/>
    <w:p>
      <w:pPr>
        <w:pStyle w:val="4"/>
        <w:adjustRightInd w:val="0"/>
        <w:snapToGrid w:val="0"/>
        <w:spacing w:beforeLines="50" w:afterLines="50" w:line="360" w:lineRule="auto"/>
        <w:jc w:val="center"/>
        <w:rPr>
          <w:b w:val="0"/>
          <w:color w:val="auto"/>
        </w:rPr>
      </w:pPr>
      <w:r>
        <w:rPr>
          <w:rFonts w:hint="eastAsia"/>
          <w:b w:val="0"/>
          <w:color w:val="auto"/>
        </w:rPr>
        <w:t>招标代理服务费承诺书</w:t>
      </w:r>
    </w:p>
    <w:p>
      <w:pPr>
        <w:spacing w:line="360" w:lineRule="auto"/>
        <w:rPr>
          <w:rFonts w:ascii="宋体" w:hAnsi="宋体"/>
          <w:b/>
          <w:color w:val="auto"/>
        </w:rPr>
      </w:pPr>
      <w:r>
        <w:rPr>
          <w:rFonts w:hint="eastAsia" w:ascii="宋体" w:hAnsi="宋体"/>
          <w:b/>
          <w:color w:val="auto"/>
        </w:rPr>
        <w:t>广东公信招标有限公司:</w:t>
      </w:r>
    </w:p>
    <w:p>
      <w:pPr>
        <w:spacing w:line="360" w:lineRule="auto"/>
        <w:ind w:firstLine="420" w:firstLineChars="200"/>
        <w:rPr>
          <w:rFonts w:ascii="宋体" w:hAnsi="宋体"/>
          <w:color w:val="auto"/>
        </w:rPr>
      </w:pPr>
      <w:r>
        <w:rPr>
          <w:rFonts w:hint="eastAsia" w:ascii="宋体" w:hAnsi="宋体"/>
          <w:color w:val="auto"/>
        </w:rPr>
        <w:t>本公司</w:t>
      </w:r>
      <w:r>
        <w:rPr>
          <w:rFonts w:hint="eastAsia" w:ascii="宋体" w:hAnsi="宋体"/>
          <w:color w:val="auto"/>
          <w:u w:val="single"/>
        </w:rPr>
        <w:t xml:space="preserve">       (投标人名称)      </w:t>
      </w:r>
      <w:r>
        <w:rPr>
          <w:rFonts w:hint="eastAsia" w:ascii="宋体" w:hAnsi="宋体"/>
          <w:color w:val="auto"/>
        </w:rPr>
        <w:t>在参加</w:t>
      </w:r>
      <w:r>
        <w:rPr>
          <w:rFonts w:hint="eastAsia" w:ascii="宋体" w:hAnsi="宋体"/>
          <w:color w:val="auto"/>
          <w:u w:val="single"/>
        </w:rPr>
        <w:t xml:space="preserve">       (项目名称)      </w:t>
      </w:r>
      <w:r>
        <w:rPr>
          <w:rFonts w:hint="eastAsia" w:ascii="宋体" w:hAnsi="宋体"/>
          <w:color w:val="auto"/>
        </w:rPr>
        <w:t>(</w:t>
      </w:r>
      <w:r>
        <w:rPr>
          <w:rFonts w:hint="eastAsia"/>
          <w:color w:val="auto"/>
        </w:rPr>
        <w:t>项目编号：</w:t>
      </w:r>
      <w:r>
        <w:rPr>
          <w:rFonts w:hint="eastAsia" w:ascii="宋体" w:hAnsi="宋体"/>
          <w:color w:val="auto"/>
        </w:rPr>
        <w:t>GZGX21GZ00QY-45)的招标中如获中标，我公司保证按照招标文件的规定缴纳“招标代理服务费”。如采用电汇或银行转账，我公司将同时递交招标代理服务费缴费凭证复印件。</w:t>
      </w:r>
    </w:p>
    <w:p>
      <w:pPr>
        <w:spacing w:line="360" w:lineRule="auto"/>
        <w:ind w:firstLine="420" w:firstLineChars="200"/>
        <w:rPr>
          <w:rFonts w:ascii="宋体" w:hAnsi="宋体"/>
          <w:color w:val="auto"/>
        </w:rPr>
      </w:pPr>
      <w:r>
        <w:rPr>
          <w:rFonts w:hint="eastAsia" w:ascii="宋体" w:hAnsi="宋体"/>
          <w:color w:val="auto"/>
        </w:rPr>
        <w:t>如我公司违反上款承诺,愿承担由此引起的一切法律责任。</w:t>
      </w:r>
    </w:p>
    <w:p>
      <w:pPr>
        <w:spacing w:line="360" w:lineRule="auto"/>
        <w:ind w:firstLine="420" w:firstLineChars="200"/>
        <w:rPr>
          <w:rFonts w:ascii="宋体" w:hAnsi="宋体"/>
          <w:color w:val="auto"/>
        </w:rPr>
      </w:pPr>
      <w:r>
        <w:rPr>
          <w:rFonts w:hint="eastAsia" w:ascii="宋体" w:hAnsi="宋体"/>
          <w:color w:val="auto"/>
        </w:rPr>
        <w:t>特此承诺!</w:t>
      </w:r>
      <w:r>
        <w:rPr>
          <w:rFonts w:ascii="宋体" w:hAnsi="宋体"/>
          <w:color w:val="auto"/>
        </w:rPr>
        <w:tab/>
      </w:r>
    </w:p>
    <w:p>
      <w:pPr>
        <w:spacing w:line="360" w:lineRule="auto"/>
        <w:ind w:firstLine="840" w:firstLineChars="400"/>
        <w:rPr>
          <w:rFonts w:ascii="宋体" w:hAnsi="宋体"/>
          <w:color w:val="auto"/>
        </w:rPr>
      </w:pPr>
    </w:p>
    <w:p>
      <w:pPr>
        <w:spacing w:line="360" w:lineRule="auto"/>
        <w:ind w:left="315"/>
        <w:jc w:val="left"/>
        <w:rPr>
          <w:rFonts w:ascii="宋体" w:hAnsi="宋体"/>
          <w:color w:val="auto"/>
        </w:rPr>
      </w:pPr>
      <w:bookmarkStart w:id="107" w:name="_Toc435514878"/>
      <w:bookmarkStart w:id="108" w:name="_Toc435515318"/>
      <w:bookmarkStart w:id="109" w:name="_Toc173553195"/>
      <w:bookmarkStart w:id="110" w:name="_Toc275865626"/>
      <w:r>
        <w:rPr>
          <w:rFonts w:hint="eastAsia" w:ascii="宋体" w:hAnsi="宋体"/>
          <w:color w:val="auto"/>
        </w:rPr>
        <w:t>投标人名称(盖公章):</w:t>
      </w:r>
    </w:p>
    <w:p>
      <w:pPr>
        <w:spacing w:line="360" w:lineRule="auto"/>
        <w:ind w:left="315"/>
        <w:jc w:val="left"/>
        <w:rPr>
          <w:rFonts w:ascii="宋体" w:hAnsi="宋体"/>
          <w:color w:val="auto"/>
        </w:rPr>
      </w:pPr>
      <w:r>
        <w:rPr>
          <w:rFonts w:hint="eastAsia" w:ascii="宋体" w:hAnsi="宋体"/>
          <w:color w:val="auto"/>
        </w:rPr>
        <w:t>投标人地址:</w:t>
      </w:r>
    </w:p>
    <w:p>
      <w:pPr>
        <w:spacing w:line="360" w:lineRule="auto"/>
        <w:ind w:left="315"/>
        <w:jc w:val="left"/>
        <w:rPr>
          <w:rFonts w:ascii="宋体" w:hAnsi="宋体"/>
          <w:color w:val="auto"/>
        </w:rPr>
      </w:pPr>
      <w:r>
        <w:rPr>
          <w:rFonts w:hint="eastAsia" w:ascii="宋体" w:hAnsi="宋体"/>
          <w:color w:val="auto"/>
        </w:rPr>
        <w:t>电话:</w:t>
      </w:r>
    </w:p>
    <w:p>
      <w:pPr>
        <w:spacing w:line="360" w:lineRule="auto"/>
        <w:ind w:left="315"/>
        <w:jc w:val="left"/>
        <w:rPr>
          <w:rFonts w:ascii="宋体" w:hAnsi="宋体"/>
          <w:color w:val="auto"/>
        </w:rPr>
      </w:pPr>
      <w:r>
        <w:rPr>
          <w:rFonts w:hint="eastAsia" w:ascii="宋体" w:hAnsi="宋体"/>
          <w:color w:val="auto"/>
        </w:rPr>
        <w:t>传真:</w:t>
      </w:r>
    </w:p>
    <w:p>
      <w:pPr>
        <w:spacing w:line="360" w:lineRule="auto"/>
        <w:ind w:left="315"/>
        <w:jc w:val="left"/>
        <w:rPr>
          <w:rFonts w:ascii="宋体" w:hAnsi="宋体"/>
          <w:color w:val="auto"/>
        </w:rPr>
      </w:pPr>
      <w:r>
        <w:rPr>
          <w:rFonts w:hint="eastAsia" w:ascii="宋体"/>
          <w:color w:val="auto"/>
        </w:rPr>
        <w:t>法定代表人或</w:t>
      </w:r>
      <w:r>
        <w:rPr>
          <w:rFonts w:hint="eastAsia" w:ascii="宋体" w:hAnsi="宋体"/>
          <w:color w:val="auto"/>
        </w:rPr>
        <w:t>投标人授权代表（签名或盖章）：</w:t>
      </w:r>
    </w:p>
    <w:p>
      <w:pPr>
        <w:spacing w:line="360" w:lineRule="auto"/>
        <w:ind w:left="315"/>
        <w:jc w:val="left"/>
        <w:rPr>
          <w:rFonts w:ascii="宋体" w:hAnsi="宋体"/>
          <w:color w:val="auto"/>
        </w:rPr>
      </w:pPr>
      <w:r>
        <w:rPr>
          <w:rFonts w:hint="eastAsia" w:ascii="宋体" w:hAnsi="宋体"/>
          <w:color w:val="auto"/>
        </w:rPr>
        <w:t>签署日期:</w:t>
      </w:r>
    </w:p>
    <w:p>
      <w:pPr>
        <w:rPr>
          <w:color w:val="auto"/>
        </w:rPr>
      </w:pPr>
    </w:p>
    <w:p>
      <w:pPr>
        <w:rPr>
          <w:color w:val="auto"/>
        </w:rPr>
        <w:sectPr>
          <w:pgSz w:w="11906" w:h="16838"/>
          <w:pgMar w:top="1440" w:right="1286" w:bottom="1440" w:left="1440" w:header="851" w:footer="992" w:gutter="0"/>
          <w:cols w:space="425" w:num="1"/>
          <w:docGrid w:type="lines" w:linePitch="312" w:charSpace="0"/>
        </w:sectPr>
      </w:pPr>
    </w:p>
    <w:p>
      <w:pPr>
        <w:pStyle w:val="4"/>
        <w:adjustRightInd w:val="0"/>
        <w:snapToGrid w:val="0"/>
        <w:spacing w:beforeLines="50" w:afterLines="50" w:line="360" w:lineRule="auto"/>
        <w:jc w:val="center"/>
        <w:rPr>
          <w:b w:val="0"/>
          <w:color w:val="auto"/>
        </w:rPr>
      </w:pPr>
      <w:r>
        <w:rPr>
          <w:rFonts w:hint="eastAsia"/>
          <w:b w:val="0"/>
          <w:color w:val="auto"/>
        </w:rPr>
        <w:t>开票资料说明函</w:t>
      </w:r>
    </w:p>
    <w:p>
      <w:pPr>
        <w:adjustRightInd w:val="0"/>
        <w:snapToGrid w:val="0"/>
        <w:spacing w:line="360" w:lineRule="auto"/>
        <w:rPr>
          <w:rFonts w:ascii="宋体" w:hAnsi="宋体"/>
          <w:b/>
          <w:color w:val="auto"/>
        </w:rPr>
      </w:pPr>
      <w:r>
        <w:rPr>
          <w:rFonts w:hint="eastAsia" w:ascii="宋体" w:hAnsi="宋体"/>
          <w:b/>
          <w:color w:val="auto"/>
        </w:rPr>
        <w:t>广东公信招标有限公司:</w:t>
      </w:r>
    </w:p>
    <w:p>
      <w:pPr>
        <w:adjustRightInd w:val="0"/>
        <w:snapToGrid w:val="0"/>
        <w:spacing w:line="360" w:lineRule="auto"/>
        <w:ind w:firstLine="420" w:firstLineChars="200"/>
        <w:rPr>
          <w:rFonts w:ascii="宋体" w:cs="宋体"/>
          <w:color w:val="auto"/>
          <w:szCs w:val="21"/>
        </w:rPr>
      </w:pPr>
      <w:r>
        <w:rPr>
          <w:rFonts w:hint="eastAsia" w:ascii="宋体" w:hAnsi="宋体"/>
          <w:color w:val="auto"/>
        </w:rPr>
        <w:t>本公司</w:t>
      </w:r>
      <w:r>
        <w:rPr>
          <w:rFonts w:hint="eastAsia" w:ascii="宋体" w:hAnsi="宋体"/>
          <w:color w:val="auto"/>
          <w:u w:val="single"/>
        </w:rPr>
        <w:t xml:space="preserve">       (投标人名称)      </w:t>
      </w:r>
      <w:r>
        <w:rPr>
          <w:rFonts w:hint="eastAsia" w:ascii="宋体" w:hAnsi="宋体"/>
          <w:color w:val="auto"/>
        </w:rPr>
        <w:t>在参加在贵公司举行的</w:t>
      </w:r>
      <w:r>
        <w:rPr>
          <w:rFonts w:hint="eastAsia" w:ascii="宋体" w:hAnsi="宋体"/>
          <w:color w:val="auto"/>
          <w:u w:val="single"/>
        </w:rPr>
        <w:t xml:space="preserve">       (项目名称)      </w:t>
      </w:r>
      <w:r>
        <w:rPr>
          <w:rFonts w:hint="eastAsia" w:ascii="宋体" w:hAnsi="宋体"/>
          <w:color w:val="auto"/>
        </w:rPr>
        <w:t>(</w:t>
      </w:r>
      <w:r>
        <w:rPr>
          <w:rFonts w:hint="eastAsia"/>
          <w:color w:val="auto"/>
        </w:rPr>
        <w:t>项目编号：</w:t>
      </w:r>
      <w:r>
        <w:rPr>
          <w:rFonts w:hint="eastAsia" w:ascii="宋体" w:hAnsi="宋体"/>
          <w:color w:val="auto"/>
        </w:rPr>
        <w:t>GZGX21GZ00QY-45)的招标中如获中标</w:t>
      </w:r>
      <w:r>
        <w:rPr>
          <w:rFonts w:hint="eastAsia" w:ascii="宋体" w:cs="宋体"/>
          <w:color w:val="auto"/>
          <w:szCs w:val="21"/>
        </w:rPr>
        <w:t>，则开票类型选择</w:t>
      </w:r>
      <w:r>
        <w:rPr>
          <w:rFonts w:hint="eastAsia" w:ascii="宋体" w:hAnsi="宋体"/>
          <w:b/>
          <w:color w:val="auto"/>
          <w:szCs w:val="21"/>
          <w:u w:val="single"/>
        </w:rPr>
        <w:t>□增值税普通发票□增值税专用发票</w:t>
      </w:r>
      <w:r>
        <w:rPr>
          <w:rFonts w:hint="eastAsia" w:ascii="宋体" w:hAnsi="宋体"/>
          <w:color w:val="auto"/>
          <w:szCs w:val="21"/>
        </w:rPr>
        <w:t>（</w:t>
      </w:r>
      <w:r>
        <w:rPr>
          <w:rFonts w:hint="eastAsia" w:ascii="宋体" w:hAnsi="宋体"/>
          <w:b/>
          <w:color w:val="auto"/>
          <w:szCs w:val="21"/>
        </w:rPr>
        <w:t>请在对应的“□”打“√”，且只能选择其中一项）</w:t>
      </w:r>
      <w:r>
        <w:rPr>
          <w:rFonts w:hint="eastAsia" w:ascii="宋体" w:cs="宋体"/>
          <w:color w:val="auto"/>
          <w:szCs w:val="21"/>
        </w:rPr>
        <w:t>，以及我司的开票资料如下：</w:t>
      </w:r>
    </w:p>
    <w:tbl>
      <w:tblPr>
        <w:tblStyle w:val="44"/>
        <w:tblW w:w="907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3763"/>
        <w:gridCol w:w="1179"/>
        <w:gridCol w:w="16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471" w:type="dxa"/>
            <w:vAlign w:val="center"/>
          </w:tcPr>
          <w:p>
            <w:pPr>
              <w:jc w:val="center"/>
              <w:rPr>
                <w:rFonts w:ascii="宋体"/>
                <w:color w:val="auto"/>
              </w:rPr>
            </w:pPr>
            <w:r>
              <w:rPr>
                <w:rFonts w:hint="eastAsia" w:ascii="宋体"/>
                <w:color w:val="auto"/>
              </w:rPr>
              <w:t>单位名称</w:t>
            </w:r>
          </w:p>
        </w:tc>
        <w:tc>
          <w:tcPr>
            <w:tcW w:w="6607" w:type="dxa"/>
            <w:gridSpan w:val="3"/>
            <w:vAlign w:val="center"/>
          </w:tcPr>
          <w:p>
            <w:pPr>
              <w:jc w:val="center"/>
              <w:rPr>
                <w:rFonts w:asci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471" w:type="dxa"/>
            <w:vAlign w:val="center"/>
          </w:tcPr>
          <w:p>
            <w:pPr>
              <w:jc w:val="center"/>
              <w:rPr>
                <w:rFonts w:ascii="宋体"/>
                <w:color w:val="auto"/>
              </w:rPr>
            </w:pPr>
            <w:r>
              <w:rPr>
                <w:rFonts w:hint="eastAsia" w:ascii="宋体" w:hAnsi="宋体"/>
                <w:color w:val="auto"/>
                <w:szCs w:val="21"/>
              </w:rPr>
              <w:t>纳税人识别号</w:t>
            </w:r>
          </w:p>
        </w:tc>
        <w:tc>
          <w:tcPr>
            <w:tcW w:w="6607" w:type="dxa"/>
            <w:gridSpan w:val="3"/>
            <w:vAlign w:val="center"/>
          </w:tcPr>
          <w:p>
            <w:pPr>
              <w:jc w:val="center"/>
              <w:rPr>
                <w:rFonts w:asci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471" w:type="dxa"/>
            <w:vAlign w:val="center"/>
          </w:tcPr>
          <w:p>
            <w:pPr>
              <w:jc w:val="center"/>
              <w:rPr>
                <w:rFonts w:ascii="宋体"/>
                <w:color w:val="auto"/>
              </w:rPr>
            </w:pPr>
            <w:r>
              <w:rPr>
                <w:rFonts w:hint="eastAsia" w:ascii="宋体"/>
                <w:color w:val="auto"/>
              </w:rPr>
              <w:t>地址</w:t>
            </w:r>
          </w:p>
        </w:tc>
        <w:tc>
          <w:tcPr>
            <w:tcW w:w="6607" w:type="dxa"/>
            <w:gridSpan w:val="3"/>
            <w:vAlign w:val="center"/>
          </w:tcPr>
          <w:p>
            <w:pPr>
              <w:jc w:val="center"/>
              <w:rPr>
                <w:rFonts w:asci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72" w:hRule="atLeast"/>
          <w:jc w:val="center"/>
        </w:trPr>
        <w:tc>
          <w:tcPr>
            <w:tcW w:w="2471" w:type="dxa"/>
            <w:vAlign w:val="center"/>
          </w:tcPr>
          <w:p>
            <w:pPr>
              <w:jc w:val="center"/>
              <w:rPr>
                <w:rFonts w:ascii="宋体"/>
                <w:color w:val="auto"/>
              </w:rPr>
            </w:pPr>
            <w:r>
              <w:rPr>
                <w:rFonts w:hint="eastAsia" w:ascii="宋体"/>
                <w:color w:val="auto"/>
              </w:rPr>
              <w:t>开户银行</w:t>
            </w:r>
          </w:p>
          <w:p>
            <w:pPr>
              <w:jc w:val="center"/>
              <w:rPr>
                <w:rFonts w:ascii="宋体"/>
                <w:color w:val="auto"/>
              </w:rPr>
            </w:pPr>
            <w:r>
              <w:rPr>
                <w:rFonts w:hint="eastAsia" w:ascii="宋体" w:hAnsi="宋体"/>
                <w:color w:val="auto"/>
                <w:sz w:val="20"/>
                <w:szCs w:val="20"/>
              </w:rPr>
              <w:t>（具体到XX银行XX支行）</w:t>
            </w:r>
          </w:p>
        </w:tc>
        <w:tc>
          <w:tcPr>
            <w:tcW w:w="3763" w:type="dxa"/>
            <w:vAlign w:val="center"/>
          </w:tcPr>
          <w:p>
            <w:pPr>
              <w:jc w:val="center"/>
              <w:rPr>
                <w:rFonts w:ascii="宋体"/>
                <w:color w:val="auto"/>
              </w:rPr>
            </w:pPr>
          </w:p>
        </w:tc>
        <w:tc>
          <w:tcPr>
            <w:tcW w:w="1179" w:type="dxa"/>
            <w:vAlign w:val="center"/>
          </w:tcPr>
          <w:p>
            <w:pPr>
              <w:jc w:val="center"/>
              <w:rPr>
                <w:rFonts w:ascii="宋体"/>
                <w:color w:val="auto"/>
              </w:rPr>
            </w:pPr>
            <w:r>
              <w:rPr>
                <w:rFonts w:hint="eastAsia" w:ascii="宋体"/>
                <w:color w:val="auto"/>
              </w:rPr>
              <w:t>联系电话</w:t>
            </w:r>
          </w:p>
        </w:tc>
        <w:tc>
          <w:tcPr>
            <w:tcW w:w="1665" w:type="dxa"/>
            <w:vAlign w:val="center"/>
          </w:tcPr>
          <w:p>
            <w:pPr>
              <w:jc w:val="center"/>
              <w:rPr>
                <w:rFonts w:asci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471" w:type="dxa"/>
            <w:vAlign w:val="center"/>
          </w:tcPr>
          <w:p>
            <w:pPr>
              <w:jc w:val="center"/>
              <w:rPr>
                <w:rFonts w:ascii="宋体"/>
                <w:color w:val="auto"/>
              </w:rPr>
            </w:pPr>
            <w:r>
              <w:rPr>
                <w:rFonts w:hint="eastAsia" w:ascii="宋体"/>
                <w:color w:val="auto"/>
              </w:rPr>
              <w:t>账    号</w:t>
            </w:r>
          </w:p>
        </w:tc>
        <w:tc>
          <w:tcPr>
            <w:tcW w:w="3763" w:type="dxa"/>
            <w:vAlign w:val="center"/>
          </w:tcPr>
          <w:p>
            <w:pPr>
              <w:jc w:val="center"/>
              <w:rPr>
                <w:rFonts w:ascii="宋体"/>
                <w:color w:val="auto"/>
              </w:rPr>
            </w:pPr>
          </w:p>
        </w:tc>
        <w:tc>
          <w:tcPr>
            <w:tcW w:w="1179" w:type="dxa"/>
            <w:vAlign w:val="center"/>
          </w:tcPr>
          <w:p>
            <w:pPr>
              <w:jc w:val="center"/>
              <w:rPr>
                <w:rFonts w:ascii="宋体"/>
                <w:color w:val="auto"/>
              </w:rPr>
            </w:pPr>
            <w:r>
              <w:rPr>
                <w:rFonts w:hint="eastAsia" w:ascii="宋体"/>
                <w:color w:val="auto"/>
              </w:rPr>
              <w:t>联系人</w:t>
            </w:r>
          </w:p>
        </w:tc>
        <w:tc>
          <w:tcPr>
            <w:tcW w:w="1665" w:type="dxa"/>
            <w:vAlign w:val="center"/>
          </w:tcPr>
          <w:p>
            <w:pPr>
              <w:jc w:val="center"/>
              <w:rPr>
                <w:rFonts w:asci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9" w:hRule="atLeast"/>
          <w:jc w:val="center"/>
        </w:trPr>
        <w:tc>
          <w:tcPr>
            <w:tcW w:w="9078" w:type="dxa"/>
            <w:gridSpan w:val="4"/>
            <w:vAlign w:val="center"/>
          </w:tcPr>
          <w:p>
            <w:pPr>
              <w:rPr>
                <w:rFonts w:ascii="宋体"/>
                <w:b/>
                <w:color w:val="auto"/>
              </w:rPr>
            </w:pPr>
            <w:r>
              <w:rPr>
                <w:rFonts w:hint="eastAsia" w:ascii="宋体"/>
                <w:b/>
                <w:color w:val="auto"/>
              </w:rPr>
              <w:t>附件：</w:t>
            </w:r>
            <w:r>
              <w:rPr>
                <w:rFonts w:hint="eastAsia" w:ascii="宋体" w:hAnsi="宋体"/>
                <w:b/>
                <w:color w:val="auto"/>
                <w:szCs w:val="21"/>
              </w:rPr>
              <w:t>一般纳税人资格认定税务通知书或其他可证明具有该项资格证明文件的复印件。（加盖公章）</w:t>
            </w:r>
          </w:p>
        </w:tc>
      </w:tr>
    </w:tbl>
    <w:p>
      <w:pPr>
        <w:adjustRightInd w:val="0"/>
        <w:snapToGrid w:val="0"/>
        <w:spacing w:line="360" w:lineRule="auto"/>
        <w:ind w:firstLine="420" w:firstLineChars="200"/>
        <w:rPr>
          <w:rFonts w:ascii="宋体" w:hAnsi="宋体"/>
          <w:color w:val="auto"/>
        </w:rPr>
      </w:pPr>
      <w:r>
        <w:rPr>
          <w:rFonts w:hint="eastAsia" w:ascii="宋体" w:hAnsi="宋体"/>
          <w:color w:val="auto"/>
        </w:rPr>
        <w:t>开标当日，如我公司未按该要求填写、未提供有效的开票资料、未确认开具发票类型或确认的发票类型有误，则视为开具增值税普通发票。同意广东公信招标有限公司不予更换发票类型。并愿承担由此引起的一切后果。</w:t>
      </w:r>
    </w:p>
    <w:p>
      <w:pPr>
        <w:adjustRightInd w:val="0"/>
        <w:snapToGrid w:val="0"/>
        <w:spacing w:line="360" w:lineRule="auto"/>
        <w:ind w:firstLine="420" w:firstLineChars="200"/>
        <w:rPr>
          <w:rFonts w:ascii="宋体" w:hAnsi="宋体"/>
          <w:color w:val="auto"/>
        </w:rPr>
      </w:pPr>
    </w:p>
    <w:p>
      <w:pPr>
        <w:spacing w:line="360" w:lineRule="auto"/>
        <w:ind w:left="4725"/>
        <w:rPr>
          <w:rFonts w:ascii="宋体" w:hAnsi="宋体"/>
          <w:color w:val="auto"/>
        </w:rPr>
      </w:pPr>
    </w:p>
    <w:p>
      <w:pPr>
        <w:spacing w:line="360" w:lineRule="auto"/>
        <w:ind w:left="4725"/>
        <w:rPr>
          <w:rFonts w:ascii="宋体" w:hAnsi="宋体"/>
          <w:color w:val="auto"/>
          <w:szCs w:val="21"/>
        </w:rPr>
      </w:pPr>
      <w:r>
        <w:rPr>
          <w:rFonts w:hint="eastAsia" w:ascii="宋体" w:hAnsi="宋体"/>
          <w:color w:val="auto"/>
          <w:szCs w:val="21"/>
        </w:rPr>
        <w:t>投标人名称（公章）：</w:t>
      </w:r>
    </w:p>
    <w:p>
      <w:pPr>
        <w:spacing w:line="360" w:lineRule="auto"/>
        <w:ind w:left="4725"/>
        <w:rPr>
          <w:rFonts w:ascii="宋体" w:hAnsi="宋体"/>
          <w:color w:val="auto"/>
          <w:szCs w:val="21"/>
          <w:u w:val="single"/>
        </w:rPr>
      </w:pPr>
      <w:r>
        <w:rPr>
          <w:rFonts w:hint="eastAsia" w:ascii="宋体" w:hAnsi="宋体"/>
          <w:color w:val="auto"/>
          <w:szCs w:val="21"/>
        </w:rPr>
        <w:t>投标人地址：</w:t>
      </w:r>
    </w:p>
    <w:p>
      <w:pPr>
        <w:pStyle w:val="2"/>
        <w:rPr>
          <w:color w:val="auto"/>
        </w:rPr>
      </w:pPr>
      <w:r>
        <w:rPr>
          <w:color w:val="auto"/>
        </w:rPr>
        <w:br w:type="page"/>
      </w:r>
    </w:p>
    <w:p>
      <w:pPr>
        <w:pStyle w:val="4"/>
        <w:adjustRightInd w:val="0"/>
        <w:snapToGrid w:val="0"/>
        <w:spacing w:beforeLines="50" w:afterLines="50" w:line="360" w:lineRule="auto"/>
        <w:jc w:val="center"/>
        <w:rPr>
          <w:b w:val="0"/>
          <w:color w:val="auto"/>
        </w:rPr>
      </w:pPr>
      <w:r>
        <w:rPr>
          <w:rFonts w:hint="eastAsia"/>
          <w:b w:val="0"/>
          <w:color w:val="auto"/>
        </w:rPr>
        <w:t>资料原件及清单</w:t>
      </w:r>
    </w:p>
    <w:p>
      <w:pPr>
        <w:tabs>
          <w:tab w:val="left" w:pos="7740"/>
        </w:tabs>
        <w:adjustRightInd w:val="0"/>
        <w:snapToGrid w:val="0"/>
        <w:spacing w:line="360" w:lineRule="auto"/>
        <w:rPr>
          <w:rFonts w:ascii="宋体" w:hAnsi="宋体"/>
          <w:color w:val="auto"/>
        </w:rPr>
      </w:pPr>
      <w:r>
        <w:rPr>
          <w:rFonts w:hint="eastAsia" w:ascii="宋体" w:hAnsi="宋体"/>
          <w:color w:val="auto"/>
        </w:rPr>
        <w:t>项目名称：珠江街2021年粤港深度合作区（启动区）临时排水设施日常运行管养项目</w:t>
      </w:r>
    </w:p>
    <w:p>
      <w:pPr>
        <w:tabs>
          <w:tab w:val="left" w:pos="7740"/>
        </w:tabs>
        <w:adjustRightInd w:val="0"/>
        <w:snapToGrid w:val="0"/>
        <w:spacing w:line="360" w:lineRule="auto"/>
        <w:rPr>
          <w:color w:val="auto"/>
          <w:spacing w:val="4"/>
        </w:rPr>
      </w:pPr>
      <w:r>
        <w:rPr>
          <w:rFonts w:hint="eastAsia" w:ascii="宋体" w:hAnsi="宋体"/>
          <w:color w:val="auto"/>
        </w:rPr>
        <w:t>项目编号：GZGX21GZ00QY-45</w:t>
      </w:r>
    </w:p>
    <w:tbl>
      <w:tblPr>
        <w:tblStyle w:val="44"/>
        <w:tblW w:w="89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2284"/>
        <w:gridCol w:w="1212"/>
        <w:gridCol w:w="2294"/>
        <w:gridCol w:w="701"/>
        <w:gridCol w:w="701"/>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594" w:type="dxa"/>
            <w:vMerge w:val="restart"/>
            <w:shd w:val="clear" w:color="auto" w:fill="9FD3A4" w:themeFill="background1" w:themeFillShade="D9"/>
            <w:vAlign w:val="center"/>
          </w:tcPr>
          <w:p>
            <w:pPr>
              <w:ind w:left="-59" w:leftChars="-28" w:right="-82" w:rightChars="-39"/>
              <w:jc w:val="center"/>
              <w:rPr>
                <w:rFonts w:ascii="宋体" w:hAnsi="宋体"/>
                <w:b/>
                <w:color w:val="auto"/>
              </w:rPr>
            </w:pPr>
            <w:r>
              <w:rPr>
                <w:rFonts w:hint="eastAsia" w:ascii="宋体" w:hAnsi="宋体"/>
                <w:b/>
                <w:color w:val="auto"/>
              </w:rPr>
              <w:t>序号</w:t>
            </w:r>
          </w:p>
        </w:tc>
        <w:tc>
          <w:tcPr>
            <w:tcW w:w="2284" w:type="dxa"/>
            <w:vMerge w:val="restart"/>
            <w:shd w:val="clear" w:color="auto" w:fill="9FD3A4" w:themeFill="background1" w:themeFillShade="D9"/>
            <w:vAlign w:val="center"/>
          </w:tcPr>
          <w:p>
            <w:pPr>
              <w:jc w:val="center"/>
              <w:rPr>
                <w:b/>
                <w:color w:val="auto"/>
              </w:rPr>
            </w:pPr>
            <w:r>
              <w:rPr>
                <w:rFonts w:hint="eastAsia"/>
                <w:b/>
                <w:color w:val="auto"/>
              </w:rPr>
              <w:t>招标文件要求提交原件的资料名称</w:t>
            </w:r>
          </w:p>
        </w:tc>
        <w:tc>
          <w:tcPr>
            <w:tcW w:w="1212" w:type="dxa"/>
            <w:vMerge w:val="restart"/>
            <w:shd w:val="clear" w:color="auto" w:fill="9FD3A4" w:themeFill="background1" w:themeFillShade="D9"/>
            <w:vAlign w:val="center"/>
          </w:tcPr>
          <w:p>
            <w:pPr>
              <w:jc w:val="center"/>
              <w:rPr>
                <w:b/>
                <w:color w:val="auto"/>
              </w:rPr>
            </w:pPr>
            <w:r>
              <w:rPr>
                <w:rFonts w:hint="eastAsia"/>
                <w:b/>
                <w:color w:val="auto"/>
              </w:rPr>
              <w:t>页数</w:t>
            </w:r>
          </w:p>
        </w:tc>
        <w:tc>
          <w:tcPr>
            <w:tcW w:w="2294" w:type="dxa"/>
            <w:vMerge w:val="restart"/>
            <w:shd w:val="clear" w:color="auto" w:fill="9FD3A4" w:themeFill="background1" w:themeFillShade="D9"/>
            <w:vAlign w:val="center"/>
          </w:tcPr>
          <w:p>
            <w:pPr>
              <w:jc w:val="center"/>
              <w:rPr>
                <w:b/>
                <w:color w:val="auto"/>
              </w:rPr>
            </w:pPr>
            <w:r>
              <w:rPr>
                <w:rFonts w:hint="eastAsia"/>
                <w:b/>
                <w:color w:val="auto"/>
              </w:rPr>
              <w:t>对应的投标文件</w:t>
            </w:r>
          </w:p>
          <w:p>
            <w:pPr>
              <w:jc w:val="center"/>
              <w:rPr>
                <w:b/>
                <w:color w:val="auto"/>
              </w:rPr>
            </w:pPr>
            <w:r>
              <w:rPr>
                <w:rFonts w:hint="eastAsia"/>
                <w:b/>
                <w:color w:val="auto"/>
              </w:rPr>
              <w:t>内页码</w:t>
            </w:r>
          </w:p>
        </w:tc>
        <w:tc>
          <w:tcPr>
            <w:tcW w:w="1402" w:type="dxa"/>
            <w:gridSpan w:val="2"/>
            <w:shd w:val="clear" w:color="auto" w:fill="9FD3A4" w:themeFill="background1" w:themeFillShade="D9"/>
          </w:tcPr>
          <w:p>
            <w:pPr>
              <w:jc w:val="center"/>
              <w:rPr>
                <w:rFonts w:ascii="宋体" w:hAnsi="宋体"/>
                <w:b/>
                <w:color w:val="auto"/>
              </w:rPr>
            </w:pPr>
            <w:r>
              <w:rPr>
                <w:rFonts w:hint="eastAsia" w:ascii="宋体" w:hAnsi="宋体"/>
                <w:b/>
                <w:color w:val="auto"/>
              </w:rPr>
              <w:t>提交情况</w:t>
            </w:r>
          </w:p>
        </w:tc>
        <w:tc>
          <w:tcPr>
            <w:tcW w:w="1207" w:type="dxa"/>
            <w:vMerge w:val="restart"/>
            <w:shd w:val="clear" w:color="auto" w:fill="9FD3A4" w:themeFill="background1" w:themeFillShade="D9"/>
            <w:vAlign w:val="center"/>
          </w:tcPr>
          <w:p>
            <w:pPr>
              <w:jc w:val="center"/>
              <w:rPr>
                <w:b/>
                <w:color w:val="auto"/>
              </w:rPr>
            </w:pPr>
            <w:r>
              <w:rPr>
                <w:rFonts w:hint="eastAsia"/>
                <w:b/>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594" w:type="dxa"/>
            <w:vMerge w:val="continue"/>
            <w:shd w:val="clear" w:color="auto" w:fill="E2EFD9" w:themeFill="accent6" w:themeFillTint="33"/>
            <w:vAlign w:val="center"/>
          </w:tcPr>
          <w:p>
            <w:pPr>
              <w:spacing w:line="360" w:lineRule="auto"/>
              <w:jc w:val="center"/>
              <w:rPr>
                <w:rFonts w:ascii="宋体" w:hAnsi="宋体"/>
                <w:b/>
                <w:color w:val="auto"/>
              </w:rPr>
            </w:pPr>
          </w:p>
        </w:tc>
        <w:tc>
          <w:tcPr>
            <w:tcW w:w="2284" w:type="dxa"/>
            <w:vMerge w:val="continue"/>
            <w:shd w:val="clear" w:color="auto" w:fill="E2EFD9" w:themeFill="accent6" w:themeFillTint="33"/>
            <w:vAlign w:val="center"/>
          </w:tcPr>
          <w:p>
            <w:pPr>
              <w:spacing w:line="360" w:lineRule="auto"/>
              <w:jc w:val="center"/>
              <w:rPr>
                <w:b/>
                <w:color w:val="auto"/>
              </w:rPr>
            </w:pPr>
          </w:p>
        </w:tc>
        <w:tc>
          <w:tcPr>
            <w:tcW w:w="1212" w:type="dxa"/>
            <w:vMerge w:val="continue"/>
            <w:shd w:val="clear" w:color="auto" w:fill="E2EFD9" w:themeFill="accent6" w:themeFillTint="33"/>
            <w:vAlign w:val="center"/>
          </w:tcPr>
          <w:p>
            <w:pPr>
              <w:spacing w:line="360" w:lineRule="auto"/>
              <w:jc w:val="center"/>
              <w:rPr>
                <w:b/>
                <w:color w:val="auto"/>
              </w:rPr>
            </w:pPr>
          </w:p>
        </w:tc>
        <w:tc>
          <w:tcPr>
            <w:tcW w:w="2294" w:type="dxa"/>
            <w:vMerge w:val="continue"/>
            <w:shd w:val="clear" w:color="auto" w:fill="E2EFD9" w:themeFill="accent6" w:themeFillTint="33"/>
            <w:vAlign w:val="center"/>
          </w:tcPr>
          <w:p>
            <w:pPr>
              <w:spacing w:line="360" w:lineRule="auto"/>
              <w:jc w:val="center"/>
              <w:rPr>
                <w:b/>
                <w:color w:val="auto"/>
              </w:rPr>
            </w:pPr>
          </w:p>
        </w:tc>
        <w:tc>
          <w:tcPr>
            <w:tcW w:w="701" w:type="dxa"/>
            <w:shd w:val="clear" w:color="auto" w:fill="9FD3A4" w:themeFill="background1" w:themeFillShade="D9"/>
            <w:vAlign w:val="center"/>
          </w:tcPr>
          <w:p>
            <w:pPr>
              <w:jc w:val="center"/>
              <w:rPr>
                <w:rFonts w:ascii="宋体" w:hAnsi="宋体"/>
                <w:b/>
                <w:color w:val="auto"/>
              </w:rPr>
            </w:pPr>
            <w:r>
              <w:rPr>
                <w:rFonts w:hint="eastAsia" w:ascii="宋体" w:hAnsi="宋体"/>
                <w:b/>
                <w:color w:val="auto"/>
              </w:rPr>
              <w:t>有</w:t>
            </w:r>
          </w:p>
        </w:tc>
        <w:tc>
          <w:tcPr>
            <w:tcW w:w="701" w:type="dxa"/>
            <w:shd w:val="clear" w:color="auto" w:fill="9FD3A4" w:themeFill="background1" w:themeFillShade="D9"/>
            <w:vAlign w:val="center"/>
          </w:tcPr>
          <w:p>
            <w:pPr>
              <w:jc w:val="center"/>
              <w:rPr>
                <w:rFonts w:ascii="宋体" w:hAnsi="宋体"/>
                <w:b/>
                <w:color w:val="auto"/>
              </w:rPr>
            </w:pPr>
            <w:r>
              <w:rPr>
                <w:rFonts w:hint="eastAsia" w:ascii="宋体" w:hAnsi="宋体"/>
                <w:b/>
                <w:color w:val="auto"/>
              </w:rPr>
              <w:t>无</w:t>
            </w:r>
          </w:p>
        </w:tc>
        <w:tc>
          <w:tcPr>
            <w:tcW w:w="1207" w:type="dxa"/>
            <w:vMerge w:val="continue"/>
            <w:shd w:val="clear" w:color="auto" w:fill="E2EFD9" w:themeFill="accent6" w:themeFillTint="33"/>
            <w:vAlign w:val="center"/>
          </w:tcPr>
          <w:p>
            <w:pPr>
              <w:spacing w:line="360" w:lineRule="auto"/>
              <w:jc w:val="center"/>
              <w:rPr>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94" w:type="dxa"/>
            <w:vAlign w:val="center"/>
          </w:tcPr>
          <w:p>
            <w:pPr>
              <w:numPr>
                <w:ilvl w:val="0"/>
                <w:numId w:val="38"/>
              </w:numPr>
              <w:spacing w:line="360" w:lineRule="auto"/>
              <w:jc w:val="center"/>
              <w:rPr>
                <w:rFonts w:ascii="宋体" w:hAnsi="宋体"/>
                <w:color w:val="auto"/>
              </w:rPr>
            </w:pPr>
          </w:p>
        </w:tc>
        <w:tc>
          <w:tcPr>
            <w:tcW w:w="2284" w:type="dxa"/>
            <w:vAlign w:val="center"/>
          </w:tcPr>
          <w:p>
            <w:pPr>
              <w:spacing w:line="360" w:lineRule="auto"/>
              <w:jc w:val="center"/>
              <w:rPr>
                <w:color w:val="auto"/>
              </w:rPr>
            </w:pPr>
          </w:p>
        </w:tc>
        <w:tc>
          <w:tcPr>
            <w:tcW w:w="1212" w:type="dxa"/>
            <w:vAlign w:val="center"/>
          </w:tcPr>
          <w:p>
            <w:pPr>
              <w:adjustRightInd w:val="0"/>
              <w:snapToGrid w:val="0"/>
              <w:jc w:val="center"/>
              <w:rPr>
                <w:rFonts w:ascii="宋体" w:hAnsi="宋体" w:cs="宋体"/>
                <w:color w:val="auto"/>
                <w:szCs w:val="21"/>
              </w:rPr>
            </w:pPr>
          </w:p>
        </w:tc>
        <w:tc>
          <w:tcPr>
            <w:tcW w:w="2294" w:type="dxa"/>
            <w:vAlign w:val="center"/>
          </w:tcPr>
          <w:p>
            <w:pPr>
              <w:adjustRightInd w:val="0"/>
              <w:snapToGrid w:val="0"/>
              <w:jc w:val="center"/>
              <w:rPr>
                <w:color w:val="auto"/>
              </w:rPr>
            </w:pPr>
            <w:r>
              <w:rPr>
                <w:rFonts w:hint="eastAsia" w:ascii="宋体" w:hAnsi="宋体" w:cs="宋体"/>
                <w:color w:val="auto"/>
                <w:szCs w:val="21"/>
              </w:rPr>
              <w:t>见第页至页</w:t>
            </w:r>
          </w:p>
        </w:tc>
        <w:tc>
          <w:tcPr>
            <w:tcW w:w="701" w:type="dxa"/>
          </w:tcPr>
          <w:p>
            <w:pPr>
              <w:spacing w:line="360" w:lineRule="auto"/>
              <w:jc w:val="center"/>
              <w:rPr>
                <w:color w:val="auto"/>
              </w:rPr>
            </w:pPr>
          </w:p>
        </w:tc>
        <w:tc>
          <w:tcPr>
            <w:tcW w:w="701" w:type="dxa"/>
          </w:tcPr>
          <w:p>
            <w:pPr>
              <w:spacing w:line="360" w:lineRule="auto"/>
              <w:jc w:val="center"/>
              <w:rPr>
                <w:color w:val="auto"/>
              </w:rPr>
            </w:pPr>
          </w:p>
        </w:tc>
        <w:tc>
          <w:tcPr>
            <w:tcW w:w="1207" w:type="dxa"/>
            <w:vAlign w:val="center"/>
          </w:tcPr>
          <w:p>
            <w:pPr>
              <w:spacing w:line="360" w:lineRule="auto"/>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594" w:type="dxa"/>
            <w:vAlign w:val="center"/>
          </w:tcPr>
          <w:p>
            <w:pPr>
              <w:numPr>
                <w:ilvl w:val="0"/>
                <w:numId w:val="38"/>
              </w:numPr>
              <w:spacing w:line="360" w:lineRule="auto"/>
              <w:jc w:val="center"/>
              <w:rPr>
                <w:rFonts w:ascii="宋体" w:hAnsi="宋体"/>
                <w:color w:val="auto"/>
              </w:rPr>
            </w:pPr>
          </w:p>
        </w:tc>
        <w:tc>
          <w:tcPr>
            <w:tcW w:w="2284" w:type="dxa"/>
            <w:vAlign w:val="center"/>
          </w:tcPr>
          <w:p>
            <w:pPr>
              <w:spacing w:line="360" w:lineRule="auto"/>
              <w:jc w:val="center"/>
              <w:rPr>
                <w:color w:val="auto"/>
              </w:rPr>
            </w:pPr>
          </w:p>
        </w:tc>
        <w:tc>
          <w:tcPr>
            <w:tcW w:w="1212" w:type="dxa"/>
            <w:vAlign w:val="center"/>
          </w:tcPr>
          <w:p>
            <w:pPr>
              <w:spacing w:line="360" w:lineRule="auto"/>
              <w:jc w:val="center"/>
              <w:rPr>
                <w:color w:val="auto"/>
              </w:rPr>
            </w:pPr>
          </w:p>
        </w:tc>
        <w:tc>
          <w:tcPr>
            <w:tcW w:w="2294" w:type="dxa"/>
            <w:vAlign w:val="center"/>
          </w:tcPr>
          <w:p>
            <w:pPr>
              <w:adjustRightInd w:val="0"/>
              <w:snapToGrid w:val="0"/>
              <w:jc w:val="center"/>
              <w:rPr>
                <w:color w:val="auto"/>
              </w:rPr>
            </w:pPr>
            <w:r>
              <w:rPr>
                <w:rFonts w:hint="eastAsia" w:ascii="宋体" w:hAnsi="宋体" w:cs="宋体"/>
                <w:color w:val="auto"/>
                <w:szCs w:val="21"/>
              </w:rPr>
              <w:t>见第页至页</w:t>
            </w:r>
          </w:p>
        </w:tc>
        <w:tc>
          <w:tcPr>
            <w:tcW w:w="701" w:type="dxa"/>
          </w:tcPr>
          <w:p>
            <w:pPr>
              <w:spacing w:line="360" w:lineRule="auto"/>
              <w:jc w:val="center"/>
              <w:rPr>
                <w:color w:val="auto"/>
              </w:rPr>
            </w:pPr>
          </w:p>
        </w:tc>
        <w:tc>
          <w:tcPr>
            <w:tcW w:w="701" w:type="dxa"/>
          </w:tcPr>
          <w:p>
            <w:pPr>
              <w:spacing w:line="360" w:lineRule="auto"/>
              <w:jc w:val="center"/>
              <w:rPr>
                <w:color w:val="auto"/>
              </w:rPr>
            </w:pPr>
          </w:p>
        </w:tc>
        <w:tc>
          <w:tcPr>
            <w:tcW w:w="1207" w:type="dxa"/>
            <w:vAlign w:val="center"/>
          </w:tcPr>
          <w:p>
            <w:pPr>
              <w:spacing w:line="360" w:lineRule="auto"/>
              <w:jc w:val="center"/>
              <w:rPr>
                <w:color w:val="auto"/>
              </w:rPr>
            </w:pPr>
          </w:p>
        </w:tc>
      </w:tr>
    </w:tbl>
    <w:p>
      <w:pPr>
        <w:spacing w:line="360" w:lineRule="auto"/>
        <w:rPr>
          <w:b/>
          <w:color w:val="auto"/>
        </w:rPr>
      </w:pPr>
      <w:r>
        <w:rPr>
          <w:rFonts w:hint="eastAsia"/>
          <w:b/>
          <w:color w:val="auto"/>
        </w:rPr>
        <w:t>备注：</w:t>
      </w:r>
    </w:p>
    <w:p>
      <w:pPr>
        <w:pStyle w:val="90"/>
        <w:numPr>
          <w:ilvl w:val="0"/>
          <w:numId w:val="39"/>
        </w:numPr>
        <w:spacing w:line="500" w:lineRule="exact"/>
        <w:ind w:firstLineChars="0"/>
        <w:rPr>
          <w:rFonts w:ascii="宋体" w:hAnsi="宋体"/>
          <w:color w:val="auto"/>
        </w:rPr>
      </w:pPr>
      <w:r>
        <w:rPr>
          <w:rFonts w:hint="eastAsia" w:ascii="宋体" w:hAnsi="宋体"/>
          <w:color w:val="auto"/>
        </w:rPr>
        <w:t>、资料原件及本清单</w:t>
      </w:r>
      <w:r>
        <w:rPr>
          <w:rFonts w:hint="eastAsia" w:ascii="宋体" w:hAnsi="宋体"/>
          <w:bCs/>
          <w:color w:val="auto"/>
        </w:rPr>
        <w:t>与投标文件同时递交；</w:t>
      </w:r>
    </w:p>
    <w:p>
      <w:pPr>
        <w:pStyle w:val="90"/>
        <w:numPr>
          <w:ilvl w:val="0"/>
          <w:numId w:val="39"/>
        </w:numPr>
        <w:spacing w:line="500" w:lineRule="exact"/>
        <w:ind w:firstLineChars="0"/>
        <w:rPr>
          <w:rFonts w:ascii="宋体" w:hAnsi="宋体"/>
          <w:color w:val="auto"/>
        </w:rPr>
      </w:pPr>
      <w:r>
        <w:rPr>
          <w:rFonts w:hint="eastAsia" w:ascii="宋体" w:hAnsi="宋体"/>
          <w:color w:val="auto"/>
        </w:rPr>
        <w:t>、上表中“对应投标文件内页码”栏填写相应的资料复印件所在投标文件中的页码范围，以便评审时核对。</w:t>
      </w:r>
    </w:p>
    <w:p>
      <w:pPr>
        <w:spacing w:line="360" w:lineRule="auto"/>
        <w:rPr>
          <w:b/>
          <w:color w:val="auto"/>
        </w:rPr>
      </w:pPr>
    </w:p>
    <w:p>
      <w:pPr>
        <w:spacing w:line="500" w:lineRule="exact"/>
        <w:rPr>
          <w:rFonts w:ascii="宋体" w:hAnsi="宋体"/>
          <w:color w:val="auto"/>
          <w:sz w:val="24"/>
        </w:rPr>
      </w:pPr>
    </w:p>
    <w:p>
      <w:pPr>
        <w:spacing w:line="500" w:lineRule="exact"/>
        <w:rPr>
          <w:rFonts w:ascii="宋体" w:hAnsi="宋体"/>
          <w:color w:val="auto"/>
          <w:u w:val="single"/>
        </w:rPr>
      </w:pPr>
      <w:r>
        <w:rPr>
          <w:rFonts w:hint="eastAsia"/>
          <w:color w:val="auto"/>
          <w:spacing w:val="4"/>
        </w:rPr>
        <w:t>投标人名称（</w:t>
      </w:r>
      <w:r>
        <w:rPr>
          <w:rFonts w:hint="eastAsia" w:ascii="宋体" w:hAnsi="宋体"/>
          <w:color w:val="auto"/>
        </w:rPr>
        <w:t>单位盖</w:t>
      </w:r>
      <w:r>
        <w:rPr>
          <w:rFonts w:hint="eastAsia"/>
          <w:color w:val="auto"/>
          <w:spacing w:val="4"/>
        </w:rPr>
        <w:t>公章）：</w:t>
      </w:r>
    </w:p>
    <w:p>
      <w:pPr>
        <w:spacing w:line="520" w:lineRule="exact"/>
        <w:rPr>
          <w:rFonts w:ascii="Arial" w:hAnsi="Arial" w:eastAsia="黑体"/>
          <w:bCs/>
          <w:color w:val="auto"/>
          <w:sz w:val="32"/>
          <w:szCs w:val="32"/>
        </w:rPr>
      </w:pPr>
      <w:r>
        <w:rPr>
          <w:rFonts w:hint="eastAsia"/>
          <w:color w:val="auto"/>
          <w:spacing w:val="4"/>
        </w:rPr>
        <w:t>日期：</w:t>
      </w:r>
    </w:p>
    <w:p>
      <w:pPr>
        <w:spacing w:line="360" w:lineRule="auto"/>
        <w:ind w:left="4725"/>
        <w:rPr>
          <w:rFonts w:ascii="宋体" w:hAnsi="宋体"/>
          <w:color w:val="auto"/>
          <w:szCs w:val="21"/>
        </w:rPr>
      </w:pPr>
    </w:p>
    <w:bookmarkEnd w:id="107"/>
    <w:bookmarkEnd w:id="108"/>
    <w:bookmarkEnd w:id="109"/>
    <w:bookmarkEnd w:id="110"/>
    <w:p>
      <w:pPr>
        <w:widowControl/>
        <w:jc w:val="left"/>
        <w:rPr>
          <w:b/>
          <w:bCs/>
          <w:color w:val="auto"/>
          <w:sz w:val="28"/>
          <w:szCs w:val="28"/>
        </w:rPr>
      </w:pPr>
      <w:bookmarkStart w:id="111" w:name="_Toc435515319"/>
      <w:bookmarkStart w:id="112" w:name="_Toc435514879"/>
      <w:r>
        <w:rPr>
          <w:b/>
          <w:color w:val="auto"/>
        </w:rPr>
        <w:br w:type="page"/>
      </w:r>
      <w:bookmarkEnd w:id="111"/>
      <w:bookmarkEnd w:id="112"/>
      <w:bookmarkStart w:id="113" w:name="_Toc435516649"/>
      <w:bookmarkStart w:id="114" w:name="_Toc438223135"/>
      <w:bookmarkStart w:id="115" w:name="_Toc435174932"/>
    </w:p>
    <w:p>
      <w:pPr>
        <w:snapToGrid w:val="0"/>
        <w:spacing w:line="360" w:lineRule="auto"/>
        <w:jc w:val="center"/>
        <w:outlineLvl w:val="0"/>
        <w:rPr>
          <w:b/>
          <w:bCs/>
          <w:color w:val="auto"/>
          <w:sz w:val="28"/>
          <w:szCs w:val="28"/>
        </w:rPr>
      </w:pPr>
      <w:bookmarkStart w:id="116" w:name="_Toc25614"/>
      <w:r>
        <w:rPr>
          <w:rFonts w:hint="eastAsia"/>
          <w:b/>
          <w:bCs/>
          <w:color w:val="auto"/>
          <w:sz w:val="28"/>
          <w:szCs w:val="28"/>
        </w:rPr>
        <w:t>第七章 投标人须知</w:t>
      </w:r>
      <w:bookmarkEnd w:id="113"/>
      <w:bookmarkEnd w:id="114"/>
      <w:bookmarkEnd w:id="115"/>
      <w:bookmarkEnd w:id="116"/>
    </w:p>
    <w:p>
      <w:pPr>
        <w:numPr>
          <w:ilvl w:val="0"/>
          <w:numId w:val="40"/>
        </w:numPr>
        <w:autoSpaceDE w:val="0"/>
        <w:autoSpaceDN w:val="0"/>
        <w:adjustRightInd w:val="0"/>
        <w:snapToGrid w:val="0"/>
        <w:spacing w:line="360" w:lineRule="auto"/>
        <w:ind w:left="1012" w:hanging="1012" w:hangingChars="360"/>
        <w:jc w:val="center"/>
        <w:outlineLvl w:val="1"/>
        <w:rPr>
          <w:rFonts w:ascii="宋体" w:hAnsi="宋体"/>
          <w:b/>
          <w:color w:val="auto"/>
          <w:sz w:val="28"/>
          <w:szCs w:val="28"/>
        </w:rPr>
      </w:pPr>
      <w:bookmarkStart w:id="117" w:name="_Toc435174933"/>
      <w:bookmarkStart w:id="118" w:name="_Toc435516650"/>
      <w:bookmarkStart w:id="119" w:name="_Toc438223136"/>
      <w:r>
        <w:rPr>
          <w:rFonts w:ascii="宋体" w:hAnsi="宋体"/>
          <w:b/>
          <w:color w:val="auto"/>
          <w:sz w:val="28"/>
          <w:szCs w:val="28"/>
          <w:lang w:eastAsia="zh-TW"/>
        </w:rPr>
        <w:t>说 明</w:t>
      </w:r>
      <w:bookmarkEnd w:id="117"/>
      <w:bookmarkEnd w:id="118"/>
      <w:bookmarkEnd w:id="119"/>
      <w:bookmarkStart w:id="120" w:name="_Toc292267791"/>
    </w:p>
    <w:bookmarkEnd w:id="120"/>
    <w:p>
      <w:pPr>
        <w:numPr>
          <w:ilvl w:val="0"/>
          <w:numId w:val="41"/>
        </w:numPr>
        <w:autoSpaceDE w:val="0"/>
        <w:autoSpaceDN w:val="0"/>
        <w:adjustRightInd w:val="0"/>
        <w:snapToGrid w:val="0"/>
        <w:spacing w:line="360" w:lineRule="auto"/>
        <w:outlineLvl w:val="2"/>
        <w:rPr>
          <w:rFonts w:ascii="宋体" w:hAnsi="宋体"/>
          <w:b/>
          <w:bCs/>
          <w:color w:val="auto"/>
          <w:szCs w:val="21"/>
        </w:rPr>
      </w:pPr>
      <w:r>
        <w:rPr>
          <w:rFonts w:hint="eastAsia" w:ascii="宋体" w:hAnsi="宋体"/>
          <w:b/>
          <w:bCs/>
          <w:color w:val="auto"/>
          <w:szCs w:val="21"/>
        </w:rPr>
        <w:t>适用范围</w:t>
      </w:r>
    </w:p>
    <w:p>
      <w:pPr>
        <w:numPr>
          <w:ilvl w:val="1"/>
          <w:numId w:val="41"/>
        </w:numPr>
        <w:autoSpaceDE w:val="0"/>
        <w:autoSpaceDN w:val="0"/>
        <w:adjustRightInd w:val="0"/>
        <w:snapToGrid w:val="0"/>
        <w:spacing w:line="360" w:lineRule="auto"/>
        <w:jc w:val="left"/>
        <w:rPr>
          <w:rFonts w:ascii="宋体" w:hAnsi="宋体"/>
          <w:b/>
          <w:bCs/>
          <w:color w:val="auto"/>
          <w:szCs w:val="21"/>
        </w:rPr>
      </w:pPr>
      <w:r>
        <w:rPr>
          <w:rFonts w:hint="eastAsia" w:ascii="宋体" w:hAnsi="宋体"/>
          <w:color w:val="auto"/>
          <w:szCs w:val="21"/>
        </w:rPr>
        <w:t>本招标文件适用于本投标邀请中所述项目的采购。</w:t>
      </w:r>
    </w:p>
    <w:p>
      <w:pPr>
        <w:numPr>
          <w:ilvl w:val="0"/>
          <w:numId w:val="41"/>
        </w:numPr>
        <w:autoSpaceDE w:val="0"/>
        <w:autoSpaceDN w:val="0"/>
        <w:adjustRightInd w:val="0"/>
        <w:snapToGrid w:val="0"/>
        <w:spacing w:line="360" w:lineRule="auto"/>
        <w:ind w:left="449" w:hanging="449" w:hangingChars="213"/>
        <w:outlineLvl w:val="2"/>
        <w:rPr>
          <w:rFonts w:ascii="宋体" w:hAnsi="宋体"/>
          <w:b/>
          <w:bCs/>
          <w:strike/>
          <w:color w:val="auto"/>
          <w:szCs w:val="21"/>
        </w:rPr>
      </w:pPr>
      <w:r>
        <w:rPr>
          <w:rFonts w:hint="eastAsia" w:ascii="宋体" w:hAnsi="宋体"/>
          <w:b/>
          <w:color w:val="auto"/>
          <w:szCs w:val="21"/>
        </w:rPr>
        <w:t>定义</w:t>
      </w:r>
    </w:p>
    <w:p>
      <w:pPr>
        <w:numPr>
          <w:ilvl w:val="1"/>
          <w:numId w:val="41"/>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采购人指各级</w:t>
      </w:r>
      <w:r>
        <w:rPr>
          <w:rFonts w:ascii="宋体" w:hAnsi="宋体"/>
          <w:color w:val="auto"/>
          <w:szCs w:val="21"/>
        </w:rPr>
        <w:t>国家机关、事业单位和团体组织</w:t>
      </w:r>
      <w:r>
        <w:rPr>
          <w:rFonts w:hint="eastAsia" w:ascii="宋体" w:hAnsi="宋体"/>
          <w:color w:val="auto"/>
          <w:szCs w:val="21"/>
        </w:rPr>
        <w:t>。</w:t>
      </w:r>
      <w:r>
        <w:rPr>
          <w:rFonts w:hint="eastAsia" w:ascii="宋体" w:hAnsi="宋体" w:cs="宋体"/>
          <w:color w:val="auto"/>
          <w:szCs w:val="21"/>
          <w:lang w:eastAsia="zh-TW"/>
        </w:rPr>
        <w:t>本招标文件第</w:t>
      </w:r>
      <w:r>
        <w:rPr>
          <w:rFonts w:hint="eastAsia" w:ascii="宋体" w:hAnsi="宋体" w:cs="宋体"/>
          <w:color w:val="auto"/>
          <w:szCs w:val="21"/>
        </w:rPr>
        <w:t>二</w:t>
      </w:r>
      <w:r>
        <w:rPr>
          <w:rFonts w:hint="eastAsia" w:ascii="宋体" w:hAnsi="宋体" w:cs="宋体"/>
          <w:color w:val="auto"/>
          <w:szCs w:val="21"/>
          <w:lang w:eastAsia="zh-TW"/>
        </w:rPr>
        <w:t>章</w:t>
      </w:r>
      <w:r>
        <w:rPr>
          <w:rFonts w:hint="eastAsia" w:ascii="宋体" w:hAnsi="宋体" w:cs="黑体"/>
          <w:b/>
          <w:color w:val="auto"/>
          <w:szCs w:val="21"/>
          <w:lang w:eastAsia="zh-TW"/>
        </w:rPr>
        <w:t>投标资料表</w:t>
      </w:r>
      <w:r>
        <w:rPr>
          <w:rFonts w:hint="eastAsia" w:ascii="宋体" w:hAnsi="宋体" w:cs="宋体"/>
          <w:color w:val="auto"/>
          <w:szCs w:val="21"/>
          <w:lang w:eastAsia="zh-TW"/>
        </w:rPr>
        <w:t>中所述的采购人已拥有一笔资金</w:t>
      </w:r>
      <w:r>
        <w:rPr>
          <w:rFonts w:hint="eastAsia" w:ascii="宋体" w:hAnsi="宋体" w:cs="宋体"/>
          <w:color w:val="auto"/>
          <w:szCs w:val="21"/>
        </w:rPr>
        <w:t>或资金来源已落实</w:t>
      </w:r>
      <w:r>
        <w:rPr>
          <w:rFonts w:hint="eastAsia" w:ascii="宋体" w:hAnsi="宋体" w:cs="宋体"/>
          <w:color w:val="auto"/>
          <w:szCs w:val="21"/>
          <w:lang w:eastAsia="zh-TW"/>
        </w:rPr>
        <w:t>。采购人计划将一部分</w:t>
      </w:r>
      <w:r>
        <w:rPr>
          <w:rFonts w:hint="eastAsia" w:ascii="宋体" w:hAnsi="宋体" w:cs="宋体"/>
          <w:color w:val="auto"/>
          <w:szCs w:val="21"/>
        </w:rPr>
        <w:t>或全部</w:t>
      </w:r>
      <w:r>
        <w:rPr>
          <w:rFonts w:hint="eastAsia" w:ascii="宋体" w:hAnsi="宋体" w:cs="宋体"/>
          <w:color w:val="auto"/>
          <w:szCs w:val="21"/>
          <w:lang w:eastAsia="zh-TW"/>
        </w:rPr>
        <w:t>资金用于支付本次</w:t>
      </w:r>
      <w:r>
        <w:rPr>
          <w:rFonts w:hint="eastAsia" w:ascii="宋体" w:hAnsi="宋体" w:cs="宋体"/>
          <w:color w:val="auto"/>
          <w:szCs w:val="21"/>
        </w:rPr>
        <w:t>采购</w:t>
      </w:r>
      <w:r>
        <w:rPr>
          <w:rFonts w:hint="eastAsia" w:ascii="宋体" w:hAnsi="宋体" w:cs="宋体"/>
          <w:color w:val="auto"/>
          <w:szCs w:val="21"/>
          <w:lang w:eastAsia="zh-TW"/>
        </w:rPr>
        <w:t>后所签订合同项下的款项</w:t>
      </w:r>
      <w:r>
        <w:rPr>
          <w:rFonts w:hint="eastAsia" w:ascii="宋体" w:hAnsi="宋体" w:cs="宋体"/>
          <w:color w:val="auto"/>
          <w:szCs w:val="21"/>
        </w:rPr>
        <w:t>。</w:t>
      </w:r>
    </w:p>
    <w:p>
      <w:pPr>
        <w:numPr>
          <w:ilvl w:val="1"/>
          <w:numId w:val="41"/>
        </w:numPr>
        <w:autoSpaceDE w:val="0"/>
        <w:autoSpaceDN w:val="0"/>
        <w:adjustRightInd w:val="0"/>
        <w:snapToGrid w:val="0"/>
        <w:spacing w:line="360" w:lineRule="auto"/>
        <w:rPr>
          <w:rFonts w:ascii="宋体" w:hAnsi="宋体"/>
          <w:strike/>
          <w:color w:val="auto"/>
          <w:szCs w:val="21"/>
        </w:rPr>
      </w:pPr>
      <w:r>
        <w:rPr>
          <w:rFonts w:hint="eastAsia" w:ascii="宋体" w:hAnsi="宋体"/>
          <w:color w:val="auto"/>
          <w:szCs w:val="21"/>
        </w:rPr>
        <w:t>采购代理机构指按照规定办理名录登记并通过审核的代理机构，其联系方式详见</w:t>
      </w:r>
      <w:r>
        <w:rPr>
          <w:rFonts w:hint="eastAsia" w:ascii="宋体" w:hAnsi="宋体"/>
          <w:b/>
          <w:color w:val="auto"/>
          <w:szCs w:val="21"/>
        </w:rPr>
        <w:t>投标资料表</w:t>
      </w:r>
      <w:r>
        <w:rPr>
          <w:rFonts w:hint="eastAsia" w:ascii="宋体" w:hAnsi="宋体"/>
          <w:color w:val="auto"/>
          <w:szCs w:val="21"/>
        </w:rPr>
        <w:t>。</w:t>
      </w:r>
    </w:p>
    <w:p>
      <w:pPr>
        <w:numPr>
          <w:ilvl w:val="1"/>
          <w:numId w:val="41"/>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供应商是指在中华人民共和国境内注册（登记），向采购人提供货物、工程或者服务的法人、其他组织或者自然人。</w:t>
      </w:r>
    </w:p>
    <w:p>
      <w:pPr>
        <w:numPr>
          <w:ilvl w:val="1"/>
          <w:numId w:val="41"/>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投标人是指响应招标、参加投标竞争的法人、其他组织或者自然人。</w:t>
      </w:r>
    </w:p>
    <w:p>
      <w:pPr>
        <w:numPr>
          <w:ilvl w:val="1"/>
          <w:numId w:val="41"/>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中标人是指经法定程序确定并授予合同的投标人。</w:t>
      </w:r>
    </w:p>
    <w:p>
      <w:pPr>
        <w:numPr>
          <w:ilvl w:val="0"/>
          <w:numId w:val="41"/>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合格的货物和服务</w:t>
      </w:r>
    </w:p>
    <w:p>
      <w:pPr>
        <w:numPr>
          <w:ilvl w:val="1"/>
          <w:numId w:val="41"/>
        </w:numPr>
        <w:autoSpaceDE w:val="0"/>
        <w:autoSpaceDN w:val="0"/>
        <w:adjustRightInd w:val="0"/>
        <w:snapToGrid w:val="0"/>
        <w:spacing w:line="360" w:lineRule="auto"/>
        <w:rPr>
          <w:rFonts w:ascii="宋体" w:hAnsi="宋体" w:cs="黑体"/>
          <w:b/>
          <w:bCs/>
          <w:color w:val="auto"/>
          <w:szCs w:val="21"/>
        </w:rPr>
      </w:pPr>
      <w:r>
        <w:rPr>
          <w:rFonts w:hint="eastAsia" w:ascii="宋体" w:hAnsi="宋体"/>
          <w:color w:val="auto"/>
          <w:szCs w:val="21"/>
        </w:rPr>
        <w:t>货物：是指投标人制造或组织符合招标文件要求的货物等。投标的货物必须是其合法生产、合法来源的符合国家有关标准要求的货物，并满足招标文件规定的规格、参数、质量、价格、有效期、售后服务等要求。</w:t>
      </w:r>
    </w:p>
    <w:p>
      <w:pPr>
        <w:numPr>
          <w:ilvl w:val="1"/>
          <w:numId w:val="41"/>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服务：是指除货物和工程以外的其他采购对象，其中包括：投标人须承担的运输、安装、技术支持、培训以及招标文件规定的其它服务。</w:t>
      </w:r>
    </w:p>
    <w:p>
      <w:pPr>
        <w:numPr>
          <w:ilvl w:val="1"/>
          <w:numId w:val="41"/>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若所投产品属于政府强制采购节能产品的，则投标人必须提供该产品国家强制性节能产品进行响应，并提供强制性节能产品认证证书，否则视为无效投标。</w:t>
      </w:r>
    </w:p>
    <w:p>
      <w:pPr>
        <w:numPr>
          <w:ilvl w:val="0"/>
          <w:numId w:val="41"/>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投标费用</w:t>
      </w:r>
    </w:p>
    <w:p>
      <w:pPr>
        <w:numPr>
          <w:ilvl w:val="1"/>
          <w:numId w:val="41"/>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投标人应承担所有与准备和参加投标有关的费用。不论投标的结果如何</w:t>
      </w:r>
      <w:r>
        <w:rPr>
          <w:rFonts w:hint="eastAsia" w:ascii="宋体" w:hAnsi="宋体" w:cs="宋体"/>
          <w:color w:val="auto"/>
          <w:szCs w:val="21"/>
        </w:rPr>
        <w:t>，</w:t>
      </w:r>
      <w:r>
        <w:rPr>
          <w:rFonts w:hint="eastAsia" w:ascii="宋体" w:hAnsi="宋体" w:cs="宋体"/>
          <w:color w:val="auto"/>
          <w:szCs w:val="21"/>
          <w:lang w:eastAsia="zh-TW"/>
        </w:rPr>
        <w:t>采购人或者采购代理机构均无义务和责任承担这些费用</w:t>
      </w:r>
      <w:r>
        <w:rPr>
          <w:rFonts w:hint="eastAsia" w:ascii="宋体" w:hAnsi="宋体" w:cs="宋体"/>
          <w:color w:val="auto"/>
          <w:szCs w:val="21"/>
        </w:rPr>
        <w:t>。</w:t>
      </w:r>
    </w:p>
    <w:p>
      <w:pPr>
        <w:numPr>
          <w:ilvl w:val="0"/>
          <w:numId w:val="41"/>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其他</w:t>
      </w:r>
    </w:p>
    <w:p>
      <w:pPr>
        <w:numPr>
          <w:ilvl w:val="1"/>
          <w:numId w:val="41"/>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所有时间均为24小时制北京时间，所有货币单位均为人民币元，所使用的计量单位均以《中华人民共和国法定计量单位》为准（特别注明除外）</w:t>
      </w:r>
      <w:r>
        <w:rPr>
          <w:rFonts w:hint="eastAsia" w:ascii="宋体" w:hAnsi="宋体" w:cs="宋体"/>
          <w:color w:val="auto"/>
          <w:szCs w:val="21"/>
        </w:rPr>
        <w:t>。</w:t>
      </w:r>
    </w:p>
    <w:p>
      <w:pPr>
        <w:numPr>
          <w:ilvl w:val="1"/>
          <w:numId w:val="41"/>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供应商（投标人）向我司咨询的有关项目事项，一切以法律法规的规定和本公司书面答复为准，其他一切形式均为个人意见，不代表本公司的意见。</w:t>
      </w:r>
    </w:p>
    <w:p>
      <w:pPr>
        <w:numPr>
          <w:ilvl w:val="0"/>
          <w:numId w:val="40"/>
        </w:numPr>
        <w:autoSpaceDE w:val="0"/>
        <w:autoSpaceDN w:val="0"/>
        <w:adjustRightInd w:val="0"/>
        <w:snapToGrid w:val="0"/>
        <w:spacing w:line="360" w:lineRule="auto"/>
        <w:ind w:left="1012" w:hanging="1012" w:hangingChars="360"/>
        <w:jc w:val="center"/>
        <w:outlineLvl w:val="1"/>
        <w:rPr>
          <w:rFonts w:ascii="宋体" w:hAnsi="宋体"/>
          <w:b/>
          <w:color w:val="auto"/>
          <w:sz w:val="28"/>
          <w:szCs w:val="28"/>
          <w:lang w:eastAsia="zh-TW"/>
        </w:rPr>
      </w:pPr>
      <w:bookmarkStart w:id="121" w:name="_Toc435174934"/>
      <w:bookmarkStart w:id="122" w:name="_Toc438223137"/>
      <w:bookmarkStart w:id="123" w:name="_Toc435516651"/>
      <w:r>
        <w:rPr>
          <w:rFonts w:hint="eastAsia" w:ascii="宋体" w:hAnsi="宋体"/>
          <w:b/>
          <w:color w:val="auto"/>
          <w:sz w:val="28"/>
          <w:szCs w:val="28"/>
          <w:lang w:eastAsia="zh-TW"/>
        </w:rPr>
        <w:t>招标文件</w:t>
      </w:r>
      <w:bookmarkEnd w:id="121"/>
      <w:bookmarkEnd w:id="122"/>
      <w:bookmarkEnd w:id="123"/>
    </w:p>
    <w:p>
      <w:pPr>
        <w:numPr>
          <w:ilvl w:val="0"/>
          <w:numId w:val="41"/>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招标文件的编制依据与构成</w:t>
      </w:r>
    </w:p>
    <w:p>
      <w:pPr>
        <w:numPr>
          <w:ilvl w:val="1"/>
          <w:numId w:val="41"/>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本招标文件的编制参照《中华人民共和国政府采购法》及其实施条例、《政府采购货物和服务招标投标管理办法》及其配套的法规、规章、政策等。</w:t>
      </w:r>
    </w:p>
    <w:p>
      <w:pPr>
        <w:numPr>
          <w:ilvl w:val="1"/>
          <w:numId w:val="41"/>
        </w:numPr>
        <w:autoSpaceDE w:val="0"/>
        <w:autoSpaceDN w:val="0"/>
        <w:adjustRightInd w:val="0"/>
        <w:snapToGrid w:val="0"/>
        <w:spacing w:line="360" w:lineRule="auto"/>
        <w:rPr>
          <w:rFonts w:ascii="宋体" w:hAnsi="宋体"/>
          <w:color w:val="auto"/>
          <w:szCs w:val="21"/>
        </w:rPr>
      </w:pPr>
      <w:r>
        <w:rPr>
          <w:rFonts w:hint="eastAsia" w:ascii="宋体" w:hAnsi="宋体" w:cs="宋体"/>
          <w:color w:val="auto"/>
          <w:szCs w:val="21"/>
          <w:lang w:eastAsia="zh-TW"/>
        </w:rPr>
        <w:t>招标文件以中文文字编写。招标文件共</w:t>
      </w:r>
      <w:r>
        <w:rPr>
          <w:rFonts w:hint="eastAsia" w:ascii="宋体" w:hAnsi="宋体" w:cs="宋体"/>
          <w:color w:val="auto"/>
          <w:szCs w:val="21"/>
        </w:rPr>
        <w:t>七</w:t>
      </w:r>
      <w:r>
        <w:rPr>
          <w:rFonts w:hint="eastAsia" w:ascii="宋体" w:hAnsi="宋体" w:cs="宋体"/>
          <w:color w:val="auto"/>
          <w:szCs w:val="21"/>
          <w:lang w:eastAsia="zh-TW"/>
        </w:rPr>
        <w:t>章。</w:t>
      </w:r>
      <w:r>
        <w:rPr>
          <w:rFonts w:hint="eastAsia" w:ascii="宋体" w:hAnsi="宋体" w:cs="宋体"/>
          <w:color w:val="auto"/>
          <w:szCs w:val="21"/>
        </w:rPr>
        <w:t>由下列文件以及在招标过程中发出的澄清、修改和补充文件组成，</w:t>
      </w:r>
      <w:r>
        <w:rPr>
          <w:rFonts w:hint="eastAsia" w:ascii="宋体" w:hAnsi="宋体" w:cs="宋体"/>
          <w:color w:val="auto"/>
          <w:szCs w:val="21"/>
          <w:lang w:eastAsia="zh-TW"/>
        </w:rPr>
        <w:t>内容如下</w:t>
      </w:r>
      <w:r>
        <w:rPr>
          <w:rFonts w:hint="eastAsia" w:ascii="宋体" w:hAnsi="宋体" w:cs="宋体"/>
          <w:color w:val="auto"/>
          <w:szCs w:val="21"/>
        </w:rPr>
        <w:t>：</w:t>
      </w:r>
    </w:p>
    <w:p>
      <w:pPr>
        <w:snapToGrid w:val="0"/>
        <w:spacing w:line="360" w:lineRule="auto"/>
        <w:ind w:left="445" w:leftChars="212" w:firstLine="1"/>
        <w:rPr>
          <w:rFonts w:ascii="宋体" w:hAnsi="宋体"/>
          <w:b/>
          <w:color w:val="auto"/>
          <w:szCs w:val="21"/>
        </w:rPr>
      </w:pPr>
      <w:r>
        <w:rPr>
          <w:rFonts w:hint="eastAsia" w:ascii="宋体" w:hAnsi="宋体" w:cs="宋体"/>
          <w:b/>
          <w:color w:val="auto"/>
          <w:szCs w:val="21"/>
          <w:lang w:eastAsia="zh-TW"/>
        </w:rPr>
        <w:t>第一章</w:t>
      </w:r>
      <w:r>
        <w:rPr>
          <w:rFonts w:hint="eastAsia" w:ascii="宋体" w:hAnsi="宋体" w:cs="宋体"/>
          <w:b/>
          <w:color w:val="auto"/>
          <w:szCs w:val="21"/>
        </w:rPr>
        <w:t>　</w:t>
      </w:r>
      <w:r>
        <w:rPr>
          <w:rFonts w:hint="eastAsia" w:ascii="宋体" w:hAnsi="宋体" w:cs="宋体"/>
          <w:b/>
          <w:color w:val="auto"/>
          <w:szCs w:val="21"/>
          <w:lang w:eastAsia="zh-TW"/>
        </w:rPr>
        <w:t>投标邀请</w:t>
      </w:r>
    </w:p>
    <w:p>
      <w:pPr>
        <w:snapToGrid w:val="0"/>
        <w:spacing w:line="360" w:lineRule="auto"/>
        <w:ind w:left="445" w:leftChars="212" w:firstLine="1"/>
        <w:rPr>
          <w:rFonts w:ascii="宋体" w:hAnsi="宋体"/>
          <w:b/>
          <w:color w:val="auto"/>
          <w:szCs w:val="21"/>
        </w:rPr>
      </w:pPr>
      <w:r>
        <w:rPr>
          <w:rFonts w:hint="eastAsia" w:ascii="宋体" w:hAnsi="宋体" w:cs="宋体"/>
          <w:b/>
          <w:color w:val="auto"/>
          <w:szCs w:val="21"/>
          <w:lang w:eastAsia="zh-TW"/>
        </w:rPr>
        <w:t>第二章</w:t>
      </w:r>
      <w:r>
        <w:rPr>
          <w:rFonts w:hint="eastAsia" w:ascii="宋体" w:hAnsi="宋体" w:cs="宋体"/>
          <w:b/>
          <w:color w:val="auto"/>
          <w:szCs w:val="21"/>
        </w:rPr>
        <w:t>　</w:t>
      </w:r>
      <w:r>
        <w:rPr>
          <w:rFonts w:hint="eastAsia" w:ascii="宋体" w:hAnsi="宋体" w:cs="宋体"/>
          <w:b/>
          <w:color w:val="auto"/>
          <w:szCs w:val="21"/>
          <w:lang w:eastAsia="zh-TW"/>
        </w:rPr>
        <w:t>投标资料表</w:t>
      </w:r>
    </w:p>
    <w:p>
      <w:pPr>
        <w:snapToGrid w:val="0"/>
        <w:spacing w:line="360" w:lineRule="auto"/>
        <w:ind w:left="445" w:leftChars="212" w:firstLine="1"/>
        <w:rPr>
          <w:rFonts w:ascii="宋体" w:hAnsi="宋体" w:cs="宋体"/>
          <w:b/>
          <w:color w:val="auto"/>
          <w:szCs w:val="21"/>
        </w:rPr>
      </w:pPr>
      <w:r>
        <w:rPr>
          <w:rFonts w:hint="eastAsia" w:ascii="宋体" w:hAnsi="宋体" w:cs="宋体"/>
          <w:b/>
          <w:color w:val="auto"/>
          <w:szCs w:val="21"/>
        </w:rPr>
        <w:t>第三章　开标、评标、定标</w:t>
      </w:r>
    </w:p>
    <w:p>
      <w:pPr>
        <w:snapToGrid w:val="0"/>
        <w:spacing w:line="360" w:lineRule="auto"/>
        <w:ind w:left="445" w:leftChars="212" w:firstLine="1"/>
        <w:rPr>
          <w:rFonts w:ascii="宋体" w:hAnsi="宋体"/>
          <w:b/>
          <w:color w:val="auto"/>
          <w:szCs w:val="21"/>
        </w:rPr>
      </w:pPr>
      <w:r>
        <w:rPr>
          <w:rFonts w:hint="eastAsia" w:ascii="宋体" w:hAnsi="宋体" w:cs="宋体"/>
          <w:b/>
          <w:color w:val="auto"/>
          <w:szCs w:val="21"/>
          <w:lang w:eastAsia="zh-TW"/>
        </w:rPr>
        <w:t>第</w:t>
      </w:r>
      <w:r>
        <w:rPr>
          <w:rFonts w:hint="eastAsia" w:ascii="宋体" w:hAnsi="宋体" w:cs="宋体"/>
          <w:b/>
          <w:color w:val="auto"/>
          <w:szCs w:val="21"/>
        </w:rPr>
        <w:t>四</w:t>
      </w:r>
      <w:r>
        <w:rPr>
          <w:rFonts w:hint="eastAsia" w:ascii="宋体" w:hAnsi="宋体" w:cs="宋体"/>
          <w:b/>
          <w:color w:val="auto"/>
          <w:szCs w:val="21"/>
          <w:lang w:eastAsia="zh-TW"/>
        </w:rPr>
        <w:t>章</w:t>
      </w:r>
      <w:r>
        <w:rPr>
          <w:rFonts w:hint="eastAsia" w:ascii="宋体" w:hAnsi="宋体" w:cs="宋体"/>
          <w:b/>
          <w:color w:val="auto"/>
          <w:szCs w:val="21"/>
        </w:rPr>
        <w:t>　</w:t>
      </w:r>
      <w:r>
        <w:rPr>
          <w:rFonts w:hint="eastAsia" w:ascii="宋体" w:hAnsi="宋体" w:cs="宋体"/>
          <w:b/>
          <w:color w:val="auto"/>
          <w:szCs w:val="21"/>
          <w:lang w:eastAsia="zh-TW"/>
        </w:rPr>
        <w:t>用户需求书</w:t>
      </w:r>
    </w:p>
    <w:p>
      <w:pPr>
        <w:snapToGrid w:val="0"/>
        <w:spacing w:line="360" w:lineRule="auto"/>
        <w:ind w:left="445" w:leftChars="212" w:firstLine="1"/>
        <w:rPr>
          <w:rFonts w:ascii="宋体" w:hAnsi="宋体"/>
          <w:b/>
          <w:color w:val="auto"/>
          <w:szCs w:val="21"/>
        </w:rPr>
      </w:pPr>
      <w:r>
        <w:rPr>
          <w:rFonts w:hint="eastAsia" w:ascii="宋体" w:hAnsi="宋体" w:cs="宋体"/>
          <w:b/>
          <w:color w:val="auto"/>
          <w:szCs w:val="21"/>
          <w:lang w:eastAsia="zh-TW"/>
        </w:rPr>
        <w:t>第</w:t>
      </w:r>
      <w:r>
        <w:rPr>
          <w:rFonts w:hint="eastAsia" w:ascii="宋体" w:hAnsi="宋体" w:cs="宋体"/>
          <w:b/>
          <w:color w:val="auto"/>
          <w:szCs w:val="21"/>
        </w:rPr>
        <w:t>五</w:t>
      </w:r>
      <w:r>
        <w:rPr>
          <w:rFonts w:hint="eastAsia" w:ascii="宋体" w:hAnsi="宋体" w:cs="宋体"/>
          <w:b/>
          <w:color w:val="auto"/>
          <w:szCs w:val="21"/>
          <w:lang w:eastAsia="zh-TW"/>
        </w:rPr>
        <w:t>章</w:t>
      </w:r>
      <w:r>
        <w:rPr>
          <w:rFonts w:hint="eastAsia" w:ascii="宋体" w:hAnsi="宋体" w:cs="宋体"/>
          <w:b/>
          <w:color w:val="auto"/>
          <w:szCs w:val="21"/>
        </w:rPr>
        <w:t>　</w:t>
      </w:r>
      <w:r>
        <w:rPr>
          <w:rFonts w:hint="eastAsia" w:ascii="宋体" w:hAnsi="宋体" w:cs="宋体"/>
          <w:b/>
          <w:color w:val="auto"/>
          <w:szCs w:val="21"/>
          <w:lang w:eastAsia="zh-TW"/>
        </w:rPr>
        <w:t>合同</w:t>
      </w:r>
      <w:r>
        <w:rPr>
          <w:rFonts w:hint="eastAsia" w:ascii="宋体" w:hAnsi="宋体" w:cs="宋体"/>
          <w:b/>
          <w:color w:val="auto"/>
          <w:szCs w:val="21"/>
        </w:rPr>
        <w:t>文本</w:t>
      </w:r>
    </w:p>
    <w:p>
      <w:pPr>
        <w:snapToGrid w:val="0"/>
        <w:spacing w:line="360" w:lineRule="auto"/>
        <w:ind w:left="445" w:leftChars="212" w:firstLine="1"/>
        <w:rPr>
          <w:rFonts w:ascii="宋体" w:hAnsi="宋体" w:cs="宋体"/>
          <w:b/>
          <w:color w:val="auto"/>
          <w:szCs w:val="21"/>
        </w:rPr>
      </w:pPr>
      <w:r>
        <w:rPr>
          <w:rFonts w:hint="eastAsia" w:ascii="宋体" w:hAnsi="宋体" w:cs="宋体"/>
          <w:b/>
          <w:color w:val="auto"/>
          <w:szCs w:val="21"/>
          <w:lang w:eastAsia="zh-TW"/>
        </w:rPr>
        <w:t>第</w:t>
      </w:r>
      <w:r>
        <w:rPr>
          <w:rFonts w:hint="eastAsia" w:ascii="宋体" w:hAnsi="宋体" w:cs="宋体"/>
          <w:b/>
          <w:color w:val="auto"/>
          <w:szCs w:val="21"/>
        </w:rPr>
        <w:t>六</w:t>
      </w:r>
      <w:r>
        <w:rPr>
          <w:rFonts w:hint="eastAsia" w:ascii="宋体" w:hAnsi="宋体" w:cs="宋体"/>
          <w:b/>
          <w:color w:val="auto"/>
          <w:szCs w:val="21"/>
          <w:lang w:eastAsia="zh-TW"/>
        </w:rPr>
        <w:t>章</w:t>
      </w:r>
      <w:r>
        <w:rPr>
          <w:rFonts w:hint="eastAsia" w:ascii="宋体" w:hAnsi="宋体" w:cs="宋体"/>
          <w:b/>
          <w:color w:val="auto"/>
          <w:szCs w:val="21"/>
        </w:rPr>
        <w:t>　投标文件格式</w:t>
      </w:r>
    </w:p>
    <w:p>
      <w:pPr>
        <w:snapToGrid w:val="0"/>
        <w:spacing w:line="360" w:lineRule="auto"/>
        <w:ind w:left="445" w:leftChars="212" w:firstLine="1"/>
        <w:rPr>
          <w:rFonts w:ascii="宋体" w:hAnsi="宋体"/>
          <w:b/>
          <w:color w:val="auto"/>
          <w:szCs w:val="21"/>
        </w:rPr>
      </w:pPr>
      <w:r>
        <w:rPr>
          <w:rFonts w:hint="eastAsia" w:ascii="宋体" w:hAnsi="宋体" w:cs="宋体"/>
          <w:b/>
          <w:color w:val="auto"/>
          <w:szCs w:val="21"/>
        </w:rPr>
        <w:t>第七章　</w:t>
      </w:r>
      <w:r>
        <w:rPr>
          <w:rFonts w:hint="eastAsia" w:ascii="宋体" w:hAnsi="宋体" w:cs="宋体"/>
          <w:b/>
          <w:color w:val="auto"/>
          <w:szCs w:val="21"/>
          <w:lang w:eastAsia="zh-TW"/>
        </w:rPr>
        <w:t>投标人须知</w:t>
      </w:r>
    </w:p>
    <w:p>
      <w:pPr>
        <w:numPr>
          <w:ilvl w:val="1"/>
          <w:numId w:val="41"/>
        </w:numPr>
        <w:autoSpaceDE w:val="0"/>
        <w:autoSpaceDN w:val="0"/>
        <w:adjustRightInd w:val="0"/>
        <w:snapToGrid w:val="0"/>
        <w:spacing w:line="360" w:lineRule="auto"/>
        <w:jc w:val="left"/>
        <w:rPr>
          <w:rFonts w:ascii="宋体" w:hAnsi="宋体" w:cs="宋体"/>
          <w:color w:val="auto"/>
          <w:szCs w:val="21"/>
          <w:lang w:eastAsia="zh-TW"/>
        </w:rPr>
      </w:pPr>
      <w:r>
        <w:rPr>
          <w:rFonts w:hint="eastAsia" w:ascii="宋体" w:hAnsi="宋体" w:cs="宋体"/>
          <w:color w:val="auto"/>
          <w:szCs w:val="21"/>
        </w:rPr>
        <w:t>本</w:t>
      </w:r>
      <w:r>
        <w:rPr>
          <w:rFonts w:hint="eastAsia" w:ascii="宋体" w:hAnsi="宋体" w:cs="宋体"/>
          <w:color w:val="auto"/>
          <w:szCs w:val="21"/>
          <w:lang w:eastAsia="zh-TW"/>
        </w:rPr>
        <w:t>招标文件的解释权归“</w:t>
      </w:r>
      <w:r>
        <w:rPr>
          <w:rFonts w:hint="eastAsia" w:ascii="宋体" w:hAnsi="宋体" w:cs="宋体"/>
          <w:color w:val="auto"/>
          <w:szCs w:val="21"/>
        </w:rPr>
        <w:t>广东公信招标有限公司</w:t>
      </w:r>
      <w:r>
        <w:rPr>
          <w:rFonts w:hint="eastAsia" w:ascii="宋体" w:hAnsi="宋体" w:cs="宋体"/>
          <w:color w:val="auto"/>
          <w:szCs w:val="21"/>
          <w:lang w:eastAsia="zh-TW"/>
        </w:rPr>
        <w:t>”所有。</w:t>
      </w:r>
    </w:p>
    <w:p>
      <w:pPr>
        <w:numPr>
          <w:ilvl w:val="0"/>
          <w:numId w:val="41"/>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招标文件的澄清或修改</w:t>
      </w:r>
    </w:p>
    <w:p>
      <w:pPr>
        <w:numPr>
          <w:ilvl w:val="1"/>
          <w:numId w:val="41"/>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采购人或者采购代理机构可以对已发出的招标文件进行必要的澄清或者修改。澄清或者修改应当在原公告发布媒体上发布澄清</w:t>
      </w:r>
      <w:r>
        <w:rPr>
          <w:rFonts w:hint="eastAsia" w:ascii="宋体" w:hAnsi="宋体"/>
          <w:color w:val="auto"/>
          <w:szCs w:val="21"/>
        </w:rPr>
        <w:t>（更正/变更）</w:t>
      </w:r>
      <w:r>
        <w:rPr>
          <w:rFonts w:hint="eastAsia" w:ascii="宋体" w:hAnsi="宋体" w:cs="宋体"/>
          <w:color w:val="auto"/>
          <w:szCs w:val="21"/>
          <w:lang w:eastAsia="zh-TW"/>
        </w:rPr>
        <w:t>公告。</w:t>
      </w:r>
    </w:p>
    <w:p>
      <w:pPr>
        <w:numPr>
          <w:ilvl w:val="1"/>
          <w:numId w:val="41"/>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numPr>
          <w:ilvl w:val="1"/>
          <w:numId w:val="41"/>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采购人或者采购代理机构</w:t>
      </w:r>
      <w:r>
        <w:rPr>
          <w:rFonts w:hint="eastAsia" w:ascii="宋体" w:hAnsi="宋体" w:cs="宋体"/>
          <w:color w:val="auto"/>
          <w:szCs w:val="21"/>
        </w:rPr>
        <w:t>将</w:t>
      </w:r>
      <w:r>
        <w:rPr>
          <w:rFonts w:hint="eastAsia" w:ascii="宋体" w:hAnsi="宋体" w:cs="宋体"/>
          <w:color w:val="auto"/>
          <w:szCs w:val="21"/>
          <w:lang w:eastAsia="zh-TW"/>
        </w:rPr>
        <w:t>澄清</w:t>
      </w:r>
      <w:r>
        <w:rPr>
          <w:rFonts w:hint="eastAsia" w:ascii="宋体" w:hAnsi="宋体"/>
          <w:color w:val="auto"/>
          <w:szCs w:val="21"/>
        </w:rPr>
        <w:t>（更正/变更）</w:t>
      </w:r>
      <w:r>
        <w:rPr>
          <w:rFonts w:hint="eastAsia" w:ascii="宋体" w:hAnsi="宋体" w:cs="宋体"/>
          <w:color w:val="auto"/>
          <w:szCs w:val="21"/>
          <w:lang w:eastAsia="zh-TW"/>
        </w:rPr>
        <w:t>公告</w:t>
      </w:r>
      <w:r>
        <w:rPr>
          <w:rFonts w:hint="eastAsia" w:ascii="宋体" w:hAnsi="宋体"/>
          <w:color w:val="auto"/>
          <w:szCs w:val="21"/>
        </w:rPr>
        <w:t>通知</w:t>
      </w:r>
      <w:r>
        <w:rPr>
          <w:rFonts w:hint="eastAsia"/>
          <w:bCs/>
          <w:color w:val="auto"/>
          <w:szCs w:val="21"/>
        </w:rPr>
        <w:t>已办理报名并成功购买招标文件</w:t>
      </w:r>
      <w:r>
        <w:rPr>
          <w:rFonts w:hint="eastAsia" w:ascii="宋体" w:hAnsi="宋体"/>
          <w:color w:val="auto"/>
          <w:szCs w:val="21"/>
        </w:rPr>
        <w:t>的供应商，其供应商在收到澄清或修改（更正/变更）通知后应按要求以书面形式（</w:t>
      </w:r>
      <w:r>
        <w:rPr>
          <w:rFonts w:ascii="宋体" w:hAnsi="宋体"/>
          <w:color w:val="auto"/>
          <w:szCs w:val="21"/>
        </w:rPr>
        <w:t>传真</w:t>
      </w:r>
      <w:r>
        <w:rPr>
          <w:rFonts w:hint="eastAsia" w:ascii="宋体" w:hAnsi="宋体"/>
          <w:color w:val="auto"/>
          <w:szCs w:val="21"/>
        </w:rPr>
        <w:t>或</w:t>
      </w:r>
      <w:r>
        <w:rPr>
          <w:rFonts w:ascii="宋体" w:hAnsi="宋体"/>
          <w:color w:val="auto"/>
          <w:szCs w:val="21"/>
        </w:rPr>
        <w:t>电子邮件</w:t>
      </w:r>
      <w:r>
        <w:rPr>
          <w:rFonts w:hint="eastAsia" w:ascii="宋体" w:hAnsi="宋体"/>
          <w:color w:val="auto"/>
          <w:szCs w:val="21"/>
        </w:rPr>
        <w:t>）予以确认。</w:t>
      </w:r>
      <w:r>
        <w:rPr>
          <w:rFonts w:hint="eastAsia" w:ascii="宋体" w:hAnsi="宋体" w:cs="宋体"/>
          <w:color w:val="auto"/>
          <w:szCs w:val="21"/>
          <w:lang w:eastAsia="zh-TW"/>
        </w:rPr>
        <w:t>如在24小时之内无书面</w:t>
      </w:r>
      <w:r>
        <w:rPr>
          <w:rFonts w:hint="eastAsia" w:ascii="宋体" w:hAnsi="宋体"/>
          <w:color w:val="auto"/>
          <w:szCs w:val="21"/>
        </w:rPr>
        <w:t>确认</w:t>
      </w:r>
      <w:r>
        <w:rPr>
          <w:rFonts w:hint="eastAsia" w:ascii="宋体" w:hAnsi="宋体" w:cs="宋体"/>
          <w:color w:val="auto"/>
          <w:szCs w:val="21"/>
          <w:lang w:eastAsia="zh-TW"/>
        </w:rPr>
        <w:t>则视为同意修改内容，并有责任履行相应的义务。</w:t>
      </w:r>
    </w:p>
    <w:p>
      <w:pPr>
        <w:numPr>
          <w:ilvl w:val="1"/>
          <w:numId w:val="41"/>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采购人或者采购代理机构</w:t>
      </w:r>
      <w:r>
        <w:rPr>
          <w:rFonts w:hint="eastAsia" w:ascii="宋体" w:hAnsi="宋体" w:cs="宋体"/>
          <w:color w:val="auto"/>
          <w:szCs w:val="21"/>
        </w:rPr>
        <w:t>发出的</w:t>
      </w:r>
      <w:r>
        <w:rPr>
          <w:rFonts w:hint="eastAsia" w:ascii="宋体" w:hAnsi="宋体"/>
          <w:color w:val="auto"/>
          <w:szCs w:val="21"/>
        </w:rPr>
        <w:t>澄清或修改（更正/变更）的内容为招标文件的组成部分，</w:t>
      </w:r>
      <w:r>
        <w:rPr>
          <w:rFonts w:hint="eastAsia" w:ascii="宋体" w:hAnsi="宋体" w:cs="宋体"/>
          <w:color w:val="auto"/>
          <w:szCs w:val="21"/>
          <w:lang w:eastAsia="zh-TW"/>
        </w:rPr>
        <w:t>并对供应商具有约束力</w:t>
      </w:r>
      <w:r>
        <w:rPr>
          <w:rFonts w:hint="eastAsia" w:ascii="宋体" w:hAnsi="宋体" w:cs="宋体"/>
          <w:color w:val="auto"/>
          <w:szCs w:val="21"/>
        </w:rPr>
        <w:t>。</w:t>
      </w:r>
    </w:p>
    <w:p>
      <w:pPr>
        <w:numPr>
          <w:ilvl w:val="0"/>
          <w:numId w:val="41"/>
        </w:numPr>
        <w:autoSpaceDE w:val="0"/>
        <w:autoSpaceDN w:val="0"/>
        <w:adjustRightInd w:val="0"/>
        <w:snapToGrid w:val="0"/>
        <w:spacing w:line="360" w:lineRule="auto"/>
        <w:ind w:left="449" w:hanging="449" w:hangingChars="213"/>
        <w:outlineLvl w:val="2"/>
        <w:rPr>
          <w:rFonts w:ascii="宋体" w:hAnsi="宋体" w:cs="宋体"/>
          <w:color w:val="auto"/>
          <w:szCs w:val="21"/>
        </w:rPr>
      </w:pPr>
      <w:r>
        <w:rPr>
          <w:rFonts w:hint="eastAsia" w:ascii="宋体" w:hAnsi="宋体"/>
          <w:b/>
          <w:bCs/>
          <w:color w:val="auto"/>
          <w:szCs w:val="21"/>
        </w:rPr>
        <w:t>现场考察或者召开开标前答疑会</w:t>
      </w:r>
    </w:p>
    <w:p>
      <w:pPr>
        <w:numPr>
          <w:ilvl w:val="1"/>
          <w:numId w:val="41"/>
        </w:numPr>
        <w:tabs>
          <w:tab w:val="left" w:pos="851"/>
        </w:tabs>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rPr>
        <w:t>除非</w:t>
      </w:r>
      <w:r>
        <w:rPr>
          <w:rFonts w:hint="eastAsia" w:ascii="宋体" w:hAnsi="宋体" w:cs="黑体"/>
          <w:b/>
          <w:color w:val="auto"/>
          <w:szCs w:val="21"/>
        </w:rPr>
        <w:t>投标资料表</w:t>
      </w:r>
      <w:r>
        <w:rPr>
          <w:rFonts w:hint="eastAsia" w:ascii="宋体" w:hAnsi="宋体" w:cs="宋体"/>
          <w:color w:val="auto"/>
          <w:szCs w:val="21"/>
        </w:rPr>
        <w:t>中另有规定，不举行项目</w:t>
      </w:r>
      <w:r>
        <w:rPr>
          <w:rFonts w:hint="eastAsia" w:ascii="宋体" w:hAnsi="宋体"/>
          <w:bCs/>
          <w:color w:val="auto"/>
          <w:szCs w:val="21"/>
        </w:rPr>
        <w:t>现场考察或者召开开标前答疑会</w:t>
      </w:r>
      <w:r>
        <w:rPr>
          <w:rFonts w:hint="eastAsia" w:ascii="宋体" w:hAnsi="宋体" w:cs="宋体"/>
          <w:color w:val="auto"/>
          <w:szCs w:val="21"/>
        </w:rPr>
        <w:t>，如举行</w:t>
      </w:r>
      <w:r>
        <w:rPr>
          <w:rFonts w:hint="eastAsia" w:ascii="宋体" w:hAnsi="宋体"/>
          <w:bCs/>
          <w:color w:val="auto"/>
          <w:szCs w:val="21"/>
        </w:rPr>
        <w:t>现场考察或者召开开标前答疑会</w:t>
      </w:r>
      <w:r>
        <w:rPr>
          <w:rFonts w:hint="eastAsia" w:ascii="宋体" w:hAnsi="宋体" w:cs="宋体"/>
          <w:color w:val="auto"/>
          <w:szCs w:val="21"/>
        </w:rPr>
        <w:t>的，则按以下规定：</w:t>
      </w:r>
    </w:p>
    <w:p>
      <w:pPr>
        <w:numPr>
          <w:ilvl w:val="2"/>
          <w:numId w:val="41"/>
        </w:numPr>
        <w:tabs>
          <w:tab w:val="left" w:pos="851"/>
        </w:tabs>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lang w:eastAsia="zh-TW"/>
        </w:rPr>
        <w:t>在</w:t>
      </w:r>
      <w:r>
        <w:rPr>
          <w:rFonts w:hint="eastAsia" w:ascii="宋体" w:hAnsi="宋体" w:cs="黑体"/>
          <w:b/>
          <w:color w:val="auto"/>
          <w:szCs w:val="21"/>
          <w:lang w:eastAsia="zh-TW"/>
        </w:rPr>
        <w:t>投标资料表</w:t>
      </w:r>
      <w:r>
        <w:rPr>
          <w:rFonts w:hint="eastAsia" w:ascii="宋体" w:hAnsi="宋体" w:cs="宋体"/>
          <w:color w:val="auto"/>
          <w:szCs w:val="21"/>
        </w:rPr>
        <w:t>中规定的日期、时间和地点组织</w:t>
      </w:r>
      <w:r>
        <w:rPr>
          <w:rFonts w:hint="eastAsia" w:ascii="宋体" w:hAnsi="宋体"/>
          <w:bCs/>
          <w:color w:val="auto"/>
          <w:szCs w:val="21"/>
        </w:rPr>
        <w:t>现场考察或者召开开标前答疑会</w:t>
      </w:r>
      <w:r>
        <w:rPr>
          <w:rFonts w:hint="eastAsia" w:ascii="宋体" w:hAnsi="宋体" w:cs="宋体"/>
          <w:color w:val="auto"/>
          <w:szCs w:val="21"/>
        </w:rPr>
        <w:t>；</w:t>
      </w:r>
    </w:p>
    <w:p>
      <w:pPr>
        <w:numPr>
          <w:ilvl w:val="2"/>
          <w:numId w:val="41"/>
        </w:numPr>
        <w:tabs>
          <w:tab w:val="left" w:pos="851"/>
          <w:tab w:val="clear" w:pos="567"/>
        </w:tabs>
        <w:autoSpaceDE w:val="0"/>
        <w:autoSpaceDN w:val="0"/>
        <w:adjustRightInd w:val="0"/>
        <w:snapToGrid w:val="0"/>
        <w:spacing w:line="360" w:lineRule="auto"/>
        <w:ind w:left="851" w:hanging="851"/>
        <w:rPr>
          <w:rFonts w:ascii="宋体" w:hAnsi="宋体" w:cs="宋体"/>
          <w:color w:val="auto"/>
          <w:szCs w:val="21"/>
          <w:lang w:eastAsia="zh-TW"/>
        </w:rPr>
      </w:pPr>
      <w:r>
        <w:rPr>
          <w:rFonts w:hint="eastAsia" w:ascii="宋体" w:hAnsi="宋体" w:cs="宋体"/>
          <w:color w:val="auto"/>
          <w:szCs w:val="21"/>
        </w:rPr>
        <w:t>供应商</w:t>
      </w:r>
      <w:r>
        <w:rPr>
          <w:rFonts w:hint="eastAsia" w:ascii="宋体" w:hAnsi="宋体" w:cs="宋体"/>
          <w:color w:val="auto"/>
          <w:szCs w:val="21"/>
          <w:lang w:eastAsia="zh-TW"/>
        </w:rPr>
        <w:t>对本项目提出的疑问，</w:t>
      </w:r>
      <w:r>
        <w:rPr>
          <w:rFonts w:hint="eastAsia" w:ascii="宋体" w:hAnsi="宋体" w:cs="宋体"/>
          <w:color w:val="auto"/>
          <w:szCs w:val="21"/>
        </w:rPr>
        <w:t>可</w:t>
      </w:r>
      <w:r>
        <w:rPr>
          <w:rFonts w:hint="eastAsia" w:ascii="宋体" w:hAnsi="宋体" w:cs="宋体"/>
          <w:color w:val="auto"/>
          <w:szCs w:val="21"/>
          <w:lang w:eastAsia="zh-TW"/>
        </w:rPr>
        <w:t>在</w:t>
      </w:r>
      <w:r>
        <w:rPr>
          <w:rFonts w:hint="eastAsia" w:ascii="宋体" w:hAnsi="宋体"/>
          <w:bCs/>
          <w:color w:val="auto"/>
          <w:szCs w:val="21"/>
        </w:rPr>
        <w:t>现场考察或者召开开标前答疑会</w:t>
      </w:r>
      <w:r>
        <w:rPr>
          <w:rFonts w:hint="eastAsia" w:ascii="宋体" w:hAnsi="宋体" w:cs="宋体"/>
          <w:color w:val="auto"/>
          <w:szCs w:val="21"/>
          <w:lang w:eastAsia="zh-TW"/>
        </w:rPr>
        <w:t>召开日前至少一个工作日将问题清单以书面形式（加盖公章）提交至采购代理机构。</w:t>
      </w:r>
    </w:p>
    <w:p>
      <w:pPr>
        <w:numPr>
          <w:ilvl w:val="0"/>
          <w:numId w:val="40"/>
        </w:numPr>
        <w:autoSpaceDE w:val="0"/>
        <w:autoSpaceDN w:val="0"/>
        <w:adjustRightInd w:val="0"/>
        <w:snapToGrid w:val="0"/>
        <w:spacing w:line="360" w:lineRule="auto"/>
        <w:ind w:left="1012" w:hanging="1012" w:hangingChars="360"/>
        <w:jc w:val="center"/>
        <w:outlineLvl w:val="1"/>
        <w:rPr>
          <w:rFonts w:ascii="宋体" w:hAnsi="宋体"/>
          <w:b/>
          <w:color w:val="auto"/>
          <w:sz w:val="28"/>
          <w:szCs w:val="28"/>
          <w:lang w:eastAsia="zh-TW"/>
        </w:rPr>
      </w:pPr>
      <w:bookmarkStart w:id="124" w:name="_Toc435174935"/>
      <w:bookmarkStart w:id="125" w:name="_Toc435516652"/>
      <w:bookmarkStart w:id="126" w:name="_Toc438223138"/>
      <w:r>
        <w:rPr>
          <w:rFonts w:hint="eastAsia" w:ascii="宋体" w:hAnsi="宋体"/>
          <w:b/>
          <w:color w:val="auto"/>
          <w:sz w:val="28"/>
          <w:szCs w:val="28"/>
          <w:lang w:eastAsia="zh-TW"/>
        </w:rPr>
        <w:t>投标文件的编制</w:t>
      </w:r>
      <w:bookmarkEnd w:id="124"/>
      <w:bookmarkEnd w:id="125"/>
      <w:bookmarkEnd w:id="126"/>
    </w:p>
    <w:p>
      <w:pPr>
        <w:numPr>
          <w:ilvl w:val="0"/>
          <w:numId w:val="41"/>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投标的语言</w:t>
      </w:r>
    </w:p>
    <w:p>
      <w:pPr>
        <w:numPr>
          <w:ilvl w:val="1"/>
          <w:numId w:val="41"/>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投标人提交的投标文件以及投标人与采购人或者采购代理机构就有关投标的所有来往函电均应</w:t>
      </w:r>
      <w:r>
        <w:rPr>
          <w:rFonts w:hint="eastAsia" w:ascii="宋体" w:hAnsi="宋体" w:cs="宋体"/>
          <w:color w:val="auto"/>
          <w:szCs w:val="21"/>
        </w:rPr>
        <w:t>当</w:t>
      </w:r>
      <w:r>
        <w:rPr>
          <w:rFonts w:hint="eastAsia" w:ascii="宋体" w:hAnsi="宋体" w:cs="宋体"/>
          <w:color w:val="auto"/>
          <w:szCs w:val="21"/>
          <w:lang w:eastAsia="zh-TW"/>
        </w:rPr>
        <w:t>使用中文</w:t>
      </w:r>
      <w:r>
        <w:rPr>
          <w:rFonts w:hint="eastAsia" w:ascii="宋体" w:hAnsi="宋体" w:cs="宋体"/>
          <w:color w:val="auto"/>
          <w:szCs w:val="21"/>
        </w:rPr>
        <w:t>。投</w:t>
      </w:r>
      <w:r>
        <w:rPr>
          <w:rFonts w:hint="eastAsia" w:ascii="宋体" w:hAnsi="宋体" w:cs="宋体"/>
          <w:color w:val="auto"/>
          <w:szCs w:val="21"/>
          <w:lang w:eastAsia="zh-TW"/>
        </w:rPr>
        <w:t>标人提交的支持文件或印刷的资料</w:t>
      </w:r>
      <w:r>
        <w:rPr>
          <w:rFonts w:hint="eastAsia" w:ascii="宋体" w:hAnsi="宋体" w:cs="宋体"/>
          <w:color w:val="auto"/>
          <w:szCs w:val="21"/>
        </w:rPr>
        <w:t>或外文书证或者外国语试听资料</w:t>
      </w:r>
      <w:r>
        <w:rPr>
          <w:rFonts w:hint="eastAsia" w:ascii="宋体" w:hAnsi="宋体" w:cs="宋体"/>
          <w:color w:val="auto"/>
          <w:szCs w:val="21"/>
          <w:lang w:eastAsia="zh-TW"/>
        </w:rPr>
        <w:t>可以用另一种语言</w:t>
      </w:r>
      <w:r>
        <w:rPr>
          <w:rFonts w:hint="eastAsia" w:ascii="宋体" w:hAnsi="宋体" w:cs="宋体"/>
          <w:color w:val="auto"/>
          <w:szCs w:val="21"/>
        </w:rPr>
        <w:t>，</w:t>
      </w:r>
      <w:r>
        <w:rPr>
          <w:rFonts w:hint="eastAsia" w:ascii="宋体" w:hAnsi="宋体" w:cs="宋体"/>
          <w:color w:val="auto"/>
          <w:szCs w:val="21"/>
          <w:lang w:eastAsia="zh-TW"/>
        </w:rPr>
        <w:t>但相应内容应附有中文</w:t>
      </w:r>
      <w:r>
        <w:rPr>
          <w:rFonts w:hint="eastAsia" w:ascii="宋体" w:hAnsi="宋体" w:cs="宋体"/>
          <w:color w:val="auto"/>
          <w:szCs w:val="21"/>
        </w:rPr>
        <w:t>译本，由翻译机构盖章或者翻译人员签名，若</w:t>
      </w:r>
      <w:r>
        <w:rPr>
          <w:rFonts w:hint="eastAsia" w:ascii="宋体" w:hAnsi="宋体"/>
          <w:color w:val="auto"/>
        </w:rPr>
        <w:t>两种语言不一致时以中文翻译本为准。</w:t>
      </w:r>
    </w:p>
    <w:p>
      <w:pPr>
        <w:numPr>
          <w:ilvl w:val="0"/>
          <w:numId w:val="41"/>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投标文件的构成</w:t>
      </w:r>
    </w:p>
    <w:p>
      <w:pPr>
        <w:numPr>
          <w:ilvl w:val="1"/>
          <w:numId w:val="41"/>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投标人编写的投标文件应包括</w:t>
      </w:r>
      <w:r>
        <w:rPr>
          <w:rFonts w:hint="eastAsia" w:ascii="宋体" w:hAnsi="宋体" w:cs="宋体"/>
          <w:b/>
          <w:color w:val="auto"/>
          <w:szCs w:val="21"/>
        </w:rPr>
        <w:t>资格性文件、符合性文件、技术文件、商务文件</w:t>
      </w:r>
      <w:r>
        <w:rPr>
          <w:rFonts w:hint="eastAsia" w:ascii="宋体" w:hAnsi="宋体" w:cs="宋体"/>
          <w:color w:val="auto"/>
          <w:szCs w:val="21"/>
        </w:rPr>
        <w:t>等</w:t>
      </w:r>
      <w:r>
        <w:rPr>
          <w:rFonts w:hint="eastAsia" w:ascii="宋体" w:hAnsi="宋体" w:cs="宋体"/>
          <w:color w:val="auto"/>
          <w:szCs w:val="21"/>
          <w:lang w:eastAsia="zh-TW"/>
        </w:rPr>
        <w:t>，编排顺序参见投标文件格式</w:t>
      </w:r>
      <w:r>
        <w:rPr>
          <w:rFonts w:hint="eastAsia" w:ascii="宋体" w:hAnsi="宋体" w:cs="宋体"/>
          <w:color w:val="auto"/>
          <w:szCs w:val="21"/>
        </w:rPr>
        <w:t>。</w:t>
      </w:r>
    </w:p>
    <w:p>
      <w:pPr>
        <w:numPr>
          <w:ilvl w:val="1"/>
          <w:numId w:val="41"/>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投标文件的构成应符合法律法规及招标文件的要求。</w:t>
      </w:r>
    </w:p>
    <w:p>
      <w:pPr>
        <w:numPr>
          <w:ilvl w:val="0"/>
          <w:numId w:val="41"/>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投标文件的编写</w:t>
      </w:r>
    </w:p>
    <w:p>
      <w:pPr>
        <w:numPr>
          <w:ilvl w:val="1"/>
          <w:numId w:val="41"/>
        </w:numPr>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lang w:eastAsia="zh-TW"/>
        </w:rPr>
        <w:t>投标人对招标文件中多个包组进行投标的</w:t>
      </w:r>
      <w:r>
        <w:rPr>
          <w:rFonts w:hint="eastAsia" w:ascii="宋体" w:hAnsi="宋体" w:cs="宋体"/>
          <w:color w:val="auto"/>
          <w:szCs w:val="21"/>
        </w:rPr>
        <w:t>，</w:t>
      </w:r>
      <w:r>
        <w:rPr>
          <w:rFonts w:hint="eastAsia" w:ascii="宋体" w:hAnsi="宋体" w:cs="宋体"/>
          <w:color w:val="auto"/>
          <w:szCs w:val="21"/>
          <w:lang w:eastAsia="zh-TW"/>
        </w:rPr>
        <w:t>其投标文件的编制</w:t>
      </w:r>
      <w:r>
        <w:rPr>
          <w:rFonts w:hint="eastAsia" w:ascii="宋体" w:hAnsi="宋体" w:cs="宋体"/>
          <w:color w:val="auto"/>
          <w:szCs w:val="21"/>
        </w:rPr>
        <w:t>可按</w:t>
      </w:r>
      <w:r>
        <w:rPr>
          <w:rFonts w:hint="eastAsia" w:ascii="宋体" w:hAnsi="宋体" w:cs="宋体"/>
          <w:color w:val="auto"/>
          <w:szCs w:val="21"/>
          <w:lang w:eastAsia="zh-TW"/>
        </w:rPr>
        <w:t>每个包组的要求分别装订和</w:t>
      </w:r>
      <w:r>
        <w:rPr>
          <w:rFonts w:hint="eastAsia" w:ascii="宋体" w:hAnsi="宋体" w:cs="宋体"/>
          <w:color w:val="auto"/>
          <w:szCs w:val="21"/>
        </w:rPr>
        <w:t>密封</w:t>
      </w:r>
      <w:r>
        <w:rPr>
          <w:rFonts w:hint="eastAsia" w:ascii="宋体" w:hAnsi="宋体" w:cs="宋体"/>
          <w:color w:val="auto"/>
          <w:szCs w:val="21"/>
          <w:lang w:eastAsia="zh-TW"/>
        </w:rPr>
        <w:t>。投标人应当对投标文件进行装订，对未经装订的投标文件可能发生的文件散落或缺损，由此造成的后果</w:t>
      </w:r>
      <w:r>
        <w:rPr>
          <w:rFonts w:hint="eastAsia" w:ascii="宋体" w:hAnsi="宋体" w:cs="宋体"/>
          <w:color w:val="auto"/>
          <w:szCs w:val="21"/>
        </w:rPr>
        <w:t>和</w:t>
      </w:r>
      <w:r>
        <w:rPr>
          <w:rFonts w:hint="eastAsia" w:ascii="宋体" w:hAnsi="宋体" w:cs="宋体"/>
          <w:color w:val="auto"/>
          <w:szCs w:val="21"/>
          <w:lang w:eastAsia="zh-TW"/>
        </w:rPr>
        <w:t>责任由投标人承担</w:t>
      </w:r>
      <w:r>
        <w:rPr>
          <w:rFonts w:hint="eastAsia" w:ascii="宋体" w:hAnsi="宋体" w:cs="宋体"/>
          <w:color w:val="auto"/>
          <w:szCs w:val="21"/>
        </w:rPr>
        <w:t>。</w:t>
      </w:r>
    </w:p>
    <w:p>
      <w:pPr>
        <w:numPr>
          <w:ilvl w:val="1"/>
          <w:numId w:val="41"/>
        </w:numPr>
        <w:tabs>
          <w:tab w:val="left" w:pos="709"/>
        </w:tabs>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lang w:eastAsia="zh-TW"/>
        </w:rPr>
        <w:t>投标人必须对投标文件所提供的全部资料的真实性承担法律责任，并无条件接受采购人或者采购代理机构或者</w:t>
      </w:r>
      <w:r>
        <w:rPr>
          <w:rFonts w:hint="eastAsia" w:ascii="宋体" w:hAnsi="宋体"/>
          <w:color w:val="auto"/>
          <w:szCs w:val="21"/>
        </w:rPr>
        <w:t>监督管理部门</w:t>
      </w:r>
      <w:r>
        <w:rPr>
          <w:rFonts w:hint="eastAsia" w:ascii="宋体" w:hAnsi="宋体" w:cs="宋体"/>
          <w:color w:val="auto"/>
          <w:szCs w:val="21"/>
          <w:lang w:eastAsia="zh-TW"/>
        </w:rPr>
        <w:t>对其中任何资料进行核实的要求。</w:t>
      </w:r>
    </w:p>
    <w:p>
      <w:pPr>
        <w:numPr>
          <w:ilvl w:val="1"/>
          <w:numId w:val="41"/>
        </w:numPr>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lang w:eastAsia="zh-TW"/>
        </w:rPr>
        <w:t>如果因为投标人</w:t>
      </w:r>
      <w:r>
        <w:rPr>
          <w:rFonts w:hint="eastAsia" w:ascii="宋体" w:hAnsi="宋体" w:cs="宋体"/>
          <w:color w:val="auto"/>
          <w:szCs w:val="21"/>
        </w:rPr>
        <w:t>的</w:t>
      </w:r>
      <w:r>
        <w:rPr>
          <w:rFonts w:hint="eastAsia" w:ascii="宋体" w:hAnsi="宋体" w:cs="宋体"/>
          <w:color w:val="auto"/>
          <w:szCs w:val="21"/>
          <w:lang w:eastAsia="zh-TW"/>
        </w:rPr>
        <w:t>投标文件只填写和提供了本</w:t>
      </w:r>
      <w:r>
        <w:rPr>
          <w:rFonts w:hint="eastAsia" w:ascii="宋体" w:hAnsi="宋体" w:cs="宋体"/>
          <w:color w:val="auto"/>
          <w:szCs w:val="21"/>
        </w:rPr>
        <w:t>招标</w:t>
      </w:r>
      <w:r>
        <w:rPr>
          <w:rFonts w:hint="eastAsia" w:ascii="宋体" w:hAnsi="宋体" w:cs="宋体"/>
          <w:color w:val="auto"/>
          <w:szCs w:val="21"/>
          <w:lang w:eastAsia="zh-TW"/>
        </w:rPr>
        <w:t>文件要求的部分内容和附件，或没有提供招标文件中所要求的资料及数据，由此造成的后果</w:t>
      </w:r>
      <w:r>
        <w:rPr>
          <w:rFonts w:hint="eastAsia" w:ascii="宋体" w:hAnsi="宋体" w:cs="宋体"/>
          <w:color w:val="auto"/>
          <w:szCs w:val="21"/>
        </w:rPr>
        <w:t>和</w:t>
      </w:r>
      <w:r>
        <w:rPr>
          <w:rFonts w:hint="eastAsia" w:ascii="宋体" w:hAnsi="宋体" w:cs="宋体"/>
          <w:color w:val="auto"/>
          <w:szCs w:val="21"/>
          <w:lang w:eastAsia="zh-TW"/>
        </w:rPr>
        <w:t>责任由投标人承担</w:t>
      </w:r>
      <w:r>
        <w:rPr>
          <w:rFonts w:hint="eastAsia" w:ascii="宋体" w:hAnsi="宋体" w:cs="宋体"/>
          <w:color w:val="auto"/>
          <w:szCs w:val="21"/>
        </w:rPr>
        <w:t>。</w:t>
      </w:r>
    </w:p>
    <w:p>
      <w:pPr>
        <w:numPr>
          <w:ilvl w:val="1"/>
          <w:numId w:val="41"/>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投标人应认真阅读、并充分理解招标文件的全部内容（包括所有的补充、修改内容重要事项、格式、条款和技术规范、参数及要求等）。投标人没有按照招标文件要求提交资料，或者投标</w:t>
      </w:r>
      <w:r>
        <w:rPr>
          <w:rFonts w:hint="eastAsia" w:ascii="宋体" w:hAnsi="宋体" w:cs="宋体"/>
          <w:color w:val="auto"/>
          <w:szCs w:val="21"/>
        </w:rPr>
        <w:t>文件</w:t>
      </w:r>
      <w:r>
        <w:rPr>
          <w:rFonts w:hint="eastAsia" w:ascii="宋体" w:hAnsi="宋体" w:cs="宋体"/>
          <w:color w:val="auto"/>
          <w:szCs w:val="21"/>
          <w:lang w:eastAsia="zh-TW"/>
        </w:rPr>
        <w:t>没有对招标文件在各方面都</w:t>
      </w:r>
      <w:r>
        <w:rPr>
          <w:rFonts w:hint="eastAsia" w:ascii="宋体" w:hAnsi="宋体" w:cs="宋体"/>
          <w:color w:val="auto"/>
          <w:szCs w:val="21"/>
        </w:rPr>
        <w:t>作</w:t>
      </w:r>
      <w:r>
        <w:rPr>
          <w:rFonts w:hint="eastAsia" w:ascii="宋体" w:hAnsi="宋体" w:cs="宋体"/>
          <w:color w:val="auto"/>
          <w:szCs w:val="21"/>
          <w:lang w:eastAsia="zh-TW"/>
        </w:rPr>
        <w:t>出实质性响应是投标人的风险，有可能导致其投标被认定为无效投标或被确定为投标无效。</w:t>
      </w:r>
    </w:p>
    <w:p>
      <w:pPr>
        <w:numPr>
          <w:ilvl w:val="0"/>
          <w:numId w:val="41"/>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投标报价</w:t>
      </w:r>
    </w:p>
    <w:p>
      <w:pPr>
        <w:numPr>
          <w:ilvl w:val="1"/>
          <w:numId w:val="41"/>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投标人应按照“用户需求书”</w:t>
      </w:r>
      <w:r>
        <w:rPr>
          <w:rFonts w:hint="eastAsia" w:ascii="宋体" w:hAnsi="宋体" w:cs="宋体"/>
          <w:color w:val="auto"/>
          <w:szCs w:val="21"/>
        </w:rPr>
        <w:t>中</w:t>
      </w:r>
      <w:r>
        <w:rPr>
          <w:rFonts w:hint="eastAsia" w:ascii="宋体" w:hAnsi="宋体" w:cs="宋体"/>
          <w:color w:val="auto"/>
          <w:szCs w:val="21"/>
          <w:lang w:eastAsia="zh-TW"/>
        </w:rPr>
        <w:t>采购项目技术规格、参数及要求规定的内容、责任范围进行报价。并按《</w:t>
      </w:r>
      <w:r>
        <w:rPr>
          <w:rFonts w:hint="eastAsia" w:ascii="宋体" w:hAnsi="宋体" w:cs="宋体"/>
          <w:color w:val="auto"/>
          <w:szCs w:val="21"/>
        </w:rPr>
        <w:t>开标一览表(报价表)</w:t>
      </w:r>
      <w:r>
        <w:rPr>
          <w:rFonts w:hint="eastAsia" w:ascii="宋体" w:hAnsi="宋体" w:cs="宋体"/>
          <w:color w:val="auto"/>
          <w:szCs w:val="21"/>
          <w:lang w:eastAsia="zh-TW"/>
        </w:rPr>
        <w:t>》</w:t>
      </w:r>
      <w:r>
        <w:rPr>
          <w:rFonts w:hint="eastAsia" w:ascii="宋体" w:hAnsi="宋体" w:cs="宋体"/>
          <w:color w:val="auto"/>
          <w:szCs w:val="21"/>
        </w:rPr>
        <w:t>及</w:t>
      </w:r>
      <w:r>
        <w:rPr>
          <w:rFonts w:hint="eastAsia" w:ascii="宋体" w:hAnsi="宋体" w:cs="宋体"/>
          <w:color w:val="auto"/>
          <w:szCs w:val="21"/>
          <w:lang w:eastAsia="zh-TW"/>
        </w:rPr>
        <w:t>《投标分项报价表》（如适用）的</w:t>
      </w:r>
      <w:r>
        <w:rPr>
          <w:rFonts w:hint="eastAsia" w:ascii="宋体" w:hAnsi="宋体" w:cs="宋体"/>
          <w:color w:val="auto"/>
          <w:szCs w:val="21"/>
        </w:rPr>
        <w:t>要求</w:t>
      </w:r>
      <w:r>
        <w:rPr>
          <w:rFonts w:hint="eastAsia" w:ascii="宋体" w:hAnsi="宋体" w:cs="宋体"/>
          <w:color w:val="auto"/>
          <w:szCs w:val="21"/>
          <w:lang w:eastAsia="zh-TW"/>
        </w:rPr>
        <w:t>报出总价和分项价格。</w:t>
      </w:r>
    </w:p>
    <w:p>
      <w:pPr>
        <w:numPr>
          <w:ilvl w:val="1"/>
          <w:numId w:val="41"/>
        </w:numPr>
        <w:autoSpaceDE w:val="0"/>
        <w:autoSpaceDN w:val="0"/>
        <w:adjustRightInd w:val="0"/>
        <w:snapToGrid w:val="0"/>
        <w:spacing w:line="360" w:lineRule="auto"/>
        <w:rPr>
          <w:rFonts w:ascii="宋体" w:hAnsi="宋体"/>
          <w:color w:val="auto"/>
          <w:szCs w:val="21"/>
        </w:rPr>
      </w:pPr>
      <w:r>
        <w:rPr>
          <w:rFonts w:hint="eastAsia" w:ascii="宋体" w:hAnsi="宋体" w:cs="宋体"/>
          <w:color w:val="auto"/>
          <w:szCs w:val="21"/>
          <w:lang w:eastAsia="zh-TW"/>
        </w:rPr>
        <w:t>投标分项报价</w:t>
      </w:r>
      <w:r>
        <w:rPr>
          <w:rFonts w:hint="eastAsia" w:ascii="宋体" w:hAnsi="宋体" w:cs="宋体"/>
          <w:color w:val="auto"/>
          <w:szCs w:val="21"/>
        </w:rPr>
        <w:t>应包含：</w:t>
      </w:r>
    </w:p>
    <w:p>
      <w:pPr>
        <w:numPr>
          <w:ilvl w:val="2"/>
          <w:numId w:val="41"/>
        </w:numPr>
        <w:tabs>
          <w:tab w:val="left" w:pos="851"/>
          <w:tab w:val="clear" w:pos="567"/>
        </w:tabs>
        <w:autoSpaceDE w:val="0"/>
        <w:autoSpaceDN w:val="0"/>
        <w:adjustRightInd w:val="0"/>
        <w:snapToGrid w:val="0"/>
        <w:spacing w:line="360" w:lineRule="auto"/>
        <w:ind w:left="851" w:hanging="851"/>
        <w:jc w:val="left"/>
        <w:rPr>
          <w:rFonts w:ascii="宋体" w:hAnsi="宋体" w:cs="宋体"/>
          <w:color w:val="auto"/>
          <w:szCs w:val="21"/>
          <w:lang w:eastAsia="zh-TW"/>
        </w:rPr>
      </w:pPr>
      <w:r>
        <w:rPr>
          <w:rFonts w:hint="eastAsia" w:ascii="宋体" w:hAnsi="宋体" w:cs="宋体"/>
          <w:color w:val="auto"/>
          <w:szCs w:val="21"/>
        </w:rPr>
        <w:t>按招标文件的要求全部货物及服务内容所需的所有费用，</w:t>
      </w:r>
      <w:r>
        <w:rPr>
          <w:color w:val="auto"/>
        </w:rPr>
        <w:t>包括但不限于</w:t>
      </w:r>
      <w:r>
        <w:rPr>
          <w:rFonts w:hint="eastAsia" w:ascii="宋体" w:hAnsi="宋体" w:cs="宋体"/>
          <w:b/>
          <w:color w:val="auto"/>
          <w:szCs w:val="21"/>
          <w:lang w:eastAsia="zh-TW"/>
        </w:rPr>
        <w:t>投标资料表</w:t>
      </w:r>
      <w:r>
        <w:rPr>
          <w:rFonts w:hint="eastAsia" w:ascii="宋体" w:hAnsi="宋体" w:cs="宋体"/>
          <w:color w:val="auto"/>
          <w:szCs w:val="21"/>
          <w:lang w:eastAsia="zh-TW"/>
        </w:rPr>
        <w:t>中规定的。</w:t>
      </w:r>
    </w:p>
    <w:p>
      <w:pPr>
        <w:numPr>
          <w:ilvl w:val="1"/>
          <w:numId w:val="41"/>
        </w:numPr>
        <w:autoSpaceDE w:val="0"/>
        <w:autoSpaceDN w:val="0"/>
        <w:adjustRightInd w:val="0"/>
        <w:snapToGrid w:val="0"/>
        <w:spacing w:line="360" w:lineRule="auto"/>
        <w:rPr>
          <w:rFonts w:ascii="宋体" w:hAnsi="宋体" w:cs="宋体"/>
          <w:color w:val="auto"/>
          <w:szCs w:val="21"/>
        </w:rPr>
      </w:pPr>
      <w:r>
        <w:rPr>
          <w:rFonts w:hint="eastAsia" w:ascii="宋体" w:hAnsi="宋体"/>
          <w:color w:val="auto"/>
          <w:szCs w:val="21"/>
        </w:rPr>
        <w:t>除</w:t>
      </w:r>
      <w:r>
        <w:rPr>
          <w:rFonts w:hint="eastAsia" w:ascii="宋体" w:hAnsi="宋体"/>
          <w:b/>
          <w:color w:val="auto"/>
          <w:szCs w:val="21"/>
        </w:rPr>
        <w:t>投标资料表</w:t>
      </w:r>
      <w:r>
        <w:rPr>
          <w:rFonts w:hint="eastAsia" w:ascii="宋体" w:hAnsi="宋体"/>
          <w:color w:val="auto"/>
          <w:szCs w:val="21"/>
        </w:rPr>
        <w:t>中另有规定，</w:t>
      </w:r>
      <w:r>
        <w:rPr>
          <w:rFonts w:hint="eastAsia" w:ascii="宋体" w:hAnsi="宋体" w:cs="宋体"/>
          <w:color w:val="auto"/>
          <w:szCs w:val="21"/>
          <w:lang w:eastAsia="zh-TW"/>
        </w:rPr>
        <w:t>投标人所报的投标价在合同执行过程中是固定不变的</w:t>
      </w:r>
      <w:r>
        <w:rPr>
          <w:rFonts w:hint="eastAsia" w:ascii="宋体" w:hAnsi="宋体" w:cs="宋体"/>
          <w:color w:val="auto"/>
          <w:szCs w:val="21"/>
        </w:rPr>
        <w:t>，</w:t>
      </w:r>
      <w:r>
        <w:rPr>
          <w:rFonts w:hint="eastAsia" w:ascii="宋体" w:hAnsi="宋体" w:cs="宋体"/>
          <w:color w:val="auto"/>
          <w:szCs w:val="21"/>
          <w:lang w:eastAsia="zh-TW"/>
        </w:rPr>
        <w:t>不得以任何理由予以变更。任何包含价格调整要求的投标被认为是非实质性响应投标而予以拒绝。</w:t>
      </w:r>
    </w:p>
    <w:p>
      <w:pPr>
        <w:numPr>
          <w:ilvl w:val="1"/>
          <w:numId w:val="41"/>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除</w:t>
      </w:r>
      <w:r>
        <w:rPr>
          <w:rFonts w:hint="eastAsia" w:ascii="宋体" w:hAnsi="宋体"/>
          <w:b/>
          <w:color w:val="auto"/>
          <w:szCs w:val="21"/>
        </w:rPr>
        <w:t>投标资料表</w:t>
      </w:r>
      <w:r>
        <w:rPr>
          <w:rFonts w:hint="eastAsia" w:ascii="宋体" w:hAnsi="宋体"/>
          <w:color w:val="auto"/>
          <w:szCs w:val="21"/>
        </w:rPr>
        <w:t>中允许有备选方案外，本次招标不接受选择性报价，</w:t>
      </w:r>
      <w:r>
        <w:rPr>
          <w:rFonts w:hint="eastAsia" w:ascii="宋体" w:hAnsi="宋体" w:cs="宋体"/>
          <w:color w:val="auto"/>
          <w:szCs w:val="21"/>
        </w:rPr>
        <w:t>否则将被视为无效投标。</w:t>
      </w:r>
    </w:p>
    <w:p>
      <w:pPr>
        <w:numPr>
          <w:ilvl w:val="1"/>
          <w:numId w:val="41"/>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olor w:val="auto"/>
          <w:szCs w:val="21"/>
        </w:rPr>
        <w:t>除</w:t>
      </w:r>
      <w:r>
        <w:rPr>
          <w:rFonts w:hint="eastAsia" w:ascii="宋体" w:hAnsi="宋体"/>
          <w:b/>
          <w:color w:val="auto"/>
          <w:szCs w:val="21"/>
        </w:rPr>
        <w:t>投标资料表</w:t>
      </w:r>
      <w:r>
        <w:rPr>
          <w:rFonts w:hint="eastAsia" w:ascii="宋体" w:hAnsi="宋体" w:cs="宋体"/>
          <w:color w:val="auto"/>
          <w:szCs w:val="21"/>
        </w:rPr>
        <w:t>另</w:t>
      </w:r>
      <w:r>
        <w:rPr>
          <w:rFonts w:hint="eastAsia" w:ascii="宋体" w:hAnsi="宋体"/>
          <w:color w:val="auto"/>
          <w:szCs w:val="21"/>
        </w:rPr>
        <w:t>有规定外，本次招标不接受具有附加条件的报价，</w:t>
      </w:r>
      <w:r>
        <w:rPr>
          <w:rFonts w:hint="eastAsia" w:ascii="宋体" w:hAnsi="宋体" w:cs="宋体"/>
          <w:color w:val="auto"/>
          <w:szCs w:val="21"/>
        </w:rPr>
        <w:t>否则将被视为无效投标。</w:t>
      </w:r>
    </w:p>
    <w:p>
      <w:pPr>
        <w:numPr>
          <w:ilvl w:val="0"/>
          <w:numId w:val="41"/>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投标货币</w:t>
      </w:r>
    </w:p>
    <w:p>
      <w:pPr>
        <w:numPr>
          <w:ilvl w:val="1"/>
          <w:numId w:val="41"/>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投标人所提供的货物和服务均应以人民币报价。</w:t>
      </w:r>
    </w:p>
    <w:p>
      <w:pPr>
        <w:numPr>
          <w:ilvl w:val="0"/>
          <w:numId w:val="41"/>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联合体投标</w:t>
      </w:r>
    </w:p>
    <w:p>
      <w:pPr>
        <w:numPr>
          <w:ilvl w:val="1"/>
          <w:numId w:val="41"/>
        </w:numPr>
        <w:autoSpaceDE w:val="0"/>
        <w:autoSpaceDN w:val="0"/>
        <w:adjustRightInd w:val="0"/>
        <w:snapToGrid w:val="0"/>
        <w:spacing w:line="360" w:lineRule="auto"/>
        <w:rPr>
          <w:rFonts w:ascii="宋体" w:hAnsi="宋体" w:cs="黑体"/>
          <w:b/>
          <w:bCs/>
          <w:color w:val="auto"/>
          <w:szCs w:val="21"/>
        </w:rPr>
      </w:pPr>
      <w:r>
        <w:rPr>
          <w:rFonts w:hint="eastAsia" w:ascii="宋体" w:hAnsi="宋体"/>
          <w:color w:val="auto"/>
          <w:szCs w:val="21"/>
        </w:rPr>
        <w:t>除非</w:t>
      </w:r>
      <w:r>
        <w:rPr>
          <w:rFonts w:hint="eastAsia" w:ascii="宋体" w:hAnsi="宋体"/>
          <w:b/>
          <w:color w:val="auto"/>
          <w:szCs w:val="21"/>
        </w:rPr>
        <w:t>投标邀请</w:t>
      </w:r>
      <w:r>
        <w:rPr>
          <w:rFonts w:hint="eastAsia" w:ascii="宋体" w:hAnsi="宋体"/>
          <w:color w:val="auto"/>
          <w:szCs w:val="21"/>
        </w:rPr>
        <w:t>中另有规定，不接受联合体投标。如果投标邀请中规定允许联合体投标的，则必须满足：</w:t>
      </w:r>
    </w:p>
    <w:p>
      <w:pPr>
        <w:numPr>
          <w:ilvl w:val="2"/>
          <w:numId w:val="41"/>
        </w:numPr>
        <w:autoSpaceDE w:val="0"/>
        <w:autoSpaceDN w:val="0"/>
        <w:adjustRightInd w:val="0"/>
        <w:snapToGrid w:val="0"/>
        <w:spacing w:line="360" w:lineRule="auto"/>
        <w:ind w:left="868" w:hanging="868"/>
        <w:rPr>
          <w:rFonts w:ascii="宋体" w:hAnsi="宋体"/>
          <w:color w:val="auto"/>
          <w:szCs w:val="21"/>
        </w:rPr>
      </w:pPr>
      <w:r>
        <w:rPr>
          <w:rFonts w:hint="eastAsia" w:ascii="宋体" w:hAnsi="宋体"/>
          <w:color w:val="auto"/>
          <w:szCs w:val="21"/>
        </w:rPr>
        <w:t>以联合体形式参加投标的，联合体各方均必须符合</w:t>
      </w:r>
      <w:r>
        <w:rPr>
          <w:rFonts w:hint="eastAsia" w:ascii="宋体" w:hAnsi="宋体"/>
          <w:bCs/>
          <w:color w:val="auto"/>
          <w:szCs w:val="20"/>
        </w:rPr>
        <w:t>《中华人民共和国政府采购法》第二十二条第（一）至（六）项规定。</w:t>
      </w:r>
    </w:p>
    <w:p>
      <w:pPr>
        <w:numPr>
          <w:ilvl w:val="2"/>
          <w:numId w:val="41"/>
        </w:numPr>
        <w:autoSpaceDE w:val="0"/>
        <w:autoSpaceDN w:val="0"/>
        <w:adjustRightInd w:val="0"/>
        <w:snapToGrid w:val="0"/>
        <w:spacing w:line="360" w:lineRule="auto"/>
        <w:ind w:left="868" w:hanging="868"/>
        <w:rPr>
          <w:rFonts w:ascii="宋体" w:hAnsi="宋体"/>
          <w:color w:val="auto"/>
          <w:szCs w:val="21"/>
        </w:rPr>
      </w:pPr>
      <w:r>
        <w:rPr>
          <w:rFonts w:hint="eastAsia" w:ascii="宋体" w:hAnsi="宋体"/>
          <w:color w:val="auto"/>
          <w:szCs w:val="21"/>
        </w:rPr>
        <w:t>联合体投标的，必须提供各方签订的联合投标协议，明确约定各方承担的工作和相应的责任。联合体各方签订《联合投标协议书》（如适用，格式见第六章 投标文件格式），不得再以自己名义单独在同一项目（或包组）中投标，也不得组成新的联合体参加同一项目（或包组）投标。</w:t>
      </w:r>
    </w:p>
    <w:p>
      <w:pPr>
        <w:numPr>
          <w:ilvl w:val="2"/>
          <w:numId w:val="41"/>
        </w:numPr>
        <w:autoSpaceDE w:val="0"/>
        <w:autoSpaceDN w:val="0"/>
        <w:adjustRightInd w:val="0"/>
        <w:snapToGrid w:val="0"/>
        <w:spacing w:line="360" w:lineRule="auto"/>
        <w:ind w:left="868" w:hanging="868"/>
        <w:rPr>
          <w:rFonts w:ascii="宋体" w:hAnsi="宋体"/>
          <w:color w:val="auto"/>
          <w:szCs w:val="21"/>
        </w:rPr>
      </w:pPr>
      <w:r>
        <w:rPr>
          <w:rFonts w:hint="eastAsia" w:ascii="宋体" w:hAnsi="宋体"/>
          <w:color w:val="auto"/>
          <w:szCs w:val="21"/>
        </w:rPr>
        <w:t>联合体中有同类资质的供应商按照联合体分工承担相同工作的，应当按照资质等级较低的供应商确定资质等级。由同一专业的单位组成的联合体，按照同一项资质等级较低的单位确定资质等级。</w:t>
      </w:r>
    </w:p>
    <w:p>
      <w:pPr>
        <w:numPr>
          <w:ilvl w:val="2"/>
          <w:numId w:val="41"/>
        </w:numPr>
        <w:tabs>
          <w:tab w:val="left" w:pos="851"/>
        </w:tabs>
        <w:autoSpaceDE w:val="0"/>
        <w:autoSpaceDN w:val="0"/>
        <w:adjustRightInd w:val="0"/>
        <w:snapToGrid w:val="0"/>
        <w:spacing w:line="360" w:lineRule="auto"/>
        <w:ind w:left="868" w:hanging="868"/>
        <w:rPr>
          <w:rFonts w:ascii="宋体" w:hAnsi="宋体"/>
          <w:color w:val="auto"/>
          <w:szCs w:val="21"/>
        </w:rPr>
      </w:pPr>
      <w:r>
        <w:rPr>
          <w:rFonts w:hint="eastAsia" w:ascii="宋体" w:hAnsi="宋体"/>
          <w:color w:val="auto"/>
          <w:szCs w:val="21"/>
        </w:rPr>
        <w:t>联合体投标的，可以由联合体中的一方或者共同提交投标保证金，以一方名义提交投标保证金的，对联合体各方均具有约束力。</w:t>
      </w:r>
    </w:p>
    <w:p>
      <w:pPr>
        <w:numPr>
          <w:ilvl w:val="2"/>
          <w:numId w:val="41"/>
        </w:numPr>
        <w:tabs>
          <w:tab w:val="left" w:pos="851"/>
        </w:tabs>
        <w:autoSpaceDE w:val="0"/>
        <w:autoSpaceDN w:val="0"/>
        <w:adjustRightInd w:val="0"/>
        <w:snapToGrid w:val="0"/>
        <w:spacing w:line="360" w:lineRule="auto"/>
        <w:rPr>
          <w:rFonts w:ascii="宋体" w:hAnsi="宋体"/>
          <w:color w:val="auto"/>
          <w:szCs w:val="21"/>
        </w:rPr>
      </w:pPr>
      <w:r>
        <w:rPr>
          <w:rFonts w:ascii="宋体" w:hAnsi="宋体"/>
          <w:color w:val="auto"/>
          <w:szCs w:val="21"/>
        </w:rPr>
        <w:t>联合体中标的，联合体各方应当共同与</w:t>
      </w:r>
      <w:r>
        <w:rPr>
          <w:rFonts w:hint="eastAsia" w:ascii="宋体" w:hAnsi="宋体"/>
          <w:color w:val="auto"/>
          <w:szCs w:val="21"/>
        </w:rPr>
        <w:t>采购</w:t>
      </w:r>
      <w:r>
        <w:rPr>
          <w:rFonts w:ascii="宋体" w:hAnsi="宋体"/>
          <w:color w:val="auto"/>
          <w:szCs w:val="21"/>
        </w:rPr>
        <w:t>人签订合同。</w:t>
      </w:r>
    </w:p>
    <w:p>
      <w:pPr>
        <w:numPr>
          <w:ilvl w:val="0"/>
          <w:numId w:val="41"/>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证明投标人合格和资格的文件</w:t>
      </w:r>
    </w:p>
    <w:p>
      <w:pPr>
        <w:numPr>
          <w:ilvl w:val="1"/>
          <w:numId w:val="41"/>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投标人应提交证明其有资格参加投标和中标后有能力履行合同的文件</w:t>
      </w:r>
      <w:r>
        <w:rPr>
          <w:rFonts w:hint="eastAsia" w:ascii="宋体" w:hAnsi="宋体" w:cs="宋体"/>
          <w:color w:val="auto"/>
          <w:szCs w:val="21"/>
        </w:rPr>
        <w:t>，</w:t>
      </w:r>
      <w:r>
        <w:rPr>
          <w:rFonts w:hint="eastAsia" w:ascii="宋体" w:hAnsi="宋体" w:cs="宋体"/>
          <w:color w:val="auto"/>
          <w:szCs w:val="21"/>
          <w:lang w:eastAsia="zh-TW"/>
        </w:rPr>
        <w:t>并作为其投标文件的一部分。如果投标人为联合体</w:t>
      </w:r>
      <w:r>
        <w:rPr>
          <w:rFonts w:hint="eastAsia" w:ascii="宋体" w:hAnsi="宋体" w:cs="宋体"/>
          <w:color w:val="auto"/>
          <w:szCs w:val="21"/>
        </w:rPr>
        <w:t>，</w:t>
      </w:r>
      <w:r>
        <w:rPr>
          <w:rFonts w:hint="eastAsia" w:ascii="宋体" w:hAnsi="宋体" w:cs="宋体"/>
          <w:color w:val="auto"/>
          <w:szCs w:val="21"/>
          <w:lang w:eastAsia="zh-TW"/>
        </w:rPr>
        <w:t>应提交联合体各方的资格证明文件、联合投标协议并注明主</w:t>
      </w:r>
      <w:r>
        <w:rPr>
          <w:rFonts w:hint="eastAsia" w:ascii="宋体" w:hAnsi="宋体" w:cs="宋体"/>
          <w:color w:val="auto"/>
          <w:szCs w:val="21"/>
        </w:rPr>
        <w:t>体方及各方拟承担的工作和责任。</w:t>
      </w:r>
      <w:r>
        <w:rPr>
          <w:rFonts w:hint="eastAsia" w:ascii="宋体" w:hAnsi="宋体" w:cs="宋体"/>
          <w:color w:val="auto"/>
          <w:szCs w:val="21"/>
          <w:lang w:eastAsia="zh-TW"/>
        </w:rPr>
        <w:t>否则</w:t>
      </w:r>
      <w:r>
        <w:rPr>
          <w:rFonts w:hint="eastAsia" w:ascii="宋体" w:hAnsi="宋体" w:cs="宋体"/>
          <w:color w:val="auto"/>
          <w:szCs w:val="21"/>
        </w:rPr>
        <w:t>，</w:t>
      </w:r>
      <w:r>
        <w:rPr>
          <w:rFonts w:hint="eastAsia" w:ascii="宋体" w:hAnsi="宋体" w:cs="宋体"/>
          <w:color w:val="auto"/>
          <w:szCs w:val="21"/>
          <w:lang w:eastAsia="zh-TW"/>
        </w:rPr>
        <w:t>将导致其投标</w:t>
      </w:r>
      <w:r>
        <w:rPr>
          <w:rFonts w:hint="eastAsia" w:ascii="宋体" w:hAnsi="宋体" w:cs="宋体"/>
          <w:color w:val="auto"/>
          <w:szCs w:val="21"/>
        </w:rPr>
        <w:t>无效。</w:t>
      </w:r>
    </w:p>
    <w:p>
      <w:pPr>
        <w:numPr>
          <w:ilvl w:val="1"/>
          <w:numId w:val="41"/>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投标人提交的资格证明文件应证明其</w:t>
      </w:r>
      <w:r>
        <w:rPr>
          <w:rFonts w:hint="eastAsia" w:ascii="宋体" w:hAnsi="宋体" w:cs="宋体"/>
          <w:color w:val="auto"/>
          <w:szCs w:val="21"/>
        </w:rPr>
        <w:t>满足</w:t>
      </w:r>
      <w:r>
        <w:rPr>
          <w:rFonts w:hint="eastAsia" w:ascii="宋体"/>
          <w:bCs/>
          <w:color w:val="auto"/>
          <w:szCs w:val="20"/>
        </w:rPr>
        <w:t>投标人的资格要求</w:t>
      </w:r>
      <w:r>
        <w:rPr>
          <w:rFonts w:hint="eastAsia" w:ascii="宋体" w:hAnsi="宋体" w:cs="宋体"/>
          <w:color w:val="auto"/>
          <w:szCs w:val="21"/>
          <w:lang w:eastAsia="zh-TW"/>
        </w:rPr>
        <w:t>。</w:t>
      </w:r>
    </w:p>
    <w:p>
      <w:pPr>
        <w:numPr>
          <w:ilvl w:val="0"/>
          <w:numId w:val="41"/>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ascii="宋体" w:hAnsi="宋体"/>
          <w:b/>
          <w:bCs/>
          <w:color w:val="auto"/>
          <w:szCs w:val="21"/>
        </w:rPr>
        <w:t>证明投标标的的合格性和符合招标文件规定的文件</w:t>
      </w:r>
    </w:p>
    <w:p>
      <w:pPr>
        <w:numPr>
          <w:ilvl w:val="1"/>
          <w:numId w:val="41"/>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投标人应提交证明文件</w:t>
      </w:r>
      <w:r>
        <w:rPr>
          <w:rFonts w:hint="eastAsia" w:ascii="宋体" w:hAnsi="宋体" w:cs="宋体"/>
          <w:color w:val="auto"/>
          <w:szCs w:val="21"/>
        </w:rPr>
        <w:t>，</w:t>
      </w:r>
      <w:r>
        <w:rPr>
          <w:rFonts w:hint="eastAsia" w:ascii="宋体" w:hAnsi="宋体" w:cs="宋体"/>
          <w:color w:val="auto"/>
          <w:szCs w:val="21"/>
          <w:lang w:eastAsia="zh-TW"/>
        </w:rPr>
        <w:t>证明其拟</w:t>
      </w:r>
      <w:r>
        <w:rPr>
          <w:rFonts w:hint="eastAsia" w:ascii="宋体" w:hAnsi="宋体" w:cs="宋体"/>
          <w:color w:val="auto"/>
          <w:szCs w:val="21"/>
        </w:rPr>
        <w:t>投标</w:t>
      </w:r>
      <w:r>
        <w:rPr>
          <w:rFonts w:hint="eastAsia" w:ascii="宋体" w:hAnsi="宋体" w:cs="宋体"/>
          <w:color w:val="auto"/>
          <w:szCs w:val="21"/>
          <w:lang w:eastAsia="zh-TW"/>
        </w:rPr>
        <w:t>的货物和服务的合格性符合招标文件规定。该证明文件作为投标文件的一部分。</w:t>
      </w:r>
    </w:p>
    <w:p>
      <w:pPr>
        <w:numPr>
          <w:ilvl w:val="1"/>
          <w:numId w:val="41"/>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货物和服务合格性的证明文件应包括投标分项报价表中对货物和服务原产地的说明。</w:t>
      </w:r>
    </w:p>
    <w:p>
      <w:pPr>
        <w:numPr>
          <w:ilvl w:val="1"/>
          <w:numId w:val="41"/>
        </w:numPr>
        <w:autoSpaceDE w:val="0"/>
        <w:autoSpaceDN w:val="0"/>
        <w:adjustRightInd w:val="0"/>
        <w:snapToGrid w:val="0"/>
        <w:spacing w:line="360" w:lineRule="auto"/>
        <w:rPr>
          <w:rFonts w:ascii="宋体" w:hAnsi="宋体"/>
          <w:strike/>
          <w:color w:val="auto"/>
          <w:szCs w:val="21"/>
        </w:rPr>
      </w:pPr>
      <w:r>
        <w:rPr>
          <w:rFonts w:hint="eastAsia" w:ascii="宋体" w:hAnsi="宋体" w:cs="宋体"/>
          <w:color w:val="auto"/>
          <w:szCs w:val="21"/>
          <w:lang w:eastAsia="zh-TW"/>
        </w:rPr>
        <w:t>证明货物和服务与招标文件的要求相一致的文件，可以是文字资料、图纸和数据</w:t>
      </w:r>
      <w:r>
        <w:rPr>
          <w:rFonts w:hint="eastAsia" w:ascii="宋体" w:hAnsi="宋体" w:cs="宋体"/>
          <w:color w:val="auto"/>
          <w:szCs w:val="21"/>
        </w:rPr>
        <w:t>。</w:t>
      </w:r>
    </w:p>
    <w:p>
      <w:pPr>
        <w:numPr>
          <w:ilvl w:val="1"/>
          <w:numId w:val="41"/>
        </w:numPr>
        <w:autoSpaceDE w:val="0"/>
        <w:autoSpaceDN w:val="0"/>
        <w:adjustRightInd w:val="0"/>
        <w:snapToGrid w:val="0"/>
        <w:spacing w:line="360" w:lineRule="auto"/>
        <w:rPr>
          <w:color w:val="auto"/>
        </w:rPr>
      </w:pPr>
      <w:r>
        <w:rPr>
          <w:rFonts w:hint="eastAsia" w:ascii="宋体" w:hAnsi="宋体" w:cs="宋体"/>
          <w:color w:val="auto"/>
          <w:szCs w:val="21"/>
        </w:rPr>
        <w:t>除</w:t>
      </w:r>
      <w:r>
        <w:rPr>
          <w:rFonts w:hint="eastAsia" w:ascii="宋体" w:hAnsi="宋体" w:cs="宋体"/>
          <w:b/>
          <w:color w:val="auto"/>
          <w:szCs w:val="21"/>
        </w:rPr>
        <w:t>投标资料表</w:t>
      </w:r>
      <w:r>
        <w:rPr>
          <w:rFonts w:hint="eastAsia" w:ascii="宋体" w:hAnsi="宋体" w:cs="宋体"/>
          <w:color w:val="auto"/>
          <w:szCs w:val="21"/>
        </w:rPr>
        <w:t>另有规定，</w:t>
      </w:r>
      <w:r>
        <w:rPr>
          <w:rFonts w:hint="eastAsia" w:ascii="宋体" w:hAnsi="宋体" w:cs="宋体"/>
          <w:color w:val="auto"/>
          <w:szCs w:val="21"/>
          <w:lang w:eastAsia="zh-TW"/>
        </w:rPr>
        <w:t>投标人对加注星号（“★”）的实质性条款或技术参数应当在投标文件中提供技术支持资料。技术支持资料以投标货物制造商公开发布的印刷资料或检测机构出具的检测报告或投标货物制造商</w:t>
      </w:r>
      <w:r>
        <w:rPr>
          <w:rFonts w:hint="eastAsia" w:ascii="宋体" w:hAnsi="宋体" w:cs="宋体"/>
          <w:color w:val="auto"/>
          <w:szCs w:val="21"/>
        </w:rPr>
        <w:t>出具的证明或</w:t>
      </w:r>
      <w:r>
        <w:rPr>
          <w:rFonts w:hint="eastAsia" w:ascii="宋体" w:hAnsi="宋体" w:cs="宋体"/>
          <w:color w:val="auto"/>
          <w:szCs w:val="21"/>
          <w:lang w:eastAsia="zh-TW"/>
        </w:rPr>
        <w:t>招标文件中允许的其他形式为准。凡不符合上述要求的，将视为无效技术支持资料</w:t>
      </w:r>
      <w:r>
        <w:rPr>
          <w:rFonts w:hint="eastAsia" w:ascii="宋体" w:hAnsi="宋体" w:cs="宋体"/>
          <w:color w:val="auto"/>
          <w:szCs w:val="21"/>
        </w:rPr>
        <w:t>，导致投标无效</w:t>
      </w:r>
      <w:r>
        <w:rPr>
          <w:rFonts w:hint="eastAsia" w:ascii="宋体" w:hAnsi="宋体" w:cs="宋体"/>
          <w:color w:val="auto"/>
          <w:szCs w:val="21"/>
          <w:lang w:eastAsia="zh-TW"/>
        </w:rPr>
        <w:t>。</w:t>
      </w:r>
    </w:p>
    <w:p>
      <w:pPr>
        <w:numPr>
          <w:ilvl w:val="0"/>
          <w:numId w:val="41"/>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分包</w:t>
      </w:r>
    </w:p>
    <w:p>
      <w:pPr>
        <w:numPr>
          <w:ilvl w:val="1"/>
          <w:numId w:val="41"/>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如果</w:t>
      </w:r>
      <w:r>
        <w:rPr>
          <w:rFonts w:hint="eastAsia" w:ascii="宋体" w:hAnsi="宋体"/>
          <w:b/>
          <w:color w:val="auto"/>
          <w:szCs w:val="21"/>
        </w:rPr>
        <w:t>投标资料表</w:t>
      </w:r>
      <w:r>
        <w:rPr>
          <w:rFonts w:hint="eastAsia" w:ascii="宋体" w:hAnsi="宋体"/>
          <w:color w:val="auto"/>
          <w:szCs w:val="21"/>
        </w:rPr>
        <w:t>已明确允许分包且投</w:t>
      </w:r>
      <w:r>
        <w:rPr>
          <w:rFonts w:hint="eastAsia" w:ascii="宋体" w:hAnsi="宋体"/>
          <w:color w:val="auto"/>
          <w:szCs w:val="21"/>
        </w:rPr>
        <w:t>标人拟在中标后将中标项目的非主体、非关键性工作分包的，投标人应当在投标文件中载明分包的内容和分包供应商，并提供分包供应商具有的相应资质和证明材料。分包供应商不得再次分包。</w:t>
      </w:r>
    </w:p>
    <w:p>
      <w:pPr>
        <w:numPr>
          <w:ilvl w:val="0"/>
          <w:numId w:val="41"/>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投标保证金</w:t>
      </w:r>
    </w:p>
    <w:p>
      <w:pPr>
        <w:numPr>
          <w:ilvl w:val="1"/>
          <w:numId w:val="41"/>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投标人应</w:t>
      </w:r>
      <w:r>
        <w:rPr>
          <w:rFonts w:hint="eastAsia" w:ascii="宋体" w:hAnsi="宋体" w:cs="宋体"/>
          <w:color w:val="auto"/>
          <w:szCs w:val="21"/>
        </w:rPr>
        <w:t>按</w:t>
      </w:r>
      <w:r>
        <w:rPr>
          <w:rFonts w:hint="eastAsia" w:ascii="宋体" w:hAnsi="宋体" w:cs="宋体"/>
          <w:b/>
          <w:color w:val="auto"/>
          <w:szCs w:val="21"/>
          <w:lang w:eastAsia="zh-TW"/>
        </w:rPr>
        <w:t>投标资料表</w:t>
      </w:r>
      <w:r>
        <w:rPr>
          <w:rFonts w:hint="eastAsia" w:ascii="宋体" w:hAnsi="宋体" w:cs="宋体"/>
          <w:color w:val="auto"/>
          <w:szCs w:val="21"/>
          <w:lang w:eastAsia="zh-TW"/>
        </w:rPr>
        <w:t>中规定</w:t>
      </w:r>
      <w:r>
        <w:rPr>
          <w:rFonts w:hint="eastAsia" w:ascii="宋体" w:hAnsi="宋体" w:cs="宋体"/>
          <w:color w:val="auto"/>
          <w:szCs w:val="21"/>
        </w:rPr>
        <w:t>缴纳</w:t>
      </w:r>
      <w:r>
        <w:rPr>
          <w:rFonts w:hint="eastAsia" w:ascii="宋体" w:hAnsi="宋体" w:cs="宋体"/>
          <w:color w:val="auto"/>
          <w:szCs w:val="21"/>
          <w:lang w:eastAsia="zh-TW"/>
        </w:rPr>
        <w:t>投标保证金</w:t>
      </w:r>
      <w:r>
        <w:rPr>
          <w:rFonts w:hint="eastAsia" w:ascii="宋体" w:hAnsi="宋体" w:cs="宋体"/>
          <w:color w:val="auto"/>
          <w:szCs w:val="21"/>
        </w:rPr>
        <w:t>，</w:t>
      </w:r>
      <w:r>
        <w:rPr>
          <w:rFonts w:hint="eastAsia" w:ascii="宋体" w:hAnsi="宋体" w:cs="宋体"/>
          <w:color w:val="auto"/>
          <w:szCs w:val="21"/>
          <w:lang w:eastAsia="zh-TW"/>
        </w:rPr>
        <w:t>并作为其投标</w:t>
      </w:r>
      <w:r>
        <w:rPr>
          <w:rFonts w:hint="eastAsia" w:ascii="宋体" w:hAnsi="宋体" w:cs="宋体"/>
          <w:color w:val="auto"/>
          <w:szCs w:val="21"/>
        </w:rPr>
        <w:t>文件的组成</w:t>
      </w:r>
      <w:r>
        <w:rPr>
          <w:rFonts w:hint="eastAsia" w:ascii="宋体" w:hAnsi="宋体" w:cs="宋体"/>
          <w:color w:val="auto"/>
          <w:szCs w:val="21"/>
          <w:lang w:eastAsia="zh-TW"/>
        </w:rPr>
        <w:t>部分。</w:t>
      </w:r>
    </w:p>
    <w:p>
      <w:pPr>
        <w:numPr>
          <w:ilvl w:val="1"/>
          <w:numId w:val="41"/>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投标人在投标截止时间前撤回已提交的投标文件的，采购人或者采购代理机构应当自收到投标人书面撤回通知之日起5个工作日内，退还已收取的投标保证金，但因投标人自身原因导致无法及时退还的除外。</w:t>
      </w:r>
    </w:p>
    <w:p>
      <w:pPr>
        <w:numPr>
          <w:ilvl w:val="1"/>
          <w:numId w:val="41"/>
        </w:numPr>
        <w:autoSpaceDE w:val="0"/>
        <w:autoSpaceDN w:val="0"/>
        <w:adjustRightInd w:val="0"/>
        <w:snapToGrid w:val="0"/>
        <w:spacing w:line="360" w:lineRule="auto"/>
        <w:rPr>
          <w:rFonts w:ascii="宋体" w:hAnsi="宋体"/>
          <w:color w:val="auto"/>
          <w:szCs w:val="21"/>
        </w:rPr>
      </w:pPr>
      <w:r>
        <w:rPr>
          <w:rFonts w:hint="eastAsia" w:ascii="宋体" w:hAnsi="宋体" w:cs="宋体"/>
          <w:color w:val="auto"/>
          <w:szCs w:val="21"/>
          <w:lang w:eastAsia="zh-TW"/>
        </w:rPr>
        <w:t>未中标的投标人保证金，在中标通知书发出之日起</w:t>
      </w:r>
      <w:r>
        <w:rPr>
          <w:rFonts w:hint="eastAsia" w:ascii="宋体" w:hAnsi="宋体" w:cs="宋体"/>
          <w:color w:val="auto"/>
          <w:szCs w:val="21"/>
        </w:rPr>
        <w:t>5</w:t>
      </w:r>
      <w:r>
        <w:rPr>
          <w:rFonts w:hint="eastAsia" w:ascii="宋体" w:hAnsi="宋体" w:cs="宋体"/>
          <w:color w:val="auto"/>
          <w:szCs w:val="21"/>
          <w:lang w:eastAsia="zh-TW"/>
        </w:rPr>
        <w:t>个工作日内</w:t>
      </w:r>
      <w:r>
        <w:rPr>
          <w:rFonts w:hint="eastAsia" w:ascii="宋体" w:hAnsi="宋体" w:cs="宋体"/>
          <w:color w:val="auto"/>
          <w:szCs w:val="21"/>
        </w:rPr>
        <w:t>（</w:t>
      </w:r>
      <w:r>
        <w:rPr>
          <w:rFonts w:hint="eastAsia" w:ascii="宋体" w:hAnsi="宋体" w:cs="宋体"/>
          <w:color w:val="auto"/>
          <w:szCs w:val="21"/>
          <w:lang w:eastAsia="zh-TW"/>
        </w:rPr>
        <w:t>但因投标人自身原因导致无法及时退还的除外</w:t>
      </w:r>
      <w:r>
        <w:rPr>
          <w:rFonts w:hint="eastAsia" w:ascii="宋体" w:hAnsi="宋体" w:cs="宋体"/>
          <w:color w:val="auto"/>
          <w:szCs w:val="21"/>
        </w:rPr>
        <w:t>）</w:t>
      </w:r>
      <w:r>
        <w:rPr>
          <w:rFonts w:hint="eastAsia" w:ascii="宋体" w:hAnsi="宋体" w:cs="宋体"/>
          <w:color w:val="auto"/>
          <w:szCs w:val="21"/>
          <w:lang w:eastAsia="zh-TW"/>
        </w:rPr>
        <w:t>不计利息原额退还。</w:t>
      </w:r>
    </w:p>
    <w:p>
      <w:pPr>
        <w:numPr>
          <w:ilvl w:val="1"/>
          <w:numId w:val="41"/>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中标人的投标保证金，在中标人与采购人签订采购合同之日起</w:t>
      </w:r>
      <w:r>
        <w:rPr>
          <w:rFonts w:hint="eastAsia" w:ascii="宋体" w:hAnsi="宋体" w:cs="宋体"/>
          <w:color w:val="auto"/>
          <w:szCs w:val="21"/>
        </w:rPr>
        <w:t>5</w:t>
      </w:r>
      <w:r>
        <w:rPr>
          <w:rFonts w:hint="eastAsia" w:ascii="宋体" w:hAnsi="宋体" w:cs="宋体"/>
          <w:color w:val="auto"/>
          <w:szCs w:val="21"/>
          <w:lang w:eastAsia="zh-TW"/>
        </w:rPr>
        <w:t>个工作日内</w:t>
      </w:r>
      <w:r>
        <w:rPr>
          <w:rFonts w:hint="eastAsia" w:ascii="宋体" w:hAnsi="宋体" w:cs="宋体"/>
          <w:color w:val="auto"/>
          <w:szCs w:val="21"/>
        </w:rPr>
        <w:t>（</w:t>
      </w:r>
      <w:r>
        <w:rPr>
          <w:rFonts w:hint="eastAsia" w:ascii="宋体" w:hAnsi="宋体" w:cs="宋体"/>
          <w:color w:val="auto"/>
          <w:szCs w:val="21"/>
          <w:lang w:eastAsia="zh-TW"/>
        </w:rPr>
        <w:t>但因投标人自身原因导致无法及时退还的除外</w:t>
      </w:r>
      <w:r>
        <w:rPr>
          <w:rFonts w:hint="eastAsia" w:ascii="宋体" w:hAnsi="宋体" w:cs="宋体"/>
          <w:color w:val="auto"/>
          <w:szCs w:val="21"/>
        </w:rPr>
        <w:t>）</w:t>
      </w:r>
      <w:r>
        <w:rPr>
          <w:rFonts w:hint="eastAsia" w:ascii="宋体" w:hAnsi="宋体" w:cs="宋体"/>
          <w:color w:val="auto"/>
          <w:szCs w:val="21"/>
          <w:lang w:eastAsia="zh-TW"/>
        </w:rPr>
        <w:t>不计利息原额退还或者转为中标人的</w:t>
      </w:r>
      <w:r>
        <w:rPr>
          <w:rFonts w:hint="eastAsia" w:ascii="宋体" w:hAnsi="宋体" w:cs="宋体"/>
          <w:color w:val="auto"/>
          <w:szCs w:val="21"/>
        </w:rPr>
        <w:t>履约保证金（中标人应在与采购人签订采购合同后两个工作日内交</w:t>
      </w:r>
      <w:r>
        <w:rPr>
          <w:rFonts w:ascii="宋体" w:hAnsi="宋体"/>
          <w:color w:val="auto"/>
          <w:szCs w:val="21"/>
        </w:rPr>
        <w:t>采购代理机构</w:t>
      </w:r>
      <w:r>
        <w:rPr>
          <w:rFonts w:hint="eastAsia" w:ascii="宋体" w:hAnsi="宋体"/>
          <w:color w:val="auto"/>
          <w:szCs w:val="21"/>
        </w:rPr>
        <w:t>备案</w:t>
      </w:r>
      <w:r>
        <w:rPr>
          <w:rFonts w:hint="eastAsia" w:ascii="宋体" w:hAnsi="宋体" w:cs="宋体"/>
          <w:color w:val="auto"/>
          <w:szCs w:val="21"/>
        </w:rPr>
        <w:t>）</w:t>
      </w:r>
      <w:r>
        <w:rPr>
          <w:rFonts w:hint="eastAsia" w:ascii="宋体" w:hAnsi="宋体" w:cs="宋体"/>
          <w:color w:val="auto"/>
          <w:szCs w:val="21"/>
          <w:lang w:eastAsia="zh-TW"/>
        </w:rPr>
        <w:t>。</w:t>
      </w:r>
    </w:p>
    <w:p>
      <w:pPr>
        <w:numPr>
          <w:ilvl w:val="1"/>
          <w:numId w:val="41"/>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下列任一情</w:t>
      </w:r>
      <w:r>
        <w:rPr>
          <w:rFonts w:hint="eastAsia" w:ascii="宋体" w:hAnsi="宋体" w:cs="宋体"/>
          <w:color w:val="auto"/>
          <w:szCs w:val="21"/>
        </w:rPr>
        <w:t>形</w:t>
      </w:r>
      <w:r>
        <w:rPr>
          <w:rFonts w:hint="eastAsia" w:ascii="宋体" w:hAnsi="宋体" w:cs="宋体"/>
          <w:color w:val="auto"/>
          <w:szCs w:val="21"/>
          <w:lang w:eastAsia="zh-TW"/>
        </w:rPr>
        <w:t>发生时</w:t>
      </w:r>
      <w:r>
        <w:rPr>
          <w:rFonts w:hint="eastAsia" w:ascii="宋体" w:hAnsi="宋体" w:cs="宋体"/>
          <w:color w:val="auto"/>
          <w:szCs w:val="21"/>
        </w:rPr>
        <w:t>，</w:t>
      </w:r>
      <w:r>
        <w:rPr>
          <w:rFonts w:hint="eastAsia" w:ascii="宋体" w:hAnsi="宋体" w:cs="宋体"/>
          <w:color w:val="auto"/>
          <w:szCs w:val="21"/>
          <w:lang w:eastAsia="zh-TW"/>
        </w:rPr>
        <w:t>投标保证金将不予退还：</w:t>
      </w:r>
    </w:p>
    <w:p>
      <w:pPr>
        <w:numPr>
          <w:ilvl w:val="2"/>
          <w:numId w:val="41"/>
        </w:numPr>
        <w:tabs>
          <w:tab w:val="left" w:pos="851"/>
        </w:tabs>
        <w:autoSpaceDE w:val="0"/>
        <w:autoSpaceDN w:val="0"/>
        <w:adjustRightInd w:val="0"/>
        <w:snapToGrid w:val="0"/>
        <w:spacing w:line="360" w:lineRule="auto"/>
        <w:rPr>
          <w:rFonts w:ascii="宋体" w:hAnsi="宋体"/>
          <w:color w:val="auto"/>
          <w:szCs w:val="21"/>
        </w:rPr>
      </w:pPr>
      <w:r>
        <w:rPr>
          <w:rFonts w:hint="eastAsia" w:ascii="宋体" w:hAnsi="宋体" w:cs="宋体"/>
          <w:color w:val="auto"/>
          <w:szCs w:val="21"/>
          <w:lang w:eastAsia="zh-TW"/>
        </w:rPr>
        <w:t>投标人在招标文件中规定的投标有效期内撤</w:t>
      </w:r>
      <w:r>
        <w:rPr>
          <w:rFonts w:hint="eastAsia" w:ascii="宋体" w:hAnsi="宋体" w:cs="宋体"/>
          <w:color w:val="auto"/>
          <w:szCs w:val="21"/>
        </w:rPr>
        <w:t>销</w:t>
      </w:r>
      <w:r>
        <w:rPr>
          <w:rFonts w:hint="eastAsia" w:ascii="宋体" w:hAnsi="宋体" w:cs="宋体"/>
          <w:color w:val="auto"/>
          <w:szCs w:val="21"/>
          <w:lang w:eastAsia="zh-TW"/>
        </w:rPr>
        <w:t>其投标</w:t>
      </w:r>
      <w:r>
        <w:rPr>
          <w:rFonts w:ascii="宋体" w:hAnsi="宋体" w:cs="宋体"/>
          <w:color w:val="auto"/>
          <w:szCs w:val="21"/>
          <w:lang w:eastAsia="zh-TW"/>
        </w:rPr>
        <w:t>文件</w:t>
      </w:r>
      <w:r>
        <w:rPr>
          <w:rFonts w:hint="eastAsia" w:ascii="宋体" w:hAnsi="宋体" w:cs="宋体"/>
          <w:color w:val="auto"/>
          <w:szCs w:val="21"/>
        </w:rPr>
        <w:t>；</w:t>
      </w:r>
    </w:p>
    <w:p>
      <w:pPr>
        <w:numPr>
          <w:ilvl w:val="2"/>
          <w:numId w:val="41"/>
        </w:numPr>
        <w:tabs>
          <w:tab w:val="left" w:pos="851"/>
        </w:tabs>
        <w:autoSpaceDE w:val="0"/>
        <w:autoSpaceDN w:val="0"/>
        <w:adjustRightInd w:val="0"/>
        <w:snapToGrid w:val="0"/>
        <w:spacing w:line="360" w:lineRule="auto"/>
        <w:rPr>
          <w:rFonts w:ascii="宋体" w:hAnsi="宋体"/>
          <w:color w:val="auto"/>
          <w:szCs w:val="21"/>
        </w:rPr>
      </w:pPr>
      <w:r>
        <w:rPr>
          <w:rFonts w:hint="eastAsia" w:ascii="宋体" w:hAnsi="宋体" w:cs="宋体"/>
          <w:color w:val="auto"/>
          <w:szCs w:val="21"/>
          <w:lang w:eastAsia="zh-TW"/>
        </w:rPr>
        <w:t>中标后无正当理由放弃中标或中标人</w:t>
      </w:r>
      <w:r>
        <w:rPr>
          <w:rFonts w:hint="eastAsia" w:ascii="宋体" w:hAnsi="宋体" w:cs="宋体"/>
          <w:color w:val="auto"/>
          <w:szCs w:val="21"/>
        </w:rPr>
        <w:t>拒绝与采购人</w:t>
      </w:r>
      <w:r>
        <w:rPr>
          <w:rFonts w:hint="eastAsia" w:ascii="宋体" w:hAnsi="宋体" w:cs="宋体"/>
          <w:color w:val="auto"/>
          <w:szCs w:val="21"/>
          <w:lang w:eastAsia="zh-TW"/>
        </w:rPr>
        <w:t>签订合同</w:t>
      </w:r>
      <w:r>
        <w:rPr>
          <w:rFonts w:hint="eastAsia" w:ascii="宋体" w:hAnsi="宋体" w:cs="宋体"/>
          <w:color w:val="auto"/>
          <w:szCs w:val="21"/>
        </w:rPr>
        <w:t>；</w:t>
      </w:r>
    </w:p>
    <w:p>
      <w:pPr>
        <w:numPr>
          <w:ilvl w:val="2"/>
          <w:numId w:val="41"/>
        </w:numPr>
        <w:tabs>
          <w:tab w:val="left" w:pos="851"/>
        </w:tabs>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依法</w:t>
      </w:r>
      <w:r>
        <w:rPr>
          <w:rFonts w:hint="eastAsia" w:ascii="宋体" w:hAnsi="宋体" w:cs="宋体"/>
          <w:color w:val="auto"/>
          <w:szCs w:val="21"/>
        </w:rPr>
        <w:t>被认定中标无效</w:t>
      </w:r>
      <w:r>
        <w:rPr>
          <w:rFonts w:hint="eastAsia" w:ascii="宋体" w:hAnsi="宋体" w:cs="宋体"/>
          <w:color w:val="auto"/>
          <w:szCs w:val="21"/>
          <w:lang w:eastAsia="zh-TW"/>
        </w:rPr>
        <w:t>；</w:t>
      </w:r>
    </w:p>
    <w:p>
      <w:pPr>
        <w:numPr>
          <w:ilvl w:val="2"/>
          <w:numId w:val="41"/>
        </w:numPr>
        <w:tabs>
          <w:tab w:val="left" w:pos="851"/>
        </w:tabs>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中标人未按本须知规定缴纳招标代理服务费。</w:t>
      </w:r>
    </w:p>
    <w:p>
      <w:pPr>
        <w:numPr>
          <w:ilvl w:val="0"/>
          <w:numId w:val="41"/>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投标有效期</w:t>
      </w:r>
    </w:p>
    <w:p>
      <w:pPr>
        <w:numPr>
          <w:ilvl w:val="1"/>
          <w:numId w:val="41"/>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投标应自</w:t>
      </w:r>
      <w:r>
        <w:rPr>
          <w:rFonts w:hint="eastAsia" w:ascii="宋体" w:hAnsi="宋体" w:cs="宋体"/>
          <w:b/>
          <w:color w:val="auto"/>
          <w:szCs w:val="21"/>
          <w:lang w:eastAsia="zh-TW"/>
        </w:rPr>
        <w:t>投标资料表</w:t>
      </w:r>
      <w:r>
        <w:rPr>
          <w:rFonts w:hint="eastAsia" w:ascii="宋体" w:hAnsi="宋体" w:cs="宋体"/>
          <w:color w:val="auto"/>
          <w:szCs w:val="21"/>
          <w:lang w:eastAsia="zh-TW"/>
        </w:rPr>
        <w:t>中规定的投标有效期从提交投标文件的截止之日起算，并</w:t>
      </w:r>
      <w:r>
        <w:rPr>
          <w:rFonts w:hint="eastAsia" w:ascii="宋体" w:hAnsi="宋体" w:cs="宋体"/>
          <w:color w:val="auto"/>
          <w:szCs w:val="21"/>
        </w:rPr>
        <w:t>与</w:t>
      </w:r>
      <w:r>
        <w:rPr>
          <w:rFonts w:hint="eastAsia" w:ascii="宋体" w:hAnsi="宋体" w:cs="宋体"/>
          <w:b/>
          <w:color w:val="auto"/>
          <w:szCs w:val="21"/>
          <w:lang w:eastAsia="zh-TW"/>
        </w:rPr>
        <w:t>投标资料表</w:t>
      </w:r>
      <w:r>
        <w:rPr>
          <w:rFonts w:hint="eastAsia" w:ascii="宋体" w:hAnsi="宋体" w:cs="宋体"/>
          <w:color w:val="auto"/>
          <w:szCs w:val="21"/>
          <w:lang w:eastAsia="zh-TW"/>
        </w:rPr>
        <w:t>中所述期限内保持有效。投标有效期不足的投标将被视为非实质性响应</w:t>
      </w:r>
      <w:r>
        <w:rPr>
          <w:rFonts w:hint="eastAsia" w:ascii="宋体" w:hAnsi="宋体"/>
          <w:color w:val="auto"/>
          <w:szCs w:val="21"/>
        </w:rPr>
        <w:t>，</w:t>
      </w:r>
      <w:r>
        <w:rPr>
          <w:rFonts w:hint="eastAsia" w:ascii="宋体" w:hAnsi="宋体" w:cs="宋体"/>
          <w:color w:val="auto"/>
          <w:szCs w:val="21"/>
        </w:rPr>
        <w:t>视为无效投标</w:t>
      </w:r>
      <w:r>
        <w:rPr>
          <w:rFonts w:hint="eastAsia" w:ascii="宋体" w:hAnsi="宋体" w:cs="宋体"/>
          <w:color w:val="auto"/>
          <w:szCs w:val="21"/>
          <w:lang w:eastAsia="zh-TW"/>
        </w:rPr>
        <w:t>。</w:t>
      </w:r>
    </w:p>
    <w:p>
      <w:pPr>
        <w:numPr>
          <w:ilvl w:val="1"/>
          <w:numId w:val="41"/>
        </w:numPr>
        <w:autoSpaceDE w:val="0"/>
        <w:autoSpaceDN w:val="0"/>
        <w:adjustRightInd w:val="0"/>
        <w:snapToGrid w:val="0"/>
        <w:spacing w:line="360" w:lineRule="auto"/>
        <w:rPr>
          <w:rFonts w:ascii="宋体" w:hAnsi="宋体"/>
          <w:color w:val="auto"/>
          <w:szCs w:val="21"/>
        </w:rPr>
      </w:pPr>
      <w:r>
        <w:rPr>
          <w:rFonts w:hint="eastAsia" w:ascii="宋体" w:hAnsi="宋体" w:cs="宋体"/>
          <w:color w:val="auto"/>
          <w:szCs w:val="21"/>
          <w:lang w:eastAsia="zh-TW"/>
        </w:rPr>
        <w:t>特殊情况下</w:t>
      </w:r>
      <w:r>
        <w:rPr>
          <w:rFonts w:hint="eastAsia" w:ascii="宋体" w:hAnsi="宋体" w:cs="宋体"/>
          <w:color w:val="auto"/>
          <w:szCs w:val="21"/>
        </w:rPr>
        <w:t>，</w:t>
      </w:r>
      <w:r>
        <w:rPr>
          <w:rFonts w:hint="eastAsia" w:ascii="宋体" w:hAnsi="宋体" w:cs="宋体"/>
          <w:color w:val="auto"/>
          <w:szCs w:val="21"/>
          <w:lang w:eastAsia="zh-TW"/>
        </w:rPr>
        <w:t>在原投标有效期截止之前</w:t>
      </w:r>
      <w:r>
        <w:rPr>
          <w:rFonts w:hint="eastAsia" w:ascii="宋体" w:hAnsi="宋体" w:cs="宋体"/>
          <w:color w:val="auto"/>
          <w:szCs w:val="21"/>
        </w:rPr>
        <w:t>，</w:t>
      </w:r>
      <w:r>
        <w:rPr>
          <w:rFonts w:hint="eastAsia" w:ascii="宋体" w:hAnsi="宋体" w:cs="宋体"/>
          <w:color w:val="auto"/>
          <w:szCs w:val="21"/>
          <w:lang w:eastAsia="zh-TW"/>
        </w:rPr>
        <w:t>采购代理机构可要求投标人延长投标有效期。这种要求与答复均应以书面形式提交。投标人可拒绝采购代理机构的这种要求</w:t>
      </w:r>
      <w:r>
        <w:rPr>
          <w:rFonts w:hint="eastAsia" w:ascii="宋体" w:hAnsi="宋体" w:cs="宋体"/>
          <w:color w:val="auto"/>
          <w:szCs w:val="21"/>
        </w:rPr>
        <w:t>，</w:t>
      </w:r>
      <w:r>
        <w:rPr>
          <w:rFonts w:hint="eastAsia" w:ascii="宋体" w:hAnsi="宋体" w:cs="宋体"/>
          <w:color w:val="auto"/>
          <w:szCs w:val="21"/>
          <w:lang w:eastAsia="zh-TW"/>
        </w:rPr>
        <w:t>其投标保证金将</w:t>
      </w:r>
      <w:r>
        <w:rPr>
          <w:rFonts w:hint="eastAsia" w:ascii="宋体" w:hAnsi="宋体" w:cs="宋体"/>
          <w:color w:val="auto"/>
          <w:szCs w:val="21"/>
        </w:rPr>
        <w:t>予以退还，</w:t>
      </w:r>
      <w:r>
        <w:rPr>
          <w:rFonts w:hint="eastAsia" w:ascii="宋体" w:hAnsi="宋体" w:cs="宋体"/>
          <w:color w:val="auto"/>
          <w:szCs w:val="21"/>
          <w:lang w:eastAsia="zh-TW"/>
        </w:rPr>
        <w:t>但其投标在原投标有效期期满后将不再有效。同意延长投标有效期的投标人将不会被要求和允许修正其投标</w:t>
      </w:r>
      <w:r>
        <w:rPr>
          <w:rFonts w:hint="eastAsia" w:ascii="宋体" w:hAnsi="宋体" w:cs="宋体"/>
          <w:color w:val="auto"/>
          <w:szCs w:val="21"/>
        </w:rPr>
        <w:t>，</w:t>
      </w:r>
      <w:r>
        <w:rPr>
          <w:rFonts w:hint="eastAsia" w:ascii="宋体" w:hAnsi="宋体" w:cs="宋体"/>
          <w:color w:val="auto"/>
          <w:szCs w:val="21"/>
          <w:lang w:eastAsia="zh-TW"/>
        </w:rPr>
        <w:t>而只会被要求相应地延长其投标保证金的有效期。在这种情况下</w:t>
      </w:r>
      <w:r>
        <w:rPr>
          <w:rFonts w:hint="eastAsia" w:ascii="宋体" w:hAnsi="宋体" w:cs="宋体"/>
          <w:color w:val="auto"/>
          <w:szCs w:val="21"/>
        </w:rPr>
        <w:t>，</w:t>
      </w:r>
      <w:r>
        <w:rPr>
          <w:rFonts w:hint="eastAsia" w:ascii="宋体" w:hAnsi="宋体" w:cs="宋体"/>
          <w:color w:val="auto"/>
          <w:szCs w:val="21"/>
          <w:lang w:eastAsia="zh-TW"/>
        </w:rPr>
        <w:t>本须知有关投标保证金的退还和</w:t>
      </w:r>
      <w:r>
        <w:rPr>
          <w:rFonts w:hint="eastAsia" w:ascii="宋体" w:hAnsi="宋体" w:cs="宋体"/>
          <w:color w:val="auto"/>
          <w:szCs w:val="21"/>
        </w:rPr>
        <w:t>不予退还</w:t>
      </w:r>
      <w:r>
        <w:rPr>
          <w:rFonts w:hint="eastAsia" w:ascii="宋体" w:hAnsi="宋体" w:cs="宋体"/>
          <w:color w:val="auto"/>
          <w:szCs w:val="21"/>
          <w:lang w:eastAsia="zh-TW"/>
        </w:rPr>
        <w:t>的规定将在延长了的有效期内继续有效。</w:t>
      </w:r>
    </w:p>
    <w:p>
      <w:pPr>
        <w:numPr>
          <w:ilvl w:val="0"/>
          <w:numId w:val="41"/>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投标文件的式样和密封</w:t>
      </w:r>
    </w:p>
    <w:p>
      <w:pPr>
        <w:widowControl/>
        <w:numPr>
          <w:ilvl w:val="1"/>
          <w:numId w:val="41"/>
        </w:numPr>
        <w:adjustRightInd w:val="0"/>
        <w:snapToGrid w:val="0"/>
        <w:spacing w:line="360" w:lineRule="auto"/>
        <w:jc w:val="left"/>
        <w:rPr>
          <w:rFonts w:ascii="宋体" w:hAnsi="宋体"/>
          <w:color w:val="auto"/>
          <w:szCs w:val="21"/>
        </w:rPr>
      </w:pPr>
      <w:r>
        <w:rPr>
          <w:rFonts w:hint="eastAsia" w:ascii="宋体" w:hAnsi="宋体"/>
          <w:color w:val="auto"/>
          <w:szCs w:val="21"/>
        </w:rPr>
        <w:t>投标人应准备一份投标文件正本和</w:t>
      </w:r>
      <w:r>
        <w:rPr>
          <w:rFonts w:hint="eastAsia" w:ascii="宋体" w:hAnsi="宋体"/>
          <w:b/>
          <w:color w:val="auto"/>
          <w:szCs w:val="21"/>
        </w:rPr>
        <w:t>投标资料表</w:t>
      </w:r>
      <w:r>
        <w:rPr>
          <w:rFonts w:hint="eastAsia" w:ascii="宋体" w:hAnsi="宋体"/>
          <w:color w:val="auto"/>
          <w:szCs w:val="21"/>
        </w:rPr>
        <w:t>中规定数目的副本，投标文件原则上采用A4纸制做。每套投标文件须清楚地标明“正本”或“副本”。若正本和副本不符，以正本为准。</w:t>
      </w:r>
      <w:bookmarkStart w:id="127" w:name="_Toc237787559"/>
      <w:r>
        <w:rPr>
          <w:rFonts w:hint="eastAsia" w:ascii="宋体" w:hAnsi="宋体"/>
          <w:color w:val="auto"/>
          <w:szCs w:val="21"/>
        </w:rPr>
        <w:t>投标人应按</w:t>
      </w:r>
      <w:r>
        <w:rPr>
          <w:rFonts w:hint="eastAsia" w:ascii="宋体" w:hAnsi="宋体"/>
          <w:b/>
          <w:color w:val="auto"/>
          <w:szCs w:val="21"/>
        </w:rPr>
        <w:t>投标资料表</w:t>
      </w:r>
      <w:r>
        <w:rPr>
          <w:rFonts w:hint="eastAsia" w:ascii="宋体" w:hAnsi="宋体"/>
          <w:color w:val="auto"/>
          <w:szCs w:val="21"/>
        </w:rPr>
        <w:t>的规定，同时提交电子介质的投标文件。</w:t>
      </w:r>
      <w:bookmarkEnd w:id="127"/>
      <w:r>
        <w:rPr>
          <w:rFonts w:hint="eastAsia" w:ascii="宋体" w:hAnsi="宋体"/>
          <w:color w:val="auto"/>
          <w:szCs w:val="21"/>
        </w:rPr>
        <w:t>电子介质的投标文件与纸质投标文件具有同等的法律效力。除非</w:t>
      </w:r>
      <w:r>
        <w:rPr>
          <w:rFonts w:hint="eastAsia" w:ascii="宋体" w:hAnsi="宋体"/>
          <w:b/>
          <w:color w:val="auto"/>
          <w:szCs w:val="21"/>
        </w:rPr>
        <w:t>投标资料表</w:t>
      </w:r>
      <w:r>
        <w:rPr>
          <w:rFonts w:hint="eastAsia" w:ascii="宋体" w:hAnsi="宋体"/>
          <w:color w:val="auto"/>
          <w:szCs w:val="21"/>
        </w:rPr>
        <w:t>中另有规定，电子介质的投标文件与纸质投标文件不一致时，以纸质投标文件为准。</w:t>
      </w:r>
    </w:p>
    <w:p>
      <w:pPr>
        <w:numPr>
          <w:ilvl w:val="1"/>
          <w:numId w:val="41"/>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电子文件：</w:t>
      </w:r>
      <w:r>
        <w:rPr>
          <w:rFonts w:hint="eastAsia" w:ascii="宋体" w:hAnsi="宋体"/>
          <w:color w:val="auto"/>
          <w:szCs w:val="21"/>
        </w:rPr>
        <w:t>除</w:t>
      </w:r>
      <w:r>
        <w:rPr>
          <w:rFonts w:hint="eastAsia" w:ascii="宋体" w:hAnsi="宋体"/>
          <w:b/>
          <w:color w:val="auto"/>
          <w:szCs w:val="21"/>
        </w:rPr>
        <w:t>投标资料表</w:t>
      </w:r>
      <w:r>
        <w:rPr>
          <w:rFonts w:hint="eastAsia" w:ascii="宋体" w:hAnsi="宋体"/>
          <w:color w:val="auto"/>
          <w:szCs w:val="21"/>
        </w:rPr>
        <w:t>中另有规定，</w:t>
      </w:r>
      <w:r>
        <w:rPr>
          <w:rFonts w:hint="eastAsia" w:ascii="宋体" w:hAnsi="宋体" w:cs="宋体"/>
          <w:color w:val="auto"/>
          <w:szCs w:val="21"/>
          <w:lang w:eastAsia="zh-TW"/>
        </w:rPr>
        <w:t>电子文件是指将按招标文件要求</w:t>
      </w:r>
      <w:r>
        <w:rPr>
          <w:rFonts w:hint="eastAsia" w:ascii="宋体" w:hAnsi="宋体" w:cs="宋体"/>
          <w:b/>
          <w:color w:val="auto"/>
          <w:szCs w:val="21"/>
          <w:u w:val="single"/>
          <w:lang w:eastAsia="zh-TW"/>
        </w:rPr>
        <w:t>签署、盖章后的正本投标文件扫描成PDF</w:t>
      </w:r>
      <w:r>
        <w:rPr>
          <w:rFonts w:hint="eastAsia" w:ascii="宋体" w:hAnsi="宋体" w:cs="宋体"/>
          <w:color w:val="auto"/>
          <w:szCs w:val="21"/>
          <w:lang w:eastAsia="zh-TW"/>
        </w:rPr>
        <w:t>格式后拷贝至无病毒无密码的U盘或光盘</w:t>
      </w:r>
      <w:r>
        <w:rPr>
          <w:rFonts w:hint="eastAsia" w:ascii="宋体" w:hAnsi="宋体" w:cs="宋体"/>
          <w:color w:val="auto"/>
          <w:szCs w:val="21"/>
        </w:rPr>
        <w:t>。</w:t>
      </w:r>
    </w:p>
    <w:p>
      <w:pPr>
        <w:numPr>
          <w:ilvl w:val="1"/>
          <w:numId w:val="41"/>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b/>
          <w:color w:val="auto"/>
          <w:szCs w:val="21"/>
          <w:lang w:eastAsia="zh-TW"/>
        </w:rPr>
        <w:t>投标文件</w:t>
      </w:r>
      <w:r>
        <w:rPr>
          <w:rFonts w:hint="eastAsia" w:ascii="宋体" w:hAnsi="宋体"/>
          <w:b/>
          <w:bCs/>
          <w:color w:val="auto"/>
          <w:szCs w:val="21"/>
        </w:rPr>
        <w:t>密封</w:t>
      </w:r>
      <w:r>
        <w:rPr>
          <w:rFonts w:hint="eastAsia" w:ascii="宋体" w:hAnsi="宋体" w:cs="宋体"/>
          <w:b/>
          <w:color w:val="auto"/>
          <w:szCs w:val="21"/>
          <w:lang w:eastAsia="zh-TW"/>
        </w:rPr>
        <w:t>：</w:t>
      </w:r>
    </w:p>
    <w:p>
      <w:pPr>
        <w:numPr>
          <w:ilvl w:val="2"/>
          <w:numId w:val="41"/>
        </w:numPr>
        <w:autoSpaceDE w:val="0"/>
        <w:autoSpaceDN w:val="0"/>
        <w:adjustRightInd w:val="0"/>
        <w:snapToGrid w:val="0"/>
        <w:spacing w:line="360" w:lineRule="auto"/>
        <w:ind w:left="851" w:hanging="851"/>
        <w:rPr>
          <w:rFonts w:ascii="宋体" w:hAnsi="宋体" w:cs="宋体"/>
          <w:color w:val="auto"/>
          <w:szCs w:val="21"/>
        </w:rPr>
      </w:pPr>
      <w:r>
        <w:rPr>
          <w:rFonts w:hint="eastAsia" w:ascii="宋体" w:hAnsi="宋体" w:cs="宋体"/>
          <w:color w:val="auto"/>
          <w:szCs w:val="21"/>
        </w:rPr>
        <w:t>投标文件正本与副本可以单独密封包装，也可以所有投标文件密封包装在一个密封袋内。密封袋的封口处应粘贴处理。</w:t>
      </w:r>
    </w:p>
    <w:p>
      <w:pPr>
        <w:numPr>
          <w:ilvl w:val="2"/>
          <w:numId w:val="41"/>
        </w:numPr>
        <w:autoSpaceDE w:val="0"/>
        <w:autoSpaceDN w:val="0"/>
        <w:adjustRightInd w:val="0"/>
        <w:snapToGrid w:val="0"/>
        <w:spacing w:line="360" w:lineRule="auto"/>
        <w:ind w:left="851" w:hanging="851"/>
        <w:rPr>
          <w:rFonts w:ascii="宋体" w:hAnsi="宋体" w:cs="宋体"/>
          <w:color w:val="auto"/>
          <w:szCs w:val="21"/>
          <w:lang w:eastAsia="zh-TW"/>
        </w:rPr>
      </w:pPr>
      <w:r>
        <w:rPr>
          <w:rFonts w:hint="eastAsia" w:ascii="宋体" w:hAnsi="宋体" w:cs="宋体"/>
          <w:color w:val="auto"/>
          <w:szCs w:val="21"/>
        </w:rPr>
        <w:t>不足以造成投标文件可以从外包装内散出而导致投标文件泄密的，不认定为投标文件未密封。</w:t>
      </w:r>
    </w:p>
    <w:p>
      <w:pPr>
        <w:numPr>
          <w:ilvl w:val="1"/>
          <w:numId w:val="41"/>
        </w:numPr>
        <w:autoSpaceDE w:val="0"/>
        <w:autoSpaceDN w:val="0"/>
        <w:adjustRightInd w:val="0"/>
        <w:snapToGrid w:val="0"/>
        <w:spacing w:line="360" w:lineRule="auto"/>
        <w:rPr>
          <w:rFonts w:ascii="宋体" w:hAnsi="宋体"/>
          <w:color w:val="auto"/>
          <w:szCs w:val="21"/>
        </w:rPr>
      </w:pPr>
      <w:r>
        <w:rPr>
          <w:rFonts w:hint="eastAsia" w:ascii="宋体" w:hAnsi="宋体" w:cs="宋体"/>
          <w:b/>
          <w:color w:val="auto"/>
          <w:szCs w:val="21"/>
          <w:lang w:eastAsia="zh-TW"/>
        </w:rPr>
        <w:t>投标文件的签署：</w:t>
      </w:r>
    </w:p>
    <w:p>
      <w:pPr>
        <w:numPr>
          <w:ilvl w:val="2"/>
          <w:numId w:val="41"/>
        </w:numPr>
        <w:autoSpaceDE w:val="0"/>
        <w:autoSpaceDN w:val="0"/>
        <w:adjustRightInd w:val="0"/>
        <w:snapToGrid w:val="0"/>
        <w:spacing w:line="360" w:lineRule="auto"/>
        <w:ind w:left="851" w:hanging="851"/>
        <w:rPr>
          <w:rFonts w:ascii="宋体" w:hAnsi="宋体"/>
          <w:color w:val="auto"/>
          <w:szCs w:val="21"/>
        </w:rPr>
      </w:pPr>
      <w:bookmarkStart w:id="128" w:name="_Toc237787560"/>
      <w:r>
        <w:rPr>
          <w:rFonts w:hint="eastAsia" w:ascii="宋体" w:hAnsi="宋体"/>
          <w:color w:val="auto"/>
          <w:szCs w:val="21"/>
        </w:rPr>
        <w:t>投标文件正本须用不褪色墨水书写或打印，由投标人的法定代表人或经其正式授权</w:t>
      </w:r>
      <w:bookmarkEnd w:id="128"/>
      <w:bookmarkStart w:id="129" w:name="_Toc237787561"/>
      <w:r>
        <w:rPr>
          <w:rFonts w:hint="eastAsia" w:ascii="宋体" w:hAnsi="宋体"/>
          <w:color w:val="auto"/>
          <w:szCs w:val="21"/>
        </w:rPr>
        <w:t>的代表签署本人姓名或印盖本人姓名章，不得加盖合同专用章、投标人专用章等各种形式的专用章。授权代表须将以书面形式出具的</w:t>
      </w:r>
      <w:r>
        <w:rPr>
          <w:rFonts w:hint="eastAsia" w:ascii="宋体" w:hAnsi="宋体" w:cs="宋体"/>
          <w:color w:val="auto"/>
          <w:szCs w:val="21"/>
        </w:rPr>
        <w:t>《法定代表人授权委托书》</w:t>
      </w:r>
      <w:r>
        <w:rPr>
          <w:rFonts w:hint="eastAsia" w:ascii="宋体" w:hAnsi="宋体"/>
          <w:color w:val="auto"/>
          <w:szCs w:val="21"/>
        </w:rPr>
        <w:t>附在投标文件中。</w:t>
      </w:r>
      <w:bookmarkEnd w:id="129"/>
    </w:p>
    <w:p>
      <w:pPr>
        <w:numPr>
          <w:ilvl w:val="2"/>
          <w:numId w:val="41"/>
        </w:numPr>
        <w:autoSpaceDE w:val="0"/>
        <w:autoSpaceDN w:val="0"/>
        <w:adjustRightInd w:val="0"/>
        <w:snapToGrid w:val="0"/>
        <w:spacing w:line="360" w:lineRule="auto"/>
        <w:ind w:left="851" w:hanging="851"/>
        <w:rPr>
          <w:rFonts w:ascii="宋体" w:hAnsi="宋体"/>
          <w:color w:val="auto"/>
          <w:szCs w:val="21"/>
        </w:rPr>
      </w:pPr>
      <w:r>
        <w:rPr>
          <w:rFonts w:hint="eastAsia" w:ascii="宋体" w:hAnsi="宋体" w:cs="宋体"/>
          <w:color w:val="auto"/>
          <w:szCs w:val="21"/>
          <w:lang w:eastAsia="zh-TW"/>
        </w:rPr>
        <w:t>投标文件中的任何重要的插字、涂改和增删，必须由法定代表人或经其正式授权的代表在旁边签署本人姓名或印盖本人姓名章才有效。</w:t>
      </w:r>
    </w:p>
    <w:p>
      <w:pPr>
        <w:numPr>
          <w:ilvl w:val="2"/>
          <w:numId w:val="41"/>
        </w:numPr>
        <w:autoSpaceDE w:val="0"/>
        <w:autoSpaceDN w:val="0"/>
        <w:adjustRightInd w:val="0"/>
        <w:snapToGrid w:val="0"/>
        <w:spacing w:line="360" w:lineRule="auto"/>
        <w:ind w:left="851" w:hanging="851"/>
        <w:rPr>
          <w:rFonts w:ascii="宋体" w:hAnsi="宋体"/>
          <w:color w:val="auto"/>
          <w:szCs w:val="21"/>
        </w:rPr>
      </w:pPr>
      <w:bookmarkStart w:id="130" w:name="_Toc237787563"/>
      <w:r>
        <w:rPr>
          <w:rFonts w:hint="eastAsia" w:ascii="宋体" w:hAnsi="宋体"/>
          <w:color w:val="auto"/>
          <w:szCs w:val="21"/>
        </w:rPr>
        <w:t>投标文件的正本，招标文件中已明示需盖章签名处，均须由投标人加盖投标人公章，并经投标人法定代表人或其正式授权的代表</w:t>
      </w:r>
      <w:bookmarkEnd w:id="130"/>
      <w:bookmarkStart w:id="131" w:name="_Toc237787564"/>
      <w:r>
        <w:rPr>
          <w:rFonts w:hint="eastAsia" w:ascii="宋体" w:hAnsi="宋体"/>
          <w:color w:val="auto"/>
          <w:szCs w:val="21"/>
        </w:rPr>
        <w:t>签署本人姓名或印盖本人姓名章。投标文件副本</w:t>
      </w:r>
      <w:bookmarkEnd w:id="131"/>
      <w:r>
        <w:rPr>
          <w:rFonts w:hint="eastAsia" w:ascii="宋体" w:hAnsi="宋体"/>
          <w:color w:val="auto"/>
          <w:szCs w:val="21"/>
        </w:rPr>
        <w:t>应为正本的复印件。</w:t>
      </w:r>
    </w:p>
    <w:p>
      <w:pPr>
        <w:numPr>
          <w:ilvl w:val="1"/>
          <w:numId w:val="41"/>
        </w:numPr>
        <w:autoSpaceDE w:val="0"/>
        <w:autoSpaceDN w:val="0"/>
        <w:adjustRightInd w:val="0"/>
        <w:snapToGrid w:val="0"/>
        <w:spacing w:line="360" w:lineRule="auto"/>
        <w:rPr>
          <w:rFonts w:ascii="宋体" w:hAnsi="宋体" w:cs="宋体"/>
          <w:b/>
          <w:color w:val="auto"/>
          <w:szCs w:val="21"/>
          <w:lang w:eastAsia="zh-TW"/>
        </w:rPr>
      </w:pPr>
      <w:r>
        <w:rPr>
          <w:rFonts w:hint="eastAsia" w:ascii="宋体" w:hAnsi="宋体" w:cs="宋体"/>
          <w:b/>
          <w:color w:val="auto"/>
          <w:szCs w:val="21"/>
        </w:rPr>
        <w:t>投标文件标识</w:t>
      </w:r>
    </w:p>
    <w:p>
      <w:pPr>
        <w:numPr>
          <w:ilvl w:val="2"/>
          <w:numId w:val="41"/>
        </w:numPr>
        <w:tabs>
          <w:tab w:val="left" w:pos="851"/>
          <w:tab w:val="left" w:pos="993"/>
          <w:tab w:val="clear" w:pos="567"/>
        </w:tabs>
        <w:autoSpaceDE w:val="0"/>
        <w:autoSpaceDN w:val="0"/>
        <w:adjustRightInd w:val="0"/>
        <w:snapToGrid w:val="0"/>
        <w:spacing w:line="360" w:lineRule="auto"/>
        <w:ind w:left="851" w:hanging="851"/>
        <w:rPr>
          <w:rFonts w:ascii="宋体" w:hAnsi="宋体" w:cs="宋体"/>
          <w:color w:val="auto"/>
          <w:szCs w:val="21"/>
        </w:rPr>
      </w:pPr>
      <w:r>
        <w:rPr>
          <w:rFonts w:hint="eastAsia" w:ascii="宋体" w:hAnsi="宋体"/>
          <w:color w:val="auto"/>
        </w:rPr>
        <w:t>信封或外包装上应当</w:t>
      </w:r>
      <w:r>
        <w:rPr>
          <w:rFonts w:hint="eastAsia" w:ascii="宋体" w:hAnsi="宋体" w:cs="宋体"/>
          <w:color w:val="auto"/>
          <w:szCs w:val="21"/>
        </w:rPr>
        <w:t>清楚写明</w:t>
      </w:r>
      <w:r>
        <w:rPr>
          <w:rFonts w:hint="eastAsia" w:ascii="宋体" w:hAnsi="宋体"/>
          <w:color w:val="auto"/>
        </w:rPr>
        <w:t>投标人名称、项目名称、项目编号、</w:t>
      </w:r>
      <w:r>
        <w:rPr>
          <w:rFonts w:hint="eastAsia" w:ascii="宋体" w:hAnsi="宋体" w:cs="宋体"/>
          <w:color w:val="auto"/>
          <w:szCs w:val="21"/>
        </w:rPr>
        <w:t>包组号（如有）”的</w:t>
      </w:r>
      <w:r>
        <w:rPr>
          <w:rFonts w:hint="eastAsia" w:ascii="宋体" w:hAnsi="宋体" w:cs="宋体"/>
          <w:color w:val="auto"/>
          <w:szCs w:val="21"/>
          <w:lang w:eastAsia="zh-TW"/>
        </w:rPr>
        <w:t>字</w:t>
      </w:r>
      <w:r>
        <w:rPr>
          <w:rFonts w:hint="eastAsia" w:ascii="宋体" w:hAnsi="宋体" w:cs="宋体"/>
          <w:color w:val="auto"/>
          <w:szCs w:val="21"/>
        </w:rPr>
        <w:t>样。</w:t>
      </w:r>
    </w:p>
    <w:p>
      <w:pPr>
        <w:numPr>
          <w:ilvl w:val="2"/>
          <w:numId w:val="41"/>
        </w:numPr>
        <w:autoSpaceDE w:val="0"/>
        <w:autoSpaceDN w:val="0"/>
        <w:adjustRightInd w:val="0"/>
        <w:snapToGrid w:val="0"/>
        <w:spacing w:line="360" w:lineRule="auto"/>
        <w:ind w:left="851" w:hanging="851"/>
        <w:rPr>
          <w:rFonts w:ascii="宋体" w:hAnsi="宋体" w:cs="宋体"/>
          <w:color w:val="auto"/>
          <w:szCs w:val="21"/>
          <w:lang w:eastAsia="zh-TW"/>
        </w:rPr>
      </w:pPr>
      <w:r>
        <w:rPr>
          <w:rFonts w:hint="eastAsia" w:ascii="宋体" w:hAnsi="宋体" w:cs="宋体"/>
          <w:color w:val="auto"/>
          <w:szCs w:val="21"/>
          <w:lang w:eastAsia="zh-TW"/>
        </w:rPr>
        <w:t>如果未按本须知</w:t>
      </w:r>
      <w:r>
        <w:rPr>
          <w:rFonts w:hint="eastAsia" w:ascii="宋体" w:hAnsi="宋体" w:cs="宋体"/>
          <w:color w:val="auto"/>
          <w:szCs w:val="21"/>
        </w:rPr>
        <w:t>上款</w:t>
      </w:r>
      <w:r>
        <w:rPr>
          <w:rFonts w:hint="eastAsia" w:ascii="宋体" w:hAnsi="宋体" w:cs="宋体"/>
          <w:color w:val="auto"/>
          <w:szCs w:val="21"/>
          <w:lang w:eastAsia="zh-TW"/>
        </w:rPr>
        <w:t>要求加写标记和</w:t>
      </w:r>
      <w:r>
        <w:rPr>
          <w:rFonts w:hint="eastAsia" w:ascii="宋体" w:hAnsi="宋体" w:cs="宋体"/>
          <w:color w:val="auto"/>
          <w:szCs w:val="21"/>
        </w:rPr>
        <w:t>密封，</w:t>
      </w:r>
      <w:r>
        <w:rPr>
          <w:rFonts w:hint="eastAsia" w:ascii="宋体" w:hAnsi="宋体" w:cs="宋体"/>
          <w:color w:val="auto"/>
          <w:szCs w:val="21"/>
          <w:lang w:eastAsia="zh-TW"/>
        </w:rPr>
        <w:t>采购代理机构对误投或提前启封概不负责</w:t>
      </w:r>
      <w:r>
        <w:rPr>
          <w:rFonts w:hint="eastAsia" w:ascii="宋体" w:hAnsi="宋体" w:cs="宋体"/>
          <w:color w:val="auto"/>
          <w:szCs w:val="21"/>
        </w:rPr>
        <w:t>。</w:t>
      </w:r>
    </w:p>
    <w:p>
      <w:pPr>
        <w:numPr>
          <w:ilvl w:val="0"/>
          <w:numId w:val="40"/>
        </w:numPr>
        <w:autoSpaceDE w:val="0"/>
        <w:autoSpaceDN w:val="0"/>
        <w:adjustRightInd w:val="0"/>
        <w:snapToGrid w:val="0"/>
        <w:spacing w:line="360" w:lineRule="auto"/>
        <w:ind w:left="1012" w:hanging="1012" w:hangingChars="360"/>
        <w:jc w:val="center"/>
        <w:outlineLvl w:val="1"/>
        <w:rPr>
          <w:rFonts w:ascii="宋体" w:hAnsi="宋体"/>
          <w:b/>
          <w:color w:val="auto"/>
          <w:sz w:val="28"/>
          <w:szCs w:val="28"/>
          <w:lang w:eastAsia="zh-TW"/>
        </w:rPr>
      </w:pPr>
      <w:bookmarkStart w:id="132" w:name="_Toc435516653"/>
      <w:bookmarkStart w:id="133" w:name="_Toc438223139"/>
      <w:bookmarkStart w:id="134" w:name="_Toc435174936"/>
      <w:r>
        <w:rPr>
          <w:rFonts w:hint="eastAsia" w:ascii="宋体" w:hAnsi="宋体"/>
          <w:b/>
          <w:color w:val="auto"/>
          <w:sz w:val="28"/>
          <w:szCs w:val="28"/>
          <w:lang w:eastAsia="zh-TW"/>
        </w:rPr>
        <w:t>投标文件的递交</w:t>
      </w:r>
      <w:bookmarkEnd w:id="132"/>
      <w:bookmarkEnd w:id="133"/>
      <w:bookmarkEnd w:id="134"/>
    </w:p>
    <w:p>
      <w:pPr>
        <w:numPr>
          <w:ilvl w:val="0"/>
          <w:numId w:val="41"/>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投标文件递交</w:t>
      </w:r>
    </w:p>
    <w:p>
      <w:pPr>
        <w:numPr>
          <w:ilvl w:val="1"/>
          <w:numId w:val="41"/>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投标人</w:t>
      </w:r>
      <w:r>
        <w:rPr>
          <w:rFonts w:hint="eastAsia" w:ascii="宋体" w:hAnsi="宋体" w:cs="宋体"/>
          <w:color w:val="auto"/>
          <w:szCs w:val="21"/>
        </w:rPr>
        <w:t>的投标文件</w:t>
      </w:r>
      <w:r>
        <w:rPr>
          <w:rFonts w:hint="eastAsia" w:ascii="宋体" w:hAnsi="宋体" w:cs="宋体"/>
          <w:color w:val="auto"/>
          <w:szCs w:val="21"/>
          <w:lang w:eastAsia="zh-TW"/>
        </w:rPr>
        <w:t>应</w:t>
      </w:r>
      <w:r>
        <w:rPr>
          <w:rFonts w:hint="eastAsia" w:ascii="宋体" w:hAnsi="宋体" w:cs="宋体"/>
          <w:color w:val="auto"/>
          <w:szCs w:val="21"/>
        </w:rPr>
        <w:t>在</w:t>
      </w:r>
      <w:r>
        <w:rPr>
          <w:rFonts w:hint="eastAsia" w:ascii="宋体" w:hAnsi="宋体"/>
          <w:color w:val="auto"/>
        </w:rPr>
        <w:t>本项目投标截止时间前送达开标地点。</w:t>
      </w:r>
    </w:p>
    <w:p>
      <w:pPr>
        <w:numPr>
          <w:ilvl w:val="1"/>
          <w:numId w:val="41"/>
        </w:numPr>
        <w:autoSpaceDE w:val="0"/>
        <w:autoSpaceDN w:val="0"/>
        <w:adjustRightInd w:val="0"/>
        <w:snapToGrid w:val="0"/>
        <w:spacing w:line="360" w:lineRule="auto"/>
        <w:rPr>
          <w:rFonts w:ascii="宋体" w:hAnsi="宋体" w:cs="黑体"/>
          <w:b/>
          <w:bCs/>
          <w:strike/>
          <w:color w:val="auto"/>
          <w:szCs w:val="21"/>
        </w:rPr>
      </w:pPr>
      <w:r>
        <w:rPr>
          <w:rFonts w:hint="eastAsia" w:ascii="宋体" w:hAnsi="宋体" w:cs="宋体"/>
          <w:color w:val="auto"/>
          <w:szCs w:val="21"/>
          <w:lang w:eastAsia="zh-TW"/>
        </w:rPr>
        <w:t>逾期送达或者未按照招标文件要求密封的投标文件，采购人、采购代理机构应当拒收。</w:t>
      </w:r>
    </w:p>
    <w:p>
      <w:pPr>
        <w:numPr>
          <w:ilvl w:val="0"/>
          <w:numId w:val="41"/>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投标文件的修改和撤回、撤销</w:t>
      </w:r>
    </w:p>
    <w:p>
      <w:pPr>
        <w:numPr>
          <w:ilvl w:val="1"/>
          <w:numId w:val="41"/>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投标人在投标截止时间前，可以对所递交的投标文件进行补充、修改或者撤回，并书面通知采购代理机构。补充、修改的内容应当按招标文件要求签署、盖章、密封后，并作为投标文件的组成部分。在投标截止时间之后，投标人不得对其投标文件做任何修改和补充。</w:t>
      </w:r>
    </w:p>
    <w:p>
      <w:pPr>
        <w:numPr>
          <w:ilvl w:val="1"/>
          <w:numId w:val="41"/>
        </w:numPr>
        <w:autoSpaceDE w:val="0"/>
        <w:autoSpaceDN w:val="0"/>
        <w:adjustRightInd w:val="0"/>
        <w:snapToGrid w:val="0"/>
        <w:spacing w:line="360" w:lineRule="auto"/>
        <w:rPr>
          <w:rFonts w:ascii="宋体" w:hAnsi="宋体" w:cs="黑体"/>
          <w:b/>
          <w:bCs/>
          <w:color w:val="auto"/>
          <w:szCs w:val="21"/>
        </w:rPr>
      </w:pPr>
      <w:r>
        <w:rPr>
          <w:rFonts w:hint="eastAsia" w:ascii="宋体" w:hAnsi="宋体"/>
          <w:bCs/>
          <w:color w:val="auto"/>
        </w:rPr>
        <w:t>投标人在投标截止后或在招标文件中规定的投标有效期内不可撤销其投标。</w:t>
      </w:r>
    </w:p>
    <w:p>
      <w:pPr>
        <w:numPr>
          <w:ilvl w:val="1"/>
          <w:numId w:val="41"/>
        </w:numPr>
        <w:autoSpaceDE w:val="0"/>
        <w:autoSpaceDN w:val="0"/>
        <w:adjustRightInd w:val="0"/>
        <w:snapToGrid w:val="0"/>
        <w:spacing w:line="360" w:lineRule="auto"/>
        <w:rPr>
          <w:rFonts w:ascii="宋体" w:hAnsi="宋体" w:cs="黑体"/>
          <w:b/>
          <w:bCs/>
          <w:strike/>
          <w:color w:val="auto"/>
          <w:szCs w:val="21"/>
        </w:rPr>
      </w:pPr>
      <w:r>
        <w:rPr>
          <w:rFonts w:hint="eastAsia" w:ascii="宋体" w:hAnsi="宋体"/>
          <w:color w:val="auto"/>
        </w:rPr>
        <w:t>投标人所提交的投标文件在本项目投标截止时间后均不予退还。</w:t>
      </w:r>
    </w:p>
    <w:p>
      <w:pPr>
        <w:numPr>
          <w:ilvl w:val="0"/>
          <w:numId w:val="41"/>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询问、质疑、投诉</w:t>
      </w:r>
    </w:p>
    <w:p>
      <w:pPr>
        <w:numPr>
          <w:ilvl w:val="1"/>
          <w:numId w:val="41"/>
        </w:numPr>
        <w:autoSpaceDE w:val="0"/>
        <w:autoSpaceDN w:val="0"/>
        <w:adjustRightInd w:val="0"/>
        <w:snapToGrid w:val="0"/>
        <w:spacing w:line="360" w:lineRule="auto"/>
        <w:rPr>
          <w:rFonts w:ascii="宋体" w:hAnsi="宋体" w:cs="黑体"/>
          <w:bCs/>
          <w:color w:val="auto"/>
          <w:szCs w:val="21"/>
        </w:rPr>
      </w:pPr>
      <w:r>
        <w:rPr>
          <w:rFonts w:hint="eastAsia" w:ascii="宋体" w:hAnsi="宋体" w:cs="黑体"/>
          <w:bCs/>
          <w:color w:val="auto"/>
          <w:szCs w:val="21"/>
        </w:rPr>
        <w:t>询问</w:t>
      </w:r>
    </w:p>
    <w:p>
      <w:pPr>
        <w:numPr>
          <w:ilvl w:val="2"/>
          <w:numId w:val="41"/>
        </w:numPr>
        <w:autoSpaceDE w:val="0"/>
        <w:autoSpaceDN w:val="0"/>
        <w:adjustRightInd w:val="0"/>
        <w:snapToGrid w:val="0"/>
        <w:spacing w:line="360" w:lineRule="auto"/>
        <w:ind w:left="851" w:hanging="851"/>
        <w:rPr>
          <w:rFonts w:ascii="宋体" w:hAnsi="宋体" w:cs="黑体"/>
          <w:bCs/>
          <w:color w:val="auto"/>
          <w:szCs w:val="21"/>
        </w:rPr>
      </w:pPr>
      <w:r>
        <w:rPr>
          <w:rFonts w:hint="eastAsia" w:ascii="宋体" w:hAnsi="宋体" w:cs="黑体"/>
          <w:bCs/>
          <w:color w:val="auto"/>
          <w:szCs w:val="21"/>
        </w:rPr>
        <w:t>供应商对采购活动事项有疑问的，可以向</w:t>
      </w:r>
      <w:r>
        <w:rPr>
          <w:rFonts w:hint="eastAsia" w:ascii="宋体" w:hAnsi="宋体" w:cs="宋体"/>
          <w:color w:val="auto"/>
          <w:szCs w:val="21"/>
          <w:lang w:eastAsia="zh-TW"/>
        </w:rPr>
        <w:t>采购人或者采购代理机构</w:t>
      </w:r>
      <w:r>
        <w:rPr>
          <w:rFonts w:hint="eastAsia" w:ascii="宋体" w:hAnsi="宋体" w:cs="黑体"/>
          <w:bCs/>
          <w:color w:val="auto"/>
          <w:szCs w:val="21"/>
        </w:rPr>
        <w:t>提出询问，询问可以口头方式提出，也可以书面形式提出。</w:t>
      </w:r>
    </w:p>
    <w:p>
      <w:pPr>
        <w:numPr>
          <w:ilvl w:val="2"/>
          <w:numId w:val="41"/>
        </w:numPr>
        <w:autoSpaceDE w:val="0"/>
        <w:autoSpaceDN w:val="0"/>
        <w:adjustRightInd w:val="0"/>
        <w:snapToGrid w:val="0"/>
        <w:spacing w:line="360" w:lineRule="auto"/>
        <w:ind w:left="851" w:hanging="851"/>
        <w:rPr>
          <w:rFonts w:ascii="宋体" w:hAnsi="宋体" w:cs="黑体"/>
          <w:bCs/>
          <w:color w:val="auto"/>
          <w:szCs w:val="21"/>
        </w:rPr>
      </w:pPr>
      <w:r>
        <w:rPr>
          <w:rFonts w:hint="eastAsia" w:ascii="宋体" w:hAnsi="宋体" w:cs="黑体"/>
          <w:bCs/>
          <w:color w:val="auto"/>
          <w:szCs w:val="21"/>
        </w:rPr>
        <w:t>如采用书面形式提出询问，供应商为自然人的，询问函应当由本人签字；供应商为法人或者其他组织的，应当由法定代表人、主要负责人或授权代表签字或者盖章，并加盖供应商公章。询问供应商若委托代理人提出询问的，询问函应按要求列明“授权代表”的有关内容，并提交由供应商签署的授权委托书及代理人身份证复印件，并加盖供应商公章。授权委托书应载明代理人的姓名或者名称、代理事项、具体权限、期限和相关事项。</w:t>
      </w:r>
    </w:p>
    <w:p>
      <w:pPr>
        <w:numPr>
          <w:ilvl w:val="2"/>
          <w:numId w:val="41"/>
        </w:numPr>
        <w:autoSpaceDE w:val="0"/>
        <w:autoSpaceDN w:val="0"/>
        <w:adjustRightInd w:val="0"/>
        <w:snapToGrid w:val="0"/>
        <w:spacing w:line="360" w:lineRule="auto"/>
        <w:ind w:left="851" w:hanging="851"/>
        <w:rPr>
          <w:rFonts w:ascii="宋体" w:hAnsi="宋体" w:cs="黑体"/>
          <w:bCs/>
          <w:color w:val="auto"/>
          <w:szCs w:val="21"/>
        </w:rPr>
      </w:pPr>
      <w:r>
        <w:rPr>
          <w:rFonts w:hint="eastAsia" w:ascii="宋体" w:hAnsi="宋体" w:cs="宋体"/>
          <w:color w:val="auto"/>
          <w:szCs w:val="21"/>
          <w:lang w:eastAsia="zh-TW"/>
        </w:rPr>
        <w:t>采购人或者采购代理机构</w:t>
      </w:r>
      <w:r>
        <w:rPr>
          <w:rFonts w:hint="eastAsia" w:ascii="宋体" w:hAnsi="宋体" w:cs="黑体"/>
          <w:bCs/>
          <w:color w:val="auto"/>
          <w:szCs w:val="21"/>
        </w:rPr>
        <w:t>在三个工作日内对供应商依法提出的询问作出答复。</w:t>
      </w:r>
    </w:p>
    <w:p>
      <w:pPr>
        <w:numPr>
          <w:ilvl w:val="1"/>
          <w:numId w:val="41"/>
        </w:numPr>
        <w:autoSpaceDE w:val="0"/>
        <w:autoSpaceDN w:val="0"/>
        <w:adjustRightInd w:val="0"/>
        <w:snapToGrid w:val="0"/>
        <w:spacing w:line="360" w:lineRule="auto"/>
        <w:rPr>
          <w:rFonts w:ascii="宋体" w:hAnsi="宋体" w:cs="黑体"/>
          <w:bCs/>
          <w:color w:val="auto"/>
          <w:szCs w:val="21"/>
        </w:rPr>
      </w:pPr>
      <w:r>
        <w:rPr>
          <w:rFonts w:hint="eastAsia" w:ascii="宋体" w:hAnsi="宋体" w:cs="黑体"/>
          <w:bCs/>
          <w:color w:val="auto"/>
          <w:szCs w:val="21"/>
        </w:rPr>
        <w:t>质疑</w:t>
      </w:r>
    </w:p>
    <w:p>
      <w:pPr>
        <w:numPr>
          <w:ilvl w:val="2"/>
          <w:numId w:val="41"/>
        </w:numPr>
        <w:autoSpaceDE w:val="0"/>
        <w:autoSpaceDN w:val="0"/>
        <w:adjustRightInd w:val="0"/>
        <w:snapToGrid w:val="0"/>
        <w:spacing w:line="360" w:lineRule="auto"/>
        <w:ind w:left="851" w:hanging="851"/>
        <w:rPr>
          <w:rFonts w:ascii="宋体" w:hAnsi="宋体" w:cs="黑体"/>
          <w:bCs/>
          <w:color w:val="auto"/>
          <w:szCs w:val="21"/>
        </w:rPr>
      </w:pPr>
      <w:r>
        <w:rPr>
          <w:rFonts w:hint="eastAsia" w:ascii="宋体" w:hAnsi="宋体" w:cs="黑体"/>
          <w:bCs/>
          <w:color w:val="auto"/>
          <w:szCs w:val="21"/>
        </w:rPr>
        <w:t>提出质疑的供应商（以下简称质疑供应商）应当是参与所质疑项目采购活动的供应商。</w:t>
      </w:r>
    </w:p>
    <w:p>
      <w:pPr>
        <w:numPr>
          <w:ilvl w:val="2"/>
          <w:numId w:val="41"/>
        </w:numPr>
        <w:autoSpaceDE w:val="0"/>
        <w:autoSpaceDN w:val="0"/>
        <w:adjustRightInd w:val="0"/>
        <w:snapToGrid w:val="0"/>
        <w:spacing w:line="360" w:lineRule="auto"/>
        <w:ind w:left="851" w:hanging="851"/>
        <w:rPr>
          <w:rFonts w:ascii="宋体" w:hAnsi="宋体" w:cs="黑体"/>
          <w:bCs/>
          <w:color w:val="auto"/>
          <w:szCs w:val="21"/>
        </w:rPr>
      </w:pPr>
      <w:r>
        <w:rPr>
          <w:rFonts w:hint="eastAsia" w:ascii="宋体" w:hAnsi="宋体" w:cs="黑体"/>
          <w:bCs/>
          <w:color w:val="auto"/>
          <w:szCs w:val="21"/>
        </w:rPr>
        <w:t>质疑期限：</w:t>
      </w:r>
    </w:p>
    <w:p>
      <w:pPr>
        <w:numPr>
          <w:ilvl w:val="3"/>
          <w:numId w:val="41"/>
        </w:numPr>
        <w:autoSpaceDE w:val="0"/>
        <w:autoSpaceDN w:val="0"/>
        <w:adjustRightInd w:val="0"/>
        <w:snapToGrid w:val="0"/>
        <w:spacing w:line="360" w:lineRule="auto"/>
        <w:ind w:left="1078" w:hanging="1078"/>
        <w:rPr>
          <w:rFonts w:ascii="宋体" w:hAnsi="宋体" w:cs="黑体"/>
          <w:bCs/>
          <w:color w:val="auto"/>
          <w:szCs w:val="21"/>
        </w:rPr>
      </w:pPr>
      <w:r>
        <w:rPr>
          <w:rFonts w:hint="eastAsia" w:ascii="宋体" w:hAnsi="宋体" w:cs="黑体"/>
          <w:bCs/>
          <w:color w:val="auto"/>
          <w:szCs w:val="21"/>
        </w:rPr>
        <w:t>供应商认为</w:t>
      </w:r>
      <w:r>
        <w:rPr>
          <w:rFonts w:hint="eastAsia" w:ascii="宋体" w:hAnsi="宋体" w:cs="黑体"/>
          <w:bCs/>
          <w:color w:val="auto"/>
          <w:szCs w:val="21"/>
          <w:u w:val="double"/>
        </w:rPr>
        <w:t>招标文件的内容</w:t>
      </w:r>
      <w:r>
        <w:rPr>
          <w:rFonts w:hint="eastAsia" w:ascii="宋体" w:hAnsi="宋体" w:cs="黑体"/>
          <w:bCs/>
          <w:color w:val="auto"/>
          <w:szCs w:val="21"/>
        </w:rPr>
        <w:t>损害其权益的，应当在购买招标文件之日或者招标文件公告期届满之日起七个工作日内。（注：供应商购买招标文件之日早于招标文件公告期限届满之日的，则以供应商购买招标文件之日为质疑时效期间的起算日期；否则，以招标文件公告期限届满之日为质疑时效期间的起算日期）</w:t>
      </w:r>
    </w:p>
    <w:p>
      <w:pPr>
        <w:numPr>
          <w:ilvl w:val="3"/>
          <w:numId w:val="41"/>
        </w:numPr>
        <w:autoSpaceDE w:val="0"/>
        <w:autoSpaceDN w:val="0"/>
        <w:adjustRightInd w:val="0"/>
        <w:snapToGrid w:val="0"/>
        <w:spacing w:line="360" w:lineRule="auto"/>
        <w:ind w:left="1078" w:hanging="1078"/>
        <w:rPr>
          <w:rFonts w:ascii="宋体" w:hAnsi="宋体" w:cs="黑体"/>
          <w:bCs/>
          <w:color w:val="auto"/>
          <w:szCs w:val="21"/>
        </w:rPr>
      </w:pPr>
      <w:r>
        <w:rPr>
          <w:rFonts w:hint="eastAsia" w:ascii="宋体" w:hAnsi="宋体" w:cs="黑体"/>
          <w:bCs/>
          <w:color w:val="auto"/>
          <w:szCs w:val="21"/>
        </w:rPr>
        <w:t>供应商认为</w:t>
      </w:r>
      <w:r>
        <w:rPr>
          <w:rFonts w:hint="eastAsia" w:ascii="宋体" w:hAnsi="宋体" w:cs="黑体"/>
          <w:bCs/>
          <w:color w:val="auto"/>
          <w:szCs w:val="21"/>
          <w:u w:val="double"/>
        </w:rPr>
        <w:t>采购过程</w:t>
      </w:r>
      <w:r>
        <w:rPr>
          <w:rFonts w:hint="eastAsia" w:ascii="宋体" w:hAnsi="宋体" w:cs="黑体"/>
          <w:bCs/>
          <w:color w:val="auto"/>
          <w:szCs w:val="21"/>
        </w:rPr>
        <w:t>损害其权益的，应在各采购程序环节结束之日起七个工作日内。</w:t>
      </w:r>
    </w:p>
    <w:p>
      <w:pPr>
        <w:numPr>
          <w:ilvl w:val="3"/>
          <w:numId w:val="41"/>
        </w:numPr>
        <w:autoSpaceDE w:val="0"/>
        <w:autoSpaceDN w:val="0"/>
        <w:adjustRightInd w:val="0"/>
        <w:snapToGrid w:val="0"/>
        <w:spacing w:line="360" w:lineRule="auto"/>
        <w:ind w:left="1078" w:hanging="1078"/>
        <w:rPr>
          <w:rFonts w:ascii="宋体" w:hAnsi="宋体" w:cs="黑体"/>
          <w:bCs/>
          <w:color w:val="auto"/>
          <w:szCs w:val="21"/>
        </w:rPr>
      </w:pPr>
      <w:r>
        <w:rPr>
          <w:rFonts w:hint="eastAsia" w:ascii="宋体" w:hAnsi="宋体" w:cs="黑体"/>
          <w:bCs/>
          <w:color w:val="auto"/>
          <w:szCs w:val="21"/>
        </w:rPr>
        <w:t>供应商认为</w:t>
      </w:r>
      <w:r>
        <w:rPr>
          <w:rFonts w:hint="eastAsia" w:ascii="宋体" w:hAnsi="宋体" w:cs="黑体"/>
          <w:bCs/>
          <w:color w:val="auto"/>
          <w:szCs w:val="21"/>
          <w:u w:val="double"/>
        </w:rPr>
        <w:t>中标或者成交结果</w:t>
      </w:r>
      <w:r>
        <w:rPr>
          <w:rFonts w:hint="eastAsia" w:ascii="宋体" w:hAnsi="宋体" w:cs="黑体"/>
          <w:bCs/>
          <w:color w:val="auto"/>
          <w:szCs w:val="21"/>
        </w:rPr>
        <w:t>损害其权益的，应在中标或者成交结果公告期限届满之日起七个工作日内。</w:t>
      </w:r>
    </w:p>
    <w:p>
      <w:pPr>
        <w:autoSpaceDE w:val="0"/>
        <w:autoSpaceDN w:val="0"/>
        <w:adjustRightInd w:val="0"/>
        <w:snapToGrid w:val="0"/>
        <w:spacing w:line="360" w:lineRule="auto"/>
        <w:rPr>
          <w:rFonts w:ascii="宋体" w:hAnsi="宋体" w:cs="黑体"/>
          <w:bCs/>
          <w:color w:val="auto"/>
          <w:szCs w:val="21"/>
        </w:rPr>
      </w:pPr>
      <w:r>
        <w:rPr>
          <w:rFonts w:hint="eastAsia" w:ascii="宋体" w:hAnsi="宋体" w:cs="黑体"/>
          <w:bCs/>
          <w:color w:val="auto"/>
          <w:szCs w:val="21"/>
        </w:rPr>
        <w:t>（说明：超出法定质疑期限的质疑函，采购人或者采购代理机构将依法不予接收。）</w:t>
      </w:r>
    </w:p>
    <w:p>
      <w:pPr>
        <w:numPr>
          <w:ilvl w:val="2"/>
          <w:numId w:val="41"/>
        </w:numPr>
        <w:autoSpaceDE w:val="0"/>
        <w:autoSpaceDN w:val="0"/>
        <w:adjustRightInd w:val="0"/>
        <w:snapToGrid w:val="0"/>
        <w:spacing w:line="360" w:lineRule="auto"/>
        <w:ind w:left="851" w:hanging="851"/>
        <w:rPr>
          <w:rFonts w:ascii="宋体" w:hAnsi="宋体" w:cs="黑体"/>
          <w:bCs/>
          <w:color w:val="auto"/>
          <w:szCs w:val="21"/>
        </w:rPr>
      </w:pPr>
      <w:r>
        <w:rPr>
          <w:rFonts w:hint="eastAsia" w:ascii="宋体" w:hAnsi="宋体" w:cs="黑体"/>
          <w:bCs/>
          <w:color w:val="auto"/>
          <w:szCs w:val="21"/>
        </w:rPr>
        <w:t>提交要求：</w:t>
      </w:r>
    </w:p>
    <w:p>
      <w:pPr>
        <w:numPr>
          <w:ilvl w:val="3"/>
          <w:numId w:val="41"/>
        </w:numPr>
        <w:autoSpaceDE w:val="0"/>
        <w:autoSpaceDN w:val="0"/>
        <w:adjustRightInd w:val="0"/>
        <w:snapToGrid w:val="0"/>
        <w:spacing w:line="360" w:lineRule="auto"/>
        <w:ind w:left="1078" w:hanging="1078"/>
        <w:rPr>
          <w:rFonts w:ascii="宋体" w:hAnsi="宋体"/>
          <w:color w:val="auto"/>
          <w:szCs w:val="21"/>
        </w:rPr>
      </w:pPr>
      <w:r>
        <w:rPr>
          <w:rFonts w:hint="eastAsia" w:ascii="宋体" w:hAnsi="宋体"/>
          <w:color w:val="auto"/>
          <w:szCs w:val="21"/>
        </w:rPr>
        <w:t>以书面形式（指加盖供应商公章的原件）向采购人或者采购代理机构一次性提出针对同一采购程序环节的质疑。若对项目的某一包组进行质疑的，质疑函中应列明具体包组号（如有）。</w:t>
      </w:r>
    </w:p>
    <w:p>
      <w:pPr>
        <w:numPr>
          <w:ilvl w:val="3"/>
          <w:numId w:val="41"/>
        </w:numPr>
        <w:autoSpaceDE w:val="0"/>
        <w:autoSpaceDN w:val="0"/>
        <w:adjustRightInd w:val="0"/>
        <w:snapToGrid w:val="0"/>
        <w:spacing w:line="360" w:lineRule="auto"/>
        <w:ind w:left="1078" w:hanging="1078"/>
        <w:rPr>
          <w:rFonts w:ascii="宋体" w:hAnsi="宋体" w:cs="黑体"/>
          <w:bCs/>
          <w:color w:val="auto"/>
          <w:szCs w:val="21"/>
        </w:rPr>
      </w:pPr>
      <w:r>
        <w:rPr>
          <w:rFonts w:hint="eastAsia" w:ascii="宋体" w:hAnsi="宋体" w:cs="黑体"/>
          <w:bCs/>
          <w:color w:val="auto"/>
          <w:szCs w:val="21"/>
        </w:rPr>
        <w:t>质疑函应当包括下列内容：</w:t>
      </w:r>
    </w:p>
    <w:p>
      <w:pPr>
        <w:pStyle w:val="90"/>
        <w:numPr>
          <w:ilvl w:val="0"/>
          <w:numId w:val="42"/>
        </w:numPr>
        <w:tabs>
          <w:tab w:val="left" w:pos="425"/>
          <w:tab w:val="left" w:pos="851"/>
        </w:tabs>
        <w:autoSpaceDE w:val="0"/>
        <w:autoSpaceDN w:val="0"/>
        <w:adjustRightInd w:val="0"/>
        <w:snapToGrid w:val="0"/>
        <w:spacing w:line="360" w:lineRule="auto"/>
        <w:ind w:firstLineChars="0"/>
        <w:rPr>
          <w:rFonts w:ascii="宋体" w:hAnsi="宋体" w:cs="黑体"/>
          <w:bCs/>
          <w:color w:val="auto"/>
          <w:szCs w:val="21"/>
        </w:rPr>
      </w:pPr>
      <w:r>
        <w:rPr>
          <w:rFonts w:hint="eastAsia" w:ascii="宋体" w:hAnsi="宋体" w:cs="黑体"/>
          <w:bCs/>
          <w:color w:val="auto"/>
          <w:szCs w:val="21"/>
        </w:rPr>
        <w:t>供应商的姓名或者名称、地址、邮编、联系人及联系电话；</w:t>
      </w:r>
    </w:p>
    <w:p>
      <w:pPr>
        <w:pStyle w:val="90"/>
        <w:numPr>
          <w:ilvl w:val="0"/>
          <w:numId w:val="42"/>
        </w:numPr>
        <w:tabs>
          <w:tab w:val="left" w:pos="425"/>
          <w:tab w:val="left" w:pos="851"/>
        </w:tabs>
        <w:autoSpaceDE w:val="0"/>
        <w:autoSpaceDN w:val="0"/>
        <w:adjustRightInd w:val="0"/>
        <w:snapToGrid w:val="0"/>
        <w:spacing w:line="360" w:lineRule="auto"/>
        <w:ind w:firstLineChars="0"/>
        <w:rPr>
          <w:rFonts w:ascii="宋体" w:hAnsi="宋体" w:cs="黑体"/>
          <w:bCs/>
          <w:color w:val="auto"/>
          <w:szCs w:val="21"/>
        </w:rPr>
      </w:pPr>
      <w:r>
        <w:rPr>
          <w:rFonts w:hint="eastAsia" w:ascii="宋体" w:hAnsi="宋体" w:cs="黑体"/>
          <w:bCs/>
          <w:color w:val="auto"/>
          <w:szCs w:val="21"/>
        </w:rPr>
        <w:t>质疑项目的名称和项目编号，若对项目的某一分包进行质疑，应列明具体的包组号；</w:t>
      </w:r>
    </w:p>
    <w:p>
      <w:pPr>
        <w:pStyle w:val="90"/>
        <w:numPr>
          <w:ilvl w:val="0"/>
          <w:numId w:val="42"/>
        </w:numPr>
        <w:tabs>
          <w:tab w:val="left" w:pos="425"/>
          <w:tab w:val="left" w:pos="851"/>
        </w:tabs>
        <w:autoSpaceDE w:val="0"/>
        <w:autoSpaceDN w:val="0"/>
        <w:adjustRightInd w:val="0"/>
        <w:snapToGrid w:val="0"/>
        <w:spacing w:line="360" w:lineRule="auto"/>
        <w:ind w:firstLineChars="0"/>
        <w:rPr>
          <w:rFonts w:ascii="宋体" w:hAnsi="宋体" w:cs="黑体"/>
          <w:bCs/>
          <w:color w:val="auto"/>
          <w:szCs w:val="21"/>
        </w:rPr>
      </w:pPr>
      <w:r>
        <w:rPr>
          <w:rFonts w:hint="eastAsia" w:ascii="宋体" w:hAnsi="宋体" w:cs="黑体"/>
          <w:bCs/>
          <w:color w:val="auto"/>
          <w:szCs w:val="21"/>
        </w:rPr>
        <w:t>具体、明确的质疑事项和与质疑事项相关的请求；</w:t>
      </w:r>
    </w:p>
    <w:p>
      <w:pPr>
        <w:pStyle w:val="90"/>
        <w:numPr>
          <w:ilvl w:val="0"/>
          <w:numId w:val="42"/>
        </w:numPr>
        <w:tabs>
          <w:tab w:val="left" w:pos="425"/>
          <w:tab w:val="left" w:pos="851"/>
        </w:tabs>
        <w:autoSpaceDE w:val="0"/>
        <w:autoSpaceDN w:val="0"/>
        <w:adjustRightInd w:val="0"/>
        <w:snapToGrid w:val="0"/>
        <w:spacing w:line="360" w:lineRule="auto"/>
        <w:ind w:firstLineChars="0"/>
        <w:rPr>
          <w:rFonts w:ascii="宋体" w:hAnsi="宋体" w:cs="黑体"/>
          <w:bCs/>
          <w:color w:val="auto"/>
          <w:szCs w:val="21"/>
        </w:rPr>
      </w:pPr>
      <w:r>
        <w:rPr>
          <w:rFonts w:hint="eastAsia" w:ascii="宋体" w:hAnsi="宋体" w:cs="黑体"/>
          <w:bCs/>
          <w:color w:val="auto"/>
          <w:szCs w:val="21"/>
        </w:rPr>
        <w:t>事实依据；</w:t>
      </w:r>
    </w:p>
    <w:p>
      <w:pPr>
        <w:pStyle w:val="90"/>
        <w:numPr>
          <w:ilvl w:val="0"/>
          <w:numId w:val="42"/>
        </w:numPr>
        <w:tabs>
          <w:tab w:val="left" w:pos="425"/>
          <w:tab w:val="left" w:pos="851"/>
        </w:tabs>
        <w:autoSpaceDE w:val="0"/>
        <w:autoSpaceDN w:val="0"/>
        <w:adjustRightInd w:val="0"/>
        <w:snapToGrid w:val="0"/>
        <w:spacing w:line="360" w:lineRule="auto"/>
        <w:ind w:firstLineChars="0"/>
        <w:rPr>
          <w:rFonts w:ascii="宋体" w:hAnsi="宋体" w:cs="黑体"/>
          <w:bCs/>
          <w:color w:val="auto"/>
          <w:szCs w:val="21"/>
        </w:rPr>
      </w:pPr>
      <w:r>
        <w:rPr>
          <w:rFonts w:hint="eastAsia" w:ascii="宋体" w:hAnsi="宋体" w:cs="黑体"/>
          <w:bCs/>
          <w:color w:val="auto"/>
          <w:szCs w:val="21"/>
        </w:rPr>
        <w:t>必要的法律依据；</w:t>
      </w:r>
    </w:p>
    <w:p>
      <w:pPr>
        <w:pStyle w:val="90"/>
        <w:numPr>
          <w:ilvl w:val="0"/>
          <w:numId w:val="42"/>
        </w:numPr>
        <w:tabs>
          <w:tab w:val="left" w:pos="425"/>
          <w:tab w:val="left" w:pos="851"/>
        </w:tabs>
        <w:autoSpaceDE w:val="0"/>
        <w:autoSpaceDN w:val="0"/>
        <w:adjustRightInd w:val="0"/>
        <w:snapToGrid w:val="0"/>
        <w:spacing w:line="360" w:lineRule="auto"/>
        <w:ind w:firstLineChars="0"/>
        <w:rPr>
          <w:rFonts w:ascii="宋体" w:hAnsi="宋体" w:cs="黑体"/>
          <w:bCs/>
          <w:color w:val="auto"/>
          <w:szCs w:val="21"/>
        </w:rPr>
      </w:pPr>
      <w:r>
        <w:rPr>
          <w:rFonts w:hint="eastAsia" w:ascii="宋体" w:hAnsi="宋体" w:cs="黑体"/>
          <w:bCs/>
          <w:color w:val="auto"/>
          <w:szCs w:val="21"/>
        </w:rPr>
        <w:t>提出质疑的日期。</w:t>
      </w:r>
    </w:p>
    <w:p>
      <w:pPr>
        <w:numPr>
          <w:ilvl w:val="3"/>
          <w:numId w:val="41"/>
        </w:numPr>
        <w:autoSpaceDE w:val="0"/>
        <w:autoSpaceDN w:val="0"/>
        <w:adjustRightInd w:val="0"/>
        <w:snapToGrid w:val="0"/>
        <w:spacing w:line="360" w:lineRule="auto"/>
        <w:ind w:left="1078" w:hanging="1078"/>
        <w:rPr>
          <w:rFonts w:ascii="宋体" w:hAnsi="宋体" w:cs="黑体"/>
          <w:bCs/>
          <w:color w:val="auto"/>
          <w:szCs w:val="21"/>
        </w:rPr>
      </w:pPr>
      <w:r>
        <w:rPr>
          <w:rFonts w:hint="eastAsia" w:ascii="宋体" w:hAnsi="宋体" w:cs="黑体"/>
          <w:bCs/>
          <w:color w:val="auto"/>
          <w:szCs w:val="21"/>
        </w:rPr>
        <w:t>供应商为自然人的，应当由本人签字；供应商为法人或者其他组织的，应当由法定代表人、主要负责人或授权代表签字或者盖章，并加盖供应商公章；质疑供应商若委托代理人进行质疑的，质疑函应按要求列明“授权代表”的有关内容，并提交由供应商签署的授权委托书及代理人身份证复印件，并加盖供应商公章。授权委托书应载明代理人的姓名或者名称、代理事项、具体权限、期限和相关事项。</w:t>
      </w:r>
    </w:p>
    <w:p>
      <w:pPr>
        <w:numPr>
          <w:ilvl w:val="3"/>
          <w:numId w:val="41"/>
        </w:numPr>
        <w:autoSpaceDE w:val="0"/>
        <w:autoSpaceDN w:val="0"/>
        <w:adjustRightInd w:val="0"/>
        <w:snapToGrid w:val="0"/>
        <w:spacing w:line="360" w:lineRule="auto"/>
        <w:ind w:left="1078" w:hanging="1078"/>
        <w:rPr>
          <w:rFonts w:ascii="宋体" w:hAnsi="宋体" w:cs="黑体"/>
          <w:bCs/>
          <w:color w:val="auto"/>
          <w:szCs w:val="21"/>
        </w:rPr>
      </w:pPr>
      <w:r>
        <w:rPr>
          <w:rFonts w:hint="eastAsia" w:ascii="宋体" w:hAnsi="宋体" w:cs="黑体"/>
          <w:bCs/>
          <w:color w:val="auto"/>
          <w:szCs w:val="21"/>
        </w:rPr>
        <w:t>以联合体形式参加采购活动的，其质疑应当由组成联合体的所有供应商共同提出。</w:t>
      </w:r>
    </w:p>
    <w:p>
      <w:pPr>
        <w:numPr>
          <w:ilvl w:val="3"/>
          <w:numId w:val="41"/>
        </w:numPr>
        <w:autoSpaceDE w:val="0"/>
        <w:autoSpaceDN w:val="0"/>
        <w:adjustRightInd w:val="0"/>
        <w:snapToGrid w:val="0"/>
        <w:spacing w:line="360" w:lineRule="auto"/>
        <w:ind w:left="1078" w:hanging="1078"/>
        <w:rPr>
          <w:rFonts w:hAnsi="宋体"/>
          <w:snapToGrid w:val="0"/>
          <w:color w:val="auto"/>
          <w:szCs w:val="21"/>
        </w:rPr>
      </w:pPr>
      <w:r>
        <w:rPr>
          <w:rFonts w:hint="eastAsia" w:hAnsi="宋体"/>
          <w:color w:val="auto"/>
          <w:szCs w:val="21"/>
        </w:rPr>
        <w:t>供应商捏造事实、提供虚假材料或者以非法手段取得证明材料不能作为质疑的证明材料</w:t>
      </w:r>
      <w:r>
        <w:rPr>
          <w:rFonts w:hint="eastAsia" w:hAnsi="宋体"/>
          <w:snapToGrid w:val="0"/>
          <w:color w:val="auto"/>
          <w:szCs w:val="21"/>
        </w:rPr>
        <w:t>。</w:t>
      </w:r>
    </w:p>
    <w:p>
      <w:pPr>
        <w:numPr>
          <w:ilvl w:val="3"/>
          <w:numId w:val="41"/>
        </w:numPr>
        <w:tabs>
          <w:tab w:val="left" w:pos="1134"/>
        </w:tabs>
        <w:autoSpaceDE w:val="0"/>
        <w:autoSpaceDN w:val="0"/>
        <w:adjustRightInd w:val="0"/>
        <w:snapToGrid w:val="0"/>
        <w:spacing w:line="360" w:lineRule="auto"/>
        <w:ind w:left="1078" w:hanging="1078"/>
        <w:rPr>
          <w:rFonts w:ascii="宋体" w:hAnsi="宋体" w:cs="黑体"/>
          <w:bCs/>
          <w:color w:val="auto"/>
          <w:szCs w:val="21"/>
        </w:rPr>
      </w:pPr>
      <w:r>
        <w:rPr>
          <w:rFonts w:hint="eastAsia" w:ascii="宋体" w:hAnsi="宋体"/>
          <w:color w:val="auto"/>
          <w:szCs w:val="21"/>
        </w:rPr>
        <w:tab/>
      </w:r>
      <w:r>
        <w:rPr>
          <w:rFonts w:hint="eastAsia" w:ascii="宋体" w:hAnsi="宋体" w:cs="宋体"/>
          <w:color w:val="auto"/>
          <w:szCs w:val="21"/>
          <w:lang w:eastAsia="zh-TW"/>
        </w:rPr>
        <w:t>采购人或者采购代理机构</w:t>
      </w:r>
      <w:r>
        <w:rPr>
          <w:rFonts w:hint="eastAsia" w:ascii="宋体" w:hAnsi="宋体"/>
          <w:color w:val="auto"/>
          <w:szCs w:val="21"/>
        </w:rPr>
        <w:t>在收到质疑函后7个工作日内作出答复，并以书面形式通知质疑供应商和其他有关供应商，但答复内容不涉及商业秘密。</w:t>
      </w:r>
    </w:p>
    <w:p>
      <w:pPr>
        <w:numPr>
          <w:ilvl w:val="2"/>
          <w:numId w:val="41"/>
        </w:numPr>
        <w:autoSpaceDE w:val="0"/>
        <w:autoSpaceDN w:val="0"/>
        <w:adjustRightInd w:val="0"/>
        <w:snapToGrid w:val="0"/>
        <w:spacing w:line="360" w:lineRule="auto"/>
        <w:ind w:left="851" w:hanging="851"/>
        <w:rPr>
          <w:rFonts w:ascii="宋体" w:hAnsi="宋体"/>
          <w:b/>
          <w:bCs/>
          <w:color w:val="auto"/>
          <w:szCs w:val="21"/>
        </w:rPr>
      </w:pPr>
      <w:r>
        <w:rPr>
          <w:rFonts w:hint="eastAsia" w:ascii="宋体" w:hAnsi="宋体"/>
          <w:color w:val="auto"/>
          <w:szCs w:val="21"/>
        </w:rPr>
        <w:t>询问、质疑的期间开始之日，不计算在期间内。期间届满的最后一日是节假日的，以节假日后的第一日为期间届满的日期。期间不包括在途时间，询问和质疑文书在期满前交邮的，不算过期。</w:t>
      </w:r>
    </w:p>
    <w:p>
      <w:pPr>
        <w:numPr>
          <w:ilvl w:val="2"/>
          <w:numId w:val="41"/>
        </w:numPr>
        <w:autoSpaceDE w:val="0"/>
        <w:autoSpaceDN w:val="0"/>
        <w:adjustRightInd w:val="0"/>
        <w:snapToGrid w:val="0"/>
        <w:spacing w:line="360" w:lineRule="auto"/>
        <w:ind w:left="851" w:hanging="851"/>
        <w:rPr>
          <w:rFonts w:ascii="宋体" w:hAnsi="宋体" w:cs="黑体"/>
          <w:b/>
          <w:bCs/>
          <w:color w:val="auto"/>
          <w:szCs w:val="21"/>
        </w:rPr>
      </w:pPr>
      <w:r>
        <w:rPr>
          <w:rFonts w:hint="eastAsia" w:ascii="宋体" w:hAnsi="宋体"/>
          <w:color w:val="auto"/>
          <w:szCs w:val="21"/>
        </w:rPr>
        <w:t>对于捏造事实、滥用维权扰乱采购秩序的恶意质疑者或举证不全查无实据被驳回次数在一年内达三次以上，将纳入不良行为记录名单并承担相应的法律责任。</w:t>
      </w:r>
    </w:p>
    <w:p>
      <w:pPr>
        <w:numPr>
          <w:ilvl w:val="2"/>
          <w:numId w:val="41"/>
        </w:numPr>
        <w:autoSpaceDE w:val="0"/>
        <w:autoSpaceDN w:val="0"/>
        <w:adjustRightInd w:val="0"/>
        <w:snapToGrid w:val="0"/>
        <w:spacing w:line="360" w:lineRule="auto"/>
        <w:ind w:left="851" w:hanging="851"/>
        <w:rPr>
          <w:rFonts w:ascii="宋体" w:hAnsi="宋体"/>
          <w:color w:val="auto"/>
          <w:szCs w:val="21"/>
        </w:rPr>
      </w:pPr>
      <w:r>
        <w:rPr>
          <w:rFonts w:hint="eastAsia" w:ascii="宋体" w:hAnsi="宋体"/>
          <w:color w:val="auto"/>
          <w:szCs w:val="21"/>
        </w:rPr>
        <w:t>采购代理机构接收质疑函的联系部门、联系电话和通讯地址等信息详见2.3。</w:t>
      </w:r>
    </w:p>
    <w:p>
      <w:pPr>
        <w:numPr>
          <w:ilvl w:val="2"/>
          <w:numId w:val="41"/>
        </w:numPr>
        <w:autoSpaceDE w:val="0"/>
        <w:autoSpaceDN w:val="0"/>
        <w:adjustRightInd w:val="0"/>
        <w:snapToGrid w:val="0"/>
        <w:spacing w:line="360" w:lineRule="auto"/>
        <w:ind w:left="851" w:hanging="851"/>
        <w:rPr>
          <w:rFonts w:ascii="宋体" w:hAnsi="宋体"/>
          <w:color w:val="auto"/>
          <w:szCs w:val="21"/>
        </w:rPr>
      </w:pPr>
      <w:r>
        <w:rPr>
          <w:rFonts w:hint="eastAsia" w:ascii="宋体" w:hAnsi="宋体"/>
          <w:color w:val="auto"/>
          <w:szCs w:val="21"/>
        </w:rPr>
        <w:t>具体询问、质疑函的格式详见本须知附件。</w:t>
      </w:r>
    </w:p>
    <w:p>
      <w:pPr>
        <w:numPr>
          <w:ilvl w:val="1"/>
          <w:numId w:val="41"/>
        </w:numPr>
        <w:autoSpaceDE w:val="0"/>
        <w:autoSpaceDN w:val="0"/>
        <w:adjustRightInd w:val="0"/>
        <w:snapToGrid w:val="0"/>
        <w:spacing w:line="360" w:lineRule="auto"/>
        <w:rPr>
          <w:rFonts w:ascii="宋体" w:hAnsi="宋体" w:cs="黑体"/>
          <w:bCs/>
          <w:color w:val="auto"/>
          <w:szCs w:val="21"/>
        </w:rPr>
      </w:pPr>
      <w:r>
        <w:rPr>
          <w:rFonts w:hint="eastAsia" w:ascii="宋体" w:hAnsi="宋体"/>
          <w:color w:val="auto"/>
          <w:szCs w:val="21"/>
        </w:rPr>
        <w:t>投诉</w:t>
      </w:r>
    </w:p>
    <w:p>
      <w:pPr>
        <w:numPr>
          <w:ilvl w:val="2"/>
          <w:numId w:val="41"/>
        </w:numPr>
        <w:autoSpaceDE w:val="0"/>
        <w:autoSpaceDN w:val="0"/>
        <w:adjustRightInd w:val="0"/>
        <w:snapToGrid w:val="0"/>
        <w:spacing w:line="360" w:lineRule="auto"/>
        <w:ind w:left="851" w:hanging="851"/>
        <w:rPr>
          <w:rFonts w:ascii="宋体" w:hAnsi="宋体" w:cs="黑体"/>
          <w:b/>
          <w:bCs/>
          <w:color w:val="auto"/>
          <w:szCs w:val="21"/>
        </w:rPr>
      </w:pPr>
      <w:r>
        <w:rPr>
          <w:rFonts w:hint="eastAsia" w:ascii="宋体" w:hAnsi="宋体"/>
          <w:color w:val="auto"/>
          <w:szCs w:val="21"/>
        </w:rPr>
        <w:t>质疑供应商对</w:t>
      </w:r>
      <w:r>
        <w:rPr>
          <w:rFonts w:hint="eastAsia" w:ascii="宋体" w:hAnsi="宋体" w:cs="宋体"/>
          <w:color w:val="auto"/>
          <w:szCs w:val="21"/>
          <w:lang w:eastAsia="zh-TW"/>
        </w:rPr>
        <w:t>采购人</w:t>
      </w:r>
      <w:r>
        <w:rPr>
          <w:rFonts w:hint="eastAsia" w:ascii="宋体" w:hAnsi="宋体" w:cs="宋体"/>
          <w:color w:val="auto"/>
          <w:szCs w:val="21"/>
        </w:rPr>
        <w:t>、</w:t>
      </w:r>
      <w:r>
        <w:rPr>
          <w:rFonts w:hint="eastAsia" w:ascii="宋体" w:hAnsi="宋体" w:cs="宋体"/>
          <w:color w:val="auto"/>
          <w:szCs w:val="21"/>
          <w:lang w:eastAsia="zh-TW"/>
        </w:rPr>
        <w:t>采购代理机构</w:t>
      </w:r>
      <w:r>
        <w:rPr>
          <w:rFonts w:hint="eastAsia" w:ascii="宋体" w:hAnsi="宋体"/>
          <w:color w:val="auto"/>
          <w:szCs w:val="21"/>
        </w:rPr>
        <w:t>的质疑答复不满意，或</w:t>
      </w:r>
      <w:r>
        <w:rPr>
          <w:rFonts w:hint="eastAsia" w:ascii="宋体" w:hAnsi="宋体" w:cs="宋体"/>
          <w:color w:val="auto"/>
          <w:szCs w:val="21"/>
          <w:lang w:eastAsia="zh-TW"/>
        </w:rPr>
        <w:t>采购人或者采购代理机构</w:t>
      </w:r>
      <w:r>
        <w:rPr>
          <w:rFonts w:hint="eastAsia" w:ascii="宋体" w:hAnsi="宋体"/>
          <w:color w:val="auto"/>
          <w:szCs w:val="21"/>
        </w:rPr>
        <w:t>未在规定期限内作出答复的，可以在答复期满后十五个工作日内向上级管理部门提起投诉。</w:t>
      </w:r>
    </w:p>
    <w:p>
      <w:pPr>
        <w:numPr>
          <w:ilvl w:val="0"/>
          <w:numId w:val="41"/>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中标通知书</w:t>
      </w:r>
    </w:p>
    <w:p>
      <w:pPr>
        <w:numPr>
          <w:ilvl w:val="1"/>
          <w:numId w:val="41"/>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中标人确定后</w:t>
      </w:r>
      <w:r>
        <w:rPr>
          <w:rFonts w:hint="eastAsia" w:ascii="宋体" w:hAnsi="宋体" w:cs="宋体"/>
          <w:color w:val="auto"/>
          <w:szCs w:val="21"/>
        </w:rPr>
        <w:t>，</w:t>
      </w:r>
      <w:r>
        <w:rPr>
          <w:rFonts w:hint="eastAsia" w:ascii="宋体" w:hAnsi="宋体" w:cs="宋体"/>
          <w:color w:val="auto"/>
          <w:szCs w:val="21"/>
          <w:lang w:eastAsia="zh-TW"/>
        </w:rPr>
        <w:t>采购代理机构将在</w:t>
      </w:r>
      <w:r>
        <w:rPr>
          <w:rFonts w:hint="eastAsia" w:ascii="宋体" w:hAnsi="宋体" w:cs="宋体"/>
          <w:color w:val="auto"/>
          <w:szCs w:val="21"/>
        </w:rPr>
        <w:t>发布采购信息公告的媒体</w:t>
      </w:r>
      <w:r>
        <w:rPr>
          <w:rFonts w:hint="eastAsia" w:ascii="宋体" w:hAnsi="宋体" w:cs="宋体"/>
          <w:color w:val="auto"/>
          <w:szCs w:val="21"/>
          <w:lang w:eastAsia="zh-TW"/>
        </w:rPr>
        <w:t>上发布中标公告，并向中标人发出《中标通知书》，向采购人及未中标人发出《招标结果通知书》，《中标通知书》对中标人和采购人具有同等法律效力。</w:t>
      </w:r>
    </w:p>
    <w:p>
      <w:pPr>
        <w:numPr>
          <w:ilvl w:val="1"/>
          <w:numId w:val="41"/>
        </w:numPr>
        <w:autoSpaceDE w:val="0"/>
        <w:autoSpaceDN w:val="0"/>
        <w:adjustRightInd w:val="0"/>
        <w:snapToGrid w:val="0"/>
        <w:spacing w:line="360" w:lineRule="auto"/>
        <w:rPr>
          <w:rFonts w:ascii="宋体" w:hAnsi="宋体" w:cs="黑体"/>
          <w:b/>
          <w:bCs/>
          <w:color w:val="auto"/>
          <w:szCs w:val="21"/>
        </w:rPr>
      </w:pPr>
      <w:r>
        <w:rPr>
          <w:rFonts w:hint="eastAsia" w:ascii="宋体" w:hAnsi="宋体"/>
          <w:color w:val="auto"/>
          <w:szCs w:val="21"/>
        </w:rPr>
        <w:t>《中标通知书》将作为授予合同资格的合法依据，是合同的一个组成部分。</w:t>
      </w:r>
    </w:p>
    <w:p>
      <w:pPr>
        <w:numPr>
          <w:ilvl w:val="0"/>
          <w:numId w:val="41"/>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废标</w:t>
      </w:r>
    </w:p>
    <w:p>
      <w:pPr>
        <w:numPr>
          <w:ilvl w:val="1"/>
          <w:numId w:val="41"/>
        </w:numPr>
        <w:autoSpaceDE w:val="0"/>
        <w:autoSpaceDN w:val="0"/>
        <w:adjustRightInd w:val="0"/>
        <w:snapToGrid w:val="0"/>
        <w:spacing w:line="360" w:lineRule="auto"/>
        <w:rPr>
          <w:rFonts w:ascii="宋体" w:hAnsi="宋体"/>
          <w:color w:val="auto"/>
          <w:szCs w:val="21"/>
        </w:rPr>
      </w:pPr>
      <w:r>
        <w:rPr>
          <w:rFonts w:ascii="宋体" w:hAnsi="宋体"/>
          <w:color w:val="auto"/>
          <w:szCs w:val="21"/>
        </w:rPr>
        <w:t>在招标采购中，出现下列情形之一的，应予废标</w:t>
      </w:r>
      <w:r>
        <w:rPr>
          <w:rFonts w:hint="eastAsia" w:ascii="宋体" w:hAnsi="宋体"/>
          <w:color w:val="auto"/>
          <w:szCs w:val="21"/>
        </w:rPr>
        <w:t>。</w:t>
      </w:r>
    </w:p>
    <w:p>
      <w:pPr>
        <w:numPr>
          <w:ilvl w:val="2"/>
          <w:numId w:val="41"/>
        </w:numPr>
        <w:autoSpaceDE w:val="0"/>
        <w:autoSpaceDN w:val="0"/>
        <w:adjustRightInd w:val="0"/>
        <w:snapToGrid w:val="0"/>
        <w:spacing w:line="360" w:lineRule="auto"/>
        <w:ind w:left="851" w:hanging="851"/>
        <w:rPr>
          <w:rFonts w:ascii="宋体" w:hAnsi="宋体" w:cs="黑体"/>
          <w:bCs/>
          <w:color w:val="auto"/>
          <w:szCs w:val="21"/>
        </w:rPr>
      </w:pPr>
      <w:r>
        <w:rPr>
          <w:rFonts w:hint="eastAsia" w:ascii="宋体" w:hAnsi="宋体" w:cs="黑体"/>
          <w:bCs/>
          <w:color w:val="auto"/>
          <w:szCs w:val="21"/>
        </w:rPr>
        <w:t>符合专业条件的供应商或者对招标文件作实质响应的供应商不足三家的；</w:t>
      </w:r>
    </w:p>
    <w:p>
      <w:pPr>
        <w:numPr>
          <w:ilvl w:val="2"/>
          <w:numId w:val="41"/>
        </w:numPr>
        <w:autoSpaceDE w:val="0"/>
        <w:autoSpaceDN w:val="0"/>
        <w:adjustRightInd w:val="0"/>
        <w:snapToGrid w:val="0"/>
        <w:spacing w:line="360" w:lineRule="auto"/>
        <w:ind w:left="851" w:hanging="851"/>
        <w:rPr>
          <w:rFonts w:ascii="宋体" w:hAnsi="宋体" w:cs="黑体"/>
          <w:bCs/>
          <w:color w:val="auto"/>
          <w:szCs w:val="21"/>
        </w:rPr>
      </w:pPr>
      <w:r>
        <w:rPr>
          <w:rFonts w:hint="eastAsia" w:ascii="宋体" w:hAnsi="宋体" w:cs="黑体"/>
          <w:bCs/>
          <w:color w:val="auto"/>
          <w:szCs w:val="21"/>
        </w:rPr>
        <w:t>出现影响采购公正的违法、违规行为的；</w:t>
      </w:r>
    </w:p>
    <w:p>
      <w:pPr>
        <w:numPr>
          <w:ilvl w:val="2"/>
          <w:numId w:val="41"/>
        </w:numPr>
        <w:autoSpaceDE w:val="0"/>
        <w:autoSpaceDN w:val="0"/>
        <w:adjustRightInd w:val="0"/>
        <w:snapToGrid w:val="0"/>
        <w:spacing w:line="360" w:lineRule="auto"/>
        <w:ind w:left="851" w:hanging="851"/>
        <w:rPr>
          <w:rFonts w:ascii="宋体" w:hAnsi="宋体" w:cs="黑体"/>
          <w:bCs/>
          <w:color w:val="auto"/>
          <w:szCs w:val="21"/>
        </w:rPr>
      </w:pPr>
      <w:r>
        <w:rPr>
          <w:rFonts w:hint="eastAsia" w:ascii="宋体" w:hAnsi="宋体" w:cs="黑体"/>
          <w:bCs/>
          <w:color w:val="auto"/>
          <w:szCs w:val="21"/>
        </w:rPr>
        <w:t>投标人的报价均超过了采购预算，采购人不能支付的；</w:t>
      </w:r>
    </w:p>
    <w:p>
      <w:pPr>
        <w:numPr>
          <w:ilvl w:val="2"/>
          <w:numId w:val="41"/>
        </w:numPr>
        <w:autoSpaceDE w:val="0"/>
        <w:autoSpaceDN w:val="0"/>
        <w:adjustRightInd w:val="0"/>
        <w:snapToGrid w:val="0"/>
        <w:spacing w:line="360" w:lineRule="auto"/>
        <w:ind w:left="851" w:hanging="851"/>
        <w:rPr>
          <w:rFonts w:ascii="宋体" w:hAnsi="宋体" w:cs="黑体"/>
          <w:bCs/>
          <w:color w:val="auto"/>
          <w:szCs w:val="21"/>
        </w:rPr>
      </w:pPr>
      <w:r>
        <w:rPr>
          <w:rFonts w:hint="eastAsia" w:ascii="宋体" w:hAnsi="宋体" w:cs="黑体"/>
          <w:bCs/>
          <w:color w:val="auto"/>
          <w:szCs w:val="21"/>
        </w:rPr>
        <w:t>因重大变故，采购任务取消的。</w:t>
      </w:r>
    </w:p>
    <w:p>
      <w:pPr>
        <w:numPr>
          <w:ilvl w:val="0"/>
          <w:numId w:val="40"/>
        </w:numPr>
        <w:tabs>
          <w:tab w:val="clear" w:pos="420"/>
        </w:tabs>
        <w:autoSpaceDE w:val="0"/>
        <w:autoSpaceDN w:val="0"/>
        <w:adjustRightInd w:val="0"/>
        <w:snapToGrid w:val="0"/>
        <w:spacing w:after="100" w:afterAutospacing="1" w:line="360" w:lineRule="auto"/>
        <w:ind w:left="1012" w:hanging="1012" w:hangingChars="360"/>
        <w:jc w:val="center"/>
        <w:outlineLvl w:val="1"/>
        <w:rPr>
          <w:rFonts w:ascii="宋体" w:hAnsi="宋体"/>
          <w:b/>
          <w:color w:val="auto"/>
          <w:sz w:val="28"/>
          <w:szCs w:val="28"/>
          <w:lang w:eastAsia="zh-TW"/>
        </w:rPr>
      </w:pPr>
      <w:bookmarkStart w:id="135" w:name="_Toc435516655"/>
      <w:bookmarkStart w:id="136" w:name="_Toc438223141"/>
      <w:bookmarkStart w:id="137" w:name="_Toc435174938"/>
      <w:r>
        <w:rPr>
          <w:rFonts w:hint="eastAsia" w:ascii="宋体" w:hAnsi="宋体"/>
          <w:b/>
          <w:color w:val="auto"/>
          <w:sz w:val="28"/>
          <w:szCs w:val="28"/>
          <w:lang w:eastAsia="zh-TW"/>
        </w:rPr>
        <w:t>授予合同</w:t>
      </w:r>
      <w:bookmarkEnd w:id="135"/>
      <w:bookmarkEnd w:id="136"/>
      <w:bookmarkEnd w:id="137"/>
    </w:p>
    <w:p>
      <w:pPr>
        <w:numPr>
          <w:ilvl w:val="0"/>
          <w:numId w:val="41"/>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合同的订立</w:t>
      </w:r>
    </w:p>
    <w:p>
      <w:pPr>
        <w:numPr>
          <w:ilvl w:val="1"/>
          <w:numId w:val="41"/>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采购人应当自中标通知书发出之日起三十日内，按照招标文件和中标人投标文件的约定，与中标人签订书面合同。所签订的合同不得对招标文件和中标人投标文件作实质性修改</w:t>
      </w:r>
      <w:r>
        <w:rPr>
          <w:rFonts w:hint="eastAsia" w:ascii="宋体" w:hAnsi="宋体" w:cs="宋体"/>
          <w:color w:val="auto"/>
          <w:szCs w:val="21"/>
        </w:rPr>
        <w:t>。</w:t>
      </w:r>
    </w:p>
    <w:p>
      <w:pPr>
        <w:numPr>
          <w:ilvl w:val="1"/>
          <w:numId w:val="41"/>
        </w:numPr>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lang w:eastAsia="zh-TW"/>
        </w:rPr>
        <w:t>采购人或者采购代理机构</w:t>
      </w:r>
      <w:r>
        <w:rPr>
          <w:rFonts w:hint="eastAsia" w:ascii="宋体" w:hAnsi="宋体" w:cs="宋体"/>
          <w:color w:val="auto"/>
          <w:szCs w:val="21"/>
        </w:rPr>
        <w:t xml:space="preserve">不得向中标人提出任何不合理的要求，作为签订合同的条件，不得与中标人私下订立背离合同实质性内容的协议。 </w:t>
      </w:r>
    </w:p>
    <w:p>
      <w:pPr>
        <w:numPr>
          <w:ilvl w:val="0"/>
          <w:numId w:val="41"/>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合同的履行</w:t>
      </w:r>
    </w:p>
    <w:p>
      <w:pPr>
        <w:numPr>
          <w:ilvl w:val="1"/>
          <w:numId w:val="41"/>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采购合同订立后，合同各方不得擅自变更、中止或者终止合同。</w:t>
      </w:r>
    </w:p>
    <w:p>
      <w:pPr>
        <w:numPr>
          <w:ilvl w:val="1"/>
          <w:numId w:val="41"/>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采购合同履行中，采购人需追加与合同标的相同的货物、工程或者服务的，在不改变合同其他条款的前提下，可以与供应商签订补充合同，但所补充合同的采购金额不得超过原</w:t>
      </w:r>
      <w:r>
        <w:rPr>
          <w:rFonts w:hint="eastAsia" w:ascii="宋体" w:hAnsi="宋体" w:cs="宋体"/>
          <w:color w:val="auto"/>
          <w:szCs w:val="21"/>
        </w:rPr>
        <w:t>合同</w:t>
      </w:r>
      <w:r>
        <w:rPr>
          <w:rFonts w:hint="eastAsia" w:ascii="宋体" w:hAnsi="宋体" w:cs="宋体"/>
          <w:color w:val="auto"/>
          <w:szCs w:val="21"/>
          <w:lang w:eastAsia="zh-TW"/>
        </w:rPr>
        <w:t>采购金额的百分之十。</w:t>
      </w:r>
    </w:p>
    <w:p>
      <w:pPr>
        <w:numPr>
          <w:ilvl w:val="0"/>
          <w:numId w:val="41"/>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招标代理服务费</w:t>
      </w:r>
    </w:p>
    <w:p>
      <w:pPr>
        <w:numPr>
          <w:ilvl w:val="1"/>
          <w:numId w:val="41"/>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rPr>
        <w:t>中标人应按照招标文件</w:t>
      </w:r>
      <w:r>
        <w:rPr>
          <w:rFonts w:hint="eastAsia" w:ascii="宋体" w:hAnsi="宋体" w:cs="宋体"/>
          <w:b/>
          <w:color w:val="auto"/>
          <w:szCs w:val="21"/>
        </w:rPr>
        <w:t>投标资料表</w:t>
      </w:r>
      <w:r>
        <w:rPr>
          <w:rFonts w:hint="eastAsia" w:ascii="宋体" w:hAnsi="宋体" w:cs="宋体"/>
          <w:color w:val="auto"/>
          <w:szCs w:val="21"/>
        </w:rPr>
        <w:t>中的规定缴纳招标代理服务费。</w:t>
      </w:r>
    </w:p>
    <w:p>
      <w:pPr>
        <w:numPr>
          <w:ilvl w:val="1"/>
          <w:numId w:val="41"/>
        </w:numPr>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rPr>
        <w:t>服务费按差额定率累进法计算。</w:t>
      </w:r>
    </w:p>
    <w:tbl>
      <w:tblPr>
        <w:tblStyle w:val="44"/>
        <w:tblW w:w="932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02"/>
        <w:gridCol w:w="3260"/>
        <w:gridCol w:w="32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3" w:hRule="atLeast"/>
          <w:jc w:val="center"/>
        </w:trPr>
        <w:tc>
          <w:tcPr>
            <w:tcW w:w="2802" w:type="dxa"/>
          </w:tcPr>
          <w:p>
            <w:pPr>
              <w:snapToGrid w:val="0"/>
              <w:ind w:firstLine="1155" w:firstLineChars="550"/>
              <w:rPr>
                <w:rFonts w:ascii="宋体" w:hAnsi="宋体" w:cs="宋体"/>
                <w:color w:val="auto"/>
                <w:szCs w:val="21"/>
              </w:rPr>
            </w:pPr>
            <w:r>
              <w:rPr>
                <w:color w:val="auto"/>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32385</wp:posOffset>
                      </wp:positionV>
                      <wp:extent cx="1654810" cy="321310"/>
                      <wp:effectExtent l="635" t="4445" r="1905" b="1714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1654810" cy="32131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65pt;margin-top:2.55pt;height:25.3pt;width:130.3pt;z-index:251658240;mso-width-relative:page;mso-height-relative:page;" filled="f" stroked="t" coordsize="21600,21600" o:gfxdata="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6Ai1ctQAAAAHAQAADwAAAAAAAAABACAAAAAiAAAA&#10;ZHJzL2Rvd25yZXYueG1sUEsBAhQAFAAAAAgAh07iQGEakXbSAQAAbwMAAA4AAAAAAAAAAQAgAAAA&#10;IwEAAGRycy9lMm9Eb2MueG1sUEsFBgAAAAAGAAYAWQEAAGcFAAAAAA==&#10;">
                      <v:fill on="f" focussize="0,0"/>
                      <v:stroke color="#000000" joinstyle="round"/>
                      <v:imagedata o:title=""/>
                      <o:lock v:ext="edit" aspectratio="f"/>
                    </v:line>
                  </w:pict>
                </mc:Fallback>
              </mc:AlternateContent>
            </w:r>
            <w:r>
              <w:rPr>
                <w:rFonts w:hint="eastAsia" w:ascii="宋体" w:hAnsi="宋体"/>
                <w:bCs/>
                <w:color w:val="auto"/>
                <w:szCs w:val="21"/>
              </w:rPr>
              <w:t>费率</w:t>
            </w:r>
          </w:p>
          <w:p>
            <w:pPr>
              <w:snapToGrid w:val="0"/>
              <w:rPr>
                <w:rFonts w:ascii="宋体" w:hAnsi="宋体" w:cs="宋体"/>
                <w:color w:val="auto"/>
                <w:szCs w:val="21"/>
              </w:rPr>
            </w:pPr>
            <w:r>
              <w:rPr>
                <w:rFonts w:hint="eastAsia" w:ascii="宋体" w:hAnsi="宋体"/>
                <w:bCs/>
                <w:color w:val="auto"/>
                <w:szCs w:val="21"/>
              </w:rPr>
              <w:t>中标金额</w:t>
            </w:r>
          </w:p>
        </w:tc>
        <w:tc>
          <w:tcPr>
            <w:tcW w:w="3260" w:type="dxa"/>
            <w:vAlign w:val="center"/>
          </w:tcPr>
          <w:p>
            <w:pPr>
              <w:snapToGrid w:val="0"/>
              <w:jc w:val="center"/>
              <w:rPr>
                <w:rFonts w:ascii="宋体" w:hAnsi="宋体" w:cs="宋体"/>
                <w:color w:val="auto"/>
                <w:szCs w:val="21"/>
              </w:rPr>
            </w:pPr>
            <w:r>
              <w:rPr>
                <w:rFonts w:hint="eastAsia" w:ascii="宋体" w:hAnsi="宋体"/>
                <w:bCs/>
                <w:color w:val="auto"/>
                <w:szCs w:val="21"/>
              </w:rPr>
              <w:t>货物招标</w:t>
            </w:r>
          </w:p>
        </w:tc>
        <w:tc>
          <w:tcPr>
            <w:tcW w:w="3260" w:type="dxa"/>
            <w:vAlign w:val="center"/>
          </w:tcPr>
          <w:p>
            <w:pPr>
              <w:snapToGrid w:val="0"/>
              <w:jc w:val="center"/>
              <w:rPr>
                <w:rFonts w:ascii="宋体" w:hAnsi="宋体" w:cs="宋体"/>
                <w:color w:val="auto"/>
                <w:szCs w:val="21"/>
              </w:rPr>
            </w:pPr>
            <w:r>
              <w:rPr>
                <w:rFonts w:hint="eastAsia" w:ascii="宋体" w:hAnsi="宋体"/>
                <w:bCs/>
                <w:color w:val="auto"/>
                <w:szCs w:val="21"/>
              </w:rPr>
              <w:t>服务招标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7" w:hRule="atLeast"/>
          <w:jc w:val="center"/>
        </w:trPr>
        <w:tc>
          <w:tcPr>
            <w:tcW w:w="2802" w:type="dxa"/>
            <w:vAlign w:val="center"/>
          </w:tcPr>
          <w:p>
            <w:pPr>
              <w:jc w:val="center"/>
              <w:rPr>
                <w:rFonts w:ascii="宋体" w:hAnsi="宋体"/>
                <w:bCs/>
                <w:color w:val="auto"/>
                <w:szCs w:val="21"/>
              </w:rPr>
            </w:pPr>
            <w:r>
              <w:rPr>
                <w:rFonts w:hint="eastAsia" w:ascii="宋体" w:hAnsi="宋体"/>
                <w:color w:val="auto"/>
                <w:szCs w:val="21"/>
              </w:rPr>
              <w:t>100万元以下</w:t>
            </w:r>
          </w:p>
        </w:tc>
        <w:tc>
          <w:tcPr>
            <w:tcW w:w="3260" w:type="dxa"/>
            <w:vAlign w:val="center"/>
          </w:tcPr>
          <w:p>
            <w:pPr>
              <w:jc w:val="center"/>
              <w:rPr>
                <w:rFonts w:ascii="宋体" w:hAnsi="宋体"/>
                <w:color w:val="auto"/>
                <w:szCs w:val="21"/>
              </w:rPr>
            </w:pPr>
            <w:r>
              <w:rPr>
                <w:rFonts w:ascii="宋体" w:hAnsi="宋体"/>
                <w:color w:val="auto"/>
                <w:szCs w:val="21"/>
              </w:rPr>
              <w:t>1.5%</w:t>
            </w:r>
          </w:p>
        </w:tc>
        <w:tc>
          <w:tcPr>
            <w:tcW w:w="3260" w:type="dxa"/>
            <w:vAlign w:val="center"/>
          </w:tcPr>
          <w:p>
            <w:pPr>
              <w:ind w:firstLine="210" w:firstLineChars="100"/>
              <w:jc w:val="center"/>
              <w:rPr>
                <w:rFonts w:ascii="宋体" w:hAnsi="宋体"/>
                <w:color w:val="auto"/>
                <w:szCs w:val="21"/>
              </w:rPr>
            </w:pPr>
            <w:r>
              <w:rPr>
                <w:rFonts w:hint="eastAsia" w:ascii="宋体" w:hAnsi="宋体" w:cs="宋体"/>
                <w:color w:val="auto"/>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7" w:hRule="atLeast"/>
          <w:jc w:val="center"/>
        </w:trPr>
        <w:tc>
          <w:tcPr>
            <w:tcW w:w="2802" w:type="dxa"/>
            <w:vAlign w:val="center"/>
          </w:tcPr>
          <w:p>
            <w:pPr>
              <w:jc w:val="center"/>
              <w:rPr>
                <w:rFonts w:ascii="宋体" w:hAnsi="宋体"/>
                <w:color w:val="auto"/>
                <w:szCs w:val="21"/>
              </w:rPr>
            </w:pPr>
            <w:r>
              <w:rPr>
                <w:rFonts w:hint="eastAsia" w:ascii="宋体" w:hAnsi="宋体"/>
                <w:color w:val="auto"/>
                <w:szCs w:val="21"/>
              </w:rPr>
              <w:t>100～500万元</w:t>
            </w:r>
          </w:p>
        </w:tc>
        <w:tc>
          <w:tcPr>
            <w:tcW w:w="3260" w:type="dxa"/>
            <w:vAlign w:val="center"/>
          </w:tcPr>
          <w:p>
            <w:pPr>
              <w:jc w:val="center"/>
              <w:rPr>
                <w:rFonts w:ascii="宋体" w:hAnsi="宋体"/>
                <w:color w:val="auto"/>
                <w:szCs w:val="21"/>
              </w:rPr>
            </w:pPr>
            <w:r>
              <w:rPr>
                <w:rFonts w:ascii="宋体" w:hAnsi="宋体"/>
                <w:color w:val="auto"/>
                <w:szCs w:val="21"/>
              </w:rPr>
              <w:t>1.1%</w:t>
            </w:r>
          </w:p>
        </w:tc>
        <w:tc>
          <w:tcPr>
            <w:tcW w:w="3260" w:type="dxa"/>
            <w:vAlign w:val="center"/>
          </w:tcPr>
          <w:p>
            <w:pPr>
              <w:ind w:firstLine="210" w:firstLineChars="100"/>
              <w:jc w:val="center"/>
              <w:rPr>
                <w:rFonts w:ascii="宋体" w:hAnsi="宋体"/>
                <w:color w:val="auto"/>
                <w:szCs w:val="21"/>
              </w:rPr>
            </w:pPr>
            <w:r>
              <w:rPr>
                <w:rFonts w:hint="eastAsia" w:ascii="宋体" w:hAnsi="宋体" w:cs="宋体"/>
                <w:color w:val="auto"/>
                <w:szCs w:val="21"/>
              </w:rPr>
              <w:t>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7" w:hRule="atLeast"/>
          <w:jc w:val="center"/>
        </w:trPr>
        <w:tc>
          <w:tcPr>
            <w:tcW w:w="2802" w:type="dxa"/>
            <w:vAlign w:val="center"/>
          </w:tcPr>
          <w:p>
            <w:pPr>
              <w:jc w:val="center"/>
              <w:rPr>
                <w:rFonts w:ascii="宋体" w:hAnsi="宋体"/>
                <w:color w:val="auto"/>
                <w:szCs w:val="21"/>
              </w:rPr>
            </w:pPr>
            <w:r>
              <w:rPr>
                <w:rFonts w:hint="eastAsia" w:ascii="宋体" w:hAnsi="宋体"/>
                <w:color w:val="auto"/>
                <w:szCs w:val="21"/>
              </w:rPr>
              <w:t>500～1000万元</w:t>
            </w:r>
          </w:p>
        </w:tc>
        <w:tc>
          <w:tcPr>
            <w:tcW w:w="3260" w:type="dxa"/>
            <w:vAlign w:val="center"/>
          </w:tcPr>
          <w:p>
            <w:pPr>
              <w:jc w:val="center"/>
              <w:rPr>
                <w:rFonts w:ascii="宋体" w:hAnsi="宋体"/>
                <w:color w:val="auto"/>
                <w:szCs w:val="21"/>
              </w:rPr>
            </w:pPr>
            <w:r>
              <w:rPr>
                <w:rFonts w:ascii="宋体" w:hAnsi="宋体"/>
                <w:color w:val="auto"/>
                <w:szCs w:val="21"/>
              </w:rPr>
              <w:t>0.8%</w:t>
            </w:r>
          </w:p>
        </w:tc>
        <w:tc>
          <w:tcPr>
            <w:tcW w:w="3260" w:type="dxa"/>
            <w:vAlign w:val="center"/>
          </w:tcPr>
          <w:p>
            <w:pPr>
              <w:ind w:firstLine="210" w:firstLineChars="100"/>
              <w:jc w:val="center"/>
              <w:rPr>
                <w:rFonts w:ascii="宋体" w:hAnsi="宋体"/>
                <w:color w:val="auto"/>
                <w:szCs w:val="21"/>
              </w:rPr>
            </w:pPr>
            <w:r>
              <w:rPr>
                <w:rFonts w:hint="eastAsia" w:ascii="宋体" w:hAnsi="宋体" w:cs="宋体"/>
                <w:color w:val="auto"/>
                <w:szCs w:val="21"/>
              </w:rPr>
              <w:t>0.45%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7" w:hRule="atLeast"/>
          <w:jc w:val="center"/>
        </w:trPr>
        <w:tc>
          <w:tcPr>
            <w:tcW w:w="2802" w:type="dxa"/>
            <w:vAlign w:val="center"/>
          </w:tcPr>
          <w:p>
            <w:pPr>
              <w:jc w:val="center"/>
              <w:rPr>
                <w:rFonts w:ascii="宋体" w:hAnsi="宋体"/>
                <w:color w:val="auto"/>
                <w:szCs w:val="21"/>
              </w:rPr>
            </w:pPr>
            <w:r>
              <w:rPr>
                <w:rFonts w:hint="eastAsia" w:ascii="宋体" w:hAnsi="宋体"/>
                <w:color w:val="auto"/>
                <w:szCs w:val="21"/>
              </w:rPr>
              <w:t>1000～5000万元</w:t>
            </w:r>
          </w:p>
        </w:tc>
        <w:tc>
          <w:tcPr>
            <w:tcW w:w="3260" w:type="dxa"/>
            <w:vAlign w:val="center"/>
          </w:tcPr>
          <w:p>
            <w:pPr>
              <w:jc w:val="center"/>
              <w:rPr>
                <w:rFonts w:ascii="宋体" w:hAnsi="宋体"/>
                <w:color w:val="auto"/>
                <w:szCs w:val="21"/>
              </w:rPr>
            </w:pPr>
            <w:r>
              <w:rPr>
                <w:rFonts w:ascii="宋体" w:hAnsi="宋体"/>
                <w:color w:val="auto"/>
                <w:szCs w:val="21"/>
              </w:rPr>
              <w:t>0.5%</w:t>
            </w:r>
          </w:p>
        </w:tc>
        <w:tc>
          <w:tcPr>
            <w:tcW w:w="3260" w:type="dxa"/>
            <w:vAlign w:val="center"/>
          </w:tcPr>
          <w:p>
            <w:pPr>
              <w:ind w:firstLine="210" w:firstLineChars="100"/>
              <w:jc w:val="center"/>
              <w:rPr>
                <w:rFonts w:ascii="宋体" w:hAnsi="宋体"/>
                <w:color w:val="auto"/>
                <w:szCs w:val="21"/>
              </w:rPr>
            </w:pPr>
            <w:r>
              <w:rPr>
                <w:rFonts w:hint="eastAsia" w:ascii="宋体" w:hAnsi="宋体" w:cs="宋体"/>
                <w:color w:val="auto"/>
                <w:szCs w:val="21"/>
              </w:rPr>
              <w:t>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51" w:hRule="atLeast"/>
          <w:jc w:val="center"/>
        </w:trPr>
        <w:tc>
          <w:tcPr>
            <w:tcW w:w="2802" w:type="dxa"/>
            <w:vAlign w:val="center"/>
          </w:tcPr>
          <w:p>
            <w:pPr>
              <w:jc w:val="center"/>
              <w:rPr>
                <w:rFonts w:ascii="宋体" w:hAnsi="宋体"/>
                <w:color w:val="auto"/>
                <w:szCs w:val="21"/>
              </w:rPr>
            </w:pPr>
            <w:r>
              <w:rPr>
                <w:rFonts w:hint="eastAsia" w:ascii="宋体" w:hAnsi="宋体"/>
                <w:color w:val="auto"/>
                <w:szCs w:val="21"/>
              </w:rPr>
              <w:t>5000万元～1亿元</w:t>
            </w:r>
          </w:p>
        </w:tc>
        <w:tc>
          <w:tcPr>
            <w:tcW w:w="3260" w:type="dxa"/>
            <w:vAlign w:val="center"/>
          </w:tcPr>
          <w:p>
            <w:pPr>
              <w:jc w:val="center"/>
              <w:rPr>
                <w:rFonts w:ascii="宋体" w:hAnsi="宋体"/>
                <w:color w:val="auto"/>
                <w:szCs w:val="21"/>
              </w:rPr>
            </w:pPr>
            <w:r>
              <w:rPr>
                <w:rFonts w:ascii="宋体" w:hAnsi="宋体"/>
                <w:color w:val="auto"/>
                <w:szCs w:val="21"/>
              </w:rPr>
              <w:t>0.25%</w:t>
            </w:r>
          </w:p>
        </w:tc>
        <w:tc>
          <w:tcPr>
            <w:tcW w:w="3260" w:type="dxa"/>
            <w:vAlign w:val="center"/>
          </w:tcPr>
          <w:p>
            <w:pPr>
              <w:ind w:firstLine="210" w:firstLineChars="100"/>
              <w:jc w:val="center"/>
              <w:rPr>
                <w:rFonts w:ascii="宋体" w:hAnsi="宋体"/>
                <w:color w:val="auto"/>
                <w:szCs w:val="21"/>
              </w:rPr>
            </w:pPr>
            <w:r>
              <w:rPr>
                <w:rFonts w:hint="eastAsia" w:ascii="宋体" w:hAnsi="宋体" w:cs="宋体"/>
                <w:color w:val="auto"/>
                <w:szCs w:val="21"/>
              </w:rPr>
              <w:t>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7" w:hRule="atLeast"/>
          <w:jc w:val="center"/>
        </w:trPr>
        <w:tc>
          <w:tcPr>
            <w:tcW w:w="2802" w:type="dxa"/>
            <w:vAlign w:val="center"/>
          </w:tcPr>
          <w:p>
            <w:pPr>
              <w:jc w:val="center"/>
              <w:rPr>
                <w:rFonts w:ascii="宋体" w:hAnsi="宋体"/>
                <w:color w:val="auto"/>
                <w:szCs w:val="21"/>
              </w:rPr>
            </w:pPr>
            <w:r>
              <w:rPr>
                <w:rFonts w:hint="eastAsia" w:ascii="宋体" w:hAnsi="宋体"/>
                <w:color w:val="auto"/>
                <w:szCs w:val="21"/>
              </w:rPr>
              <w:t>1～5亿元</w:t>
            </w:r>
          </w:p>
        </w:tc>
        <w:tc>
          <w:tcPr>
            <w:tcW w:w="3260" w:type="dxa"/>
            <w:vAlign w:val="center"/>
          </w:tcPr>
          <w:p>
            <w:pPr>
              <w:jc w:val="center"/>
              <w:rPr>
                <w:rFonts w:ascii="宋体" w:hAnsi="宋体"/>
                <w:color w:val="auto"/>
                <w:szCs w:val="21"/>
              </w:rPr>
            </w:pPr>
            <w:r>
              <w:rPr>
                <w:rFonts w:hint="eastAsia" w:ascii="宋体" w:hAnsi="宋体"/>
                <w:color w:val="auto"/>
                <w:szCs w:val="21"/>
              </w:rPr>
              <w:t>0.05%</w:t>
            </w:r>
          </w:p>
        </w:tc>
        <w:tc>
          <w:tcPr>
            <w:tcW w:w="3260" w:type="dxa"/>
            <w:vAlign w:val="center"/>
          </w:tcPr>
          <w:p>
            <w:pPr>
              <w:jc w:val="center"/>
              <w:rPr>
                <w:rFonts w:ascii="宋体" w:hAnsi="宋体"/>
                <w:color w:val="auto"/>
                <w:szCs w:val="21"/>
              </w:rPr>
            </w:pPr>
            <w:r>
              <w:rPr>
                <w:rFonts w:hint="eastAsia" w:ascii="宋体" w:hAnsi="宋体"/>
                <w:color w:val="auto"/>
                <w:szCs w:val="21"/>
              </w:rPr>
              <w:t>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7" w:hRule="atLeast"/>
          <w:jc w:val="center"/>
        </w:trPr>
        <w:tc>
          <w:tcPr>
            <w:tcW w:w="2802" w:type="dxa"/>
            <w:vAlign w:val="center"/>
          </w:tcPr>
          <w:p>
            <w:pPr>
              <w:jc w:val="center"/>
              <w:rPr>
                <w:rFonts w:ascii="宋体" w:hAnsi="宋体"/>
                <w:color w:val="auto"/>
                <w:szCs w:val="21"/>
              </w:rPr>
            </w:pPr>
            <w:r>
              <w:rPr>
                <w:rFonts w:hint="eastAsia" w:ascii="宋体" w:hAnsi="宋体"/>
                <w:color w:val="auto"/>
                <w:szCs w:val="21"/>
              </w:rPr>
              <w:t>5～10亿元</w:t>
            </w:r>
          </w:p>
        </w:tc>
        <w:tc>
          <w:tcPr>
            <w:tcW w:w="3260" w:type="dxa"/>
            <w:vAlign w:val="center"/>
          </w:tcPr>
          <w:p>
            <w:pPr>
              <w:jc w:val="center"/>
              <w:rPr>
                <w:rFonts w:ascii="宋体" w:hAnsi="宋体"/>
                <w:color w:val="auto"/>
                <w:szCs w:val="21"/>
              </w:rPr>
            </w:pPr>
            <w:r>
              <w:rPr>
                <w:rFonts w:hint="eastAsia" w:ascii="宋体" w:hAnsi="宋体"/>
                <w:color w:val="auto"/>
                <w:szCs w:val="21"/>
              </w:rPr>
              <w:t>0.035%</w:t>
            </w:r>
          </w:p>
        </w:tc>
        <w:tc>
          <w:tcPr>
            <w:tcW w:w="3260" w:type="dxa"/>
            <w:vAlign w:val="center"/>
          </w:tcPr>
          <w:p>
            <w:pPr>
              <w:jc w:val="center"/>
              <w:rPr>
                <w:rFonts w:ascii="宋体" w:hAnsi="宋体"/>
                <w:color w:val="auto"/>
                <w:szCs w:val="21"/>
              </w:rPr>
            </w:pPr>
            <w:r>
              <w:rPr>
                <w:rFonts w:hint="eastAsia" w:ascii="宋体" w:hAnsi="宋体"/>
                <w:color w:val="auto"/>
                <w:szCs w:val="21"/>
              </w:rPr>
              <w:t>0.035%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7" w:hRule="atLeast"/>
          <w:jc w:val="center"/>
        </w:trPr>
        <w:tc>
          <w:tcPr>
            <w:tcW w:w="2802" w:type="dxa"/>
            <w:vAlign w:val="center"/>
          </w:tcPr>
          <w:p>
            <w:pPr>
              <w:jc w:val="center"/>
              <w:rPr>
                <w:rFonts w:ascii="宋体" w:hAnsi="宋体"/>
                <w:color w:val="auto"/>
                <w:szCs w:val="21"/>
              </w:rPr>
            </w:pPr>
            <w:r>
              <w:rPr>
                <w:rFonts w:hint="eastAsia" w:ascii="宋体" w:hAnsi="宋体"/>
                <w:color w:val="auto"/>
                <w:szCs w:val="21"/>
              </w:rPr>
              <w:t>10～50亿元</w:t>
            </w:r>
          </w:p>
        </w:tc>
        <w:tc>
          <w:tcPr>
            <w:tcW w:w="3260" w:type="dxa"/>
            <w:vAlign w:val="center"/>
          </w:tcPr>
          <w:p>
            <w:pPr>
              <w:jc w:val="center"/>
              <w:rPr>
                <w:rFonts w:ascii="宋体" w:hAnsi="宋体"/>
                <w:color w:val="auto"/>
                <w:szCs w:val="21"/>
              </w:rPr>
            </w:pPr>
            <w:r>
              <w:rPr>
                <w:rFonts w:hint="eastAsia" w:ascii="宋体" w:hAnsi="宋体"/>
                <w:color w:val="auto"/>
                <w:szCs w:val="21"/>
              </w:rPr>
              <w:t>0.008%</w:t>
            </w:r>
          </w:p>
        </w:tc>
        <w:tc>
          <w:tcPr>
            <w:tcW w:w="3260" w:type="dxa"/>
            <w:vAlign w:val="center"/>
          </w:tcPr>
          <w:p>
            <w:pPr>
              <w:ind w:firstLine="210" w:firstLineChars="100"/>
              <w:jc w:val="center"/>
              <w:rPr>
                <w:rFonts w:ascii="宋体" w:hAnsi="宋体"/>
                <w:color w:val="auto"/>
                <w:szCs w:val="21"/>
              </w:rPr>
            </w:pPr>
            <w:r>
              <w:rPr>
                <w:rFonts w:hint="eastAsia" w:ascii="宋体" w:hAnsi="宋体"/>
                <w:color w:val="auto"/>
                <w:szCs w:val="21"/>
              </w:rPr>
              <w:t>0.008%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7" w:hRule="atLeast"/>
          <w:jc w:val="center"/>
        </w:trPr>
        <w:tc>
          <w:tcPr>
            <w:tcW w:w="2802" w:type="dxa"/>
            <w:vAlign w:val="center"/>
          </w:tcPr>
          <w:p>
            <w:pPr>
              <w:jc w:val="center"/>
              <w:rPr>
                <w:rFonts w:ascii="宋体" w:hAnsi="宋体"/>
                <w:color w:val="auto"/>
                <w:szCs w:val="21"/>
              </w:rPr>
            </w:pPr>
            <w:r>
              <w:rPr>
                <w:rFonts w:hint="eastAsia" w:ascii="宋体" w:hAnsi="宋体"/>
                <w:color w:val="auto"/>
                <w:szCs w:val="21"/>
              </w:rPr>
              <w:t>50～100亿元</w:t>
            </w:r>
          </w:p>
        </w:tc>
        <w:tc>
          <w:tcPr>
            <w:tcW w:w="3260" w:type="dxa"/>
            <w:vAlign w:val="center"/>
          </w:tcPr>
          <w:p>
            <w:pPr>
              <w:jc w:val="center"/>
              <w:rPr>
                <w:rFonts w:ascii="宋体" w:hAnsi="宋体"/>
                <w:color w:val="auto"/>
                <w:szCs w:val="21"/>
              </w:rPr>
            </w:pPr>
            <w:r>
              <w:rPr>
                <w:rFonts w:hint="eastAsia" w:ascii="宋体" w:hAnsi="宋体"/>
                <w:color w:val="auto"/>
                <w:szCs w:val="21"/>
              </w:rPr>
              <w:t>0.006%</w:t>
            </w:r>
          </w:p>
        </w:tc>
        <w:tc>
          <w:tcPr>
            <w:tcW w:w="3260" w:type="dxa"/>
            <w:vAlign w:val="center"/>
          </w:tcPr>
          <w:p>
            <w:pPr>
              <w:ind w:firstLine="210" w:firstLineChars="100"/>
              <w:jc w:val="center"/>
              <w:rPr>
                <w:rFonts w:ascii="宋体" w:hAnsi="宋体"/>
                <w:color w:val="auto"/>
                <w:szCs w:val="21"/>
              </w:rPr>
            </w:pPr>
            <w:r>
              <w:rPr>
                <w:rFonts w:hint="eastAsia" w:ascii="宋体" w:hAnsi="宋体"/>
                <w:color w:val="auto"/>
                <w:szCs w:val="21"/>
              </w:rPr>
              <w:t>0.006%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51" w:hRule="atLeast"/>
          <w:jc w:val="center"/>
        </w:trPr>
        <w:tc>
          <w:tcPr>
            <w:tcW w:w="2802" w:type="dxa"/>
            <w:vAlign w:val="center"/>
          </w:tcPr>
          <w:p>
            <w:pPr>
              <w:jc w:val="center"/>
              <w:rPr>
                <w:rFonts w:ascii="宋体" w:hAnsi="宋体"/>
                <w:color w:val="auto"/>
                <w:szCs w:val="21"/>
              </w:rPr>
            </w:pPr>
            <w:r>
              <w:rPr>
                <w:rFonts w:hint="eastAsia" w:ascii="宋体" w:hAnsi="宋体"/>
                <w:color w:val="auto"/>
                <w:szCs w:val="21"/>
              </w:rPr>
              <w:t>100亿以上</w:t>
            </w:r>
          </w:p>
        </w:tc>
        <w:tc>
          <w:tcPr>
            <w:tcW w:w="3260" w:type="dxa"/>
            <w:vAlign w:val="center"/>
          </w:tcPr>
          <w:p>
            <w:pPr>
              <w:jc w:val="center"/>
              <w:rPr>
                <w:rFonts w:ascii="宋体" w:hAnsi="宋体"/>
                <w:color w:val="auto"/>
                <w:szCs w:val="21"/>
              </w:rPr>
            </w:pPr>
            <w:r>
              <w:rPr>
                <w:rFonts w:hint="eastAsia" w:ascii="宋体" w:hAnsi="宋体"/>
                <w:color w:val="auto"/>
                <w:szCs w:val="21"/>
              </w:rPr>
              <w:t>0.004%</w:t>
            </w:r>
          </w:p>
        </w:tc>
        <w:tc>
          <w:tcPr>
            <w:tcW w:w="3260" w:type="dxa"/>
            <w:vAlign w:val="center"/>
          </w:tcPr>
          <w:p>
            <w:pPr>
              <w:ind w:firstLine="210" w:firstLineChars="100"/>
              <w:jc w:val="center"/>
              <w:rPr>
                <w:rFonts w:ascii="宋体" w:hAnsi="宋体"/>
                <w:color w:val="auto"/>
                <w:szCs w:val="21"/>
              </w:rPr>
            </w:pPr>
            <w:r>
              <w:rPr>
                <w:rFonts w:hint="eastAsia" w:ascii="宋体" w:hAnsi="宋体"/>
                <w:color w:val="auto"/>
                <w:szCs w:val="21"/>
              </w:rPr>
              <w:t>0.004%</w:t>
            </w:r>
          </w:p>
        </w:tc>
      </w:tr>
    </w:tbl>
    <w:p>
      <w:pPr>
        <w:snapToGrid w:val="0"/>
        <w:spacing w:line="360" w:lineRule="auto"/>
        <w:rPr>
          <w:rFonts w:ascii="宋体" w:hAnsi="宋体" w:cs="宋体"/>
          <w:color w:val="auto"/>
          <w:szCs w:val="21"/>
        </w:rPr>
      </w:pPr>
      <w:r>
        <w:rPr>
          <w:rFonts w:hint="eastAsia" w:ascii="宋体" w:hAnsi="宋体" w:cs="宋体"/>
          <w:color w:val="auto"/>
          <w:szCs w:val="21"/>
        </w:rPr>
        <w:t>例如：某货物招标中标金额为850万元，计算招标代理服务收费额如下：</w:t>
      </w:r>
    </w:p>
    <w:p>
      <w:pPr>
        <w:snapToGrid w:val="0"/>
        <w:spacing w:line="360" w:lineRule="auto"/>
        <w:ind w:left="332" w:leftChars="158" w:firstLine="1470" w:firstLineChars="700"/>
        <w:rPr>
          <w:rFonts w:ascii="宋体" w:hAnsi="宋体" w:cs="宋体"/>
          <w:color w:val="auto"/>
          <w:szCs w:val="21"/>
        </w:rPr>
      </w:pPr>
      <w:r>
        <w:rPr>
          <w:rFonts w:hint="eastAsia" w:ascii="宋体" w:hAnsi="宋体" w:cs="宋体"/>
          <w:color w:val="auto"/>
          <w:szCs w:val="21"/>
        </w:rPr>
        <w:t>100万元×1.5%=1.5万元</w:t>
      </w:r>
    </w:p>
    <w:p>
      <w:pPr>
        <w:snapToGrid w:val="0"/>
        <w:spacing w:line="360" w:lineRule="auto"/>
        <w:ind w:left="332" w:leftChars="158" w:firstLine="1260" w:firstLineChars="600"/>
        <w:rPr>
          <w:rFonts w:ascii="宋体" w:hAnsi="宋体" w:cs="宋体"/>
          <w:color w:val="auto"/>
          <w:szCs w:val="21"/>
        </w:rPr>
      </w:pPr>
      <w:r>
        <w:rPr>
          <w:rFonts w:hint="eastAsia" w:ascii="宋体" w:hAnsi="宋体" w:cs="宋体"/>
          <w:color w:val="auto"/>
          <w:szCs w:val="21"/>
        </w:rPr>
        <w:t>（500-100）万元×1.1%=4.4万元</w:t>
      </w:r>
    </w:p>
    <w:p>
      <w:pPr>
        <w:snapToGrid w:val="0"/>
        <w:spacing w:line="360" w:lineRule="auto"/>
        <w:ind w:left="332" w:leftChars="158" w:firstLine="1155" w:firstLineChars="550"/>
        <w:rPr>
          <w:rFonts w:ascii="宋体" w:hAnsi="宋体" w:cs="宋体"/>
          <w:color w:val="auto"/>
          <w:szCs w:val="21"/>
        </w:rPr>
      </w:pPr>
      <w:r>
        <w:rPr>
          <w:rFonts w:hint="eastAsia" w:ascii="宋体" w:hAnsi="宋体" w:cs="宋体"/>
          <w:color w:val="auto"/>
          <w:szCs w:val="21"/>
        </w:rPr>
        <w:t>（850-500）万元×0.8%=2.8万元</w:t>
      </w:r>
    </w:p>
    <w:p>
      <w:pPr>
        <w:snapToGrid w:val="0"/>
        <w:spacing w:line="360" w:lineRule="auto"/>
        <w:ind w:left="332" w:leftChars="158" w:firstLine="1155" w:firstLineChars="550"/>
        <w:rPr>
          <w:rFonts w:ascii="宋体" w:hAnsi="宋体" w:cs="宋体"/>
          <w:color w:val="auto"/>
          <w:szCs w:val="21"/>
        </w:rPr>
      </w:pPr>
      <w:r>
        <w:rPr>
          <w:rFonts w:hint="eastAsia" w:ascii="宋体" w:hAnsi="宋体" w:cs="宋体"/>
          <w:color w:val="auto"/>
          <w:szCs w:val="21"/>
        </w:rPr>
        <w:t>合计收费=1.5+4.4+2.8=8.7（万元）</w:t>
      </w:r>
    </w:p>
    <w:p>
      <w:pPr>
        <w:numPr>
          <w:ilvl w:val="1"/>
          <w:numId w:val="41"/>
        </w:numPr>
        <w:tabs>
          <w:tab w:val="left" w:pos="709"/>
        </w:tabs>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rPr>
        <w:t>经依法被认定中标无效的，招标代理服务费不予退还。</w:t>
      </w:r>
    </w:p>
    <w:p>
      <w:pPr>
        <w:numPr>
          <w:ilvl w:val="0"/>
          <w:numId w:val="41"/>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询问函、质疑函格式</w:t>
      </w:r>
    </w:p>
    <w:p>
      <w:pPr>
        <w:snapToGrid w:val="0"/>
        <w:spacing w:line="360" w:lineRule="auto"/>
        <w:ind w:firstLine="424" w:firstLineChars="201"/>
        <w:rPr>
          <w:rFonts w:ascii="宋体" w:hAnsi="宋体"/>
          <w:b/>
          <w:color w:val="auto"/>
          <w:szCs w:val="21"/>
        </w:rPr>
      </w:pPr>
      <w:r>
        <w:rPr>
          <w:rFonts w:hint="eastAsia" w:ascii="宋体" w:hAnsi="宋体"/>
          <w:b/>
          <w:color w:val="auto"/>
          <w:szCs w:val="21"/>
        </w:rPr>
        <w:t>说明：本部分格式为投标人提交询问函、质疑函时使用，不属于投标文件格式的组成部分。</w:t>
      </w:r>
    </w:p>
    <w:p>
      <w:pPr>
        <w:spacing w:line="440" w:lineRule="exact"/>
        <w:rPr>
          <w:color w:val="auto"/>
          <w:szCs w:val="21"/>
        </w:rPr>
      </w:pPr>
      <w:r>
        <w:rPr>
          <w:color w:val="auto"/>
          <w:szCs w:val="21"/>
        </w:rPr>
        <w:br w:type="page"/>
      </w:r>
      <w:r>
        <w:rPr>
          <w:rFonts w:hint="eastAsia" w:ascii="黑体" w:eastAsia="黑体"/>
          <w:bCs/>
          <w:color w:val="auto"/>
          <w:sz w:val="28"/>
        </w:rPr>
        <w:t>1：询问函格式</w:t>
      </w:r>
    </w:p>
    <w:p>
      <w:pPr>
        <w:jc w:val="center"/>
        <w:rPr>
          <w:rFonts w:ascii="仿宋_GB2312" w:eastAsia="仿宋_GB2312"/>
          <w:b/>
          <w:bCs/>
          <w:color w:val="auto"/>
          <w:sz w:val="28"/>
          <w:szCs w:val="28"/>
        </w:rPr>
      </w:pPr>
      <w:r>
        <w:rPr>
          <w:rFonts w:hint="eastAsia" w:ascii="仿宋_GB2312" w:eastAsia="仿宋_GB2312"/>
          <w:b/>
          <w:bCs/>
          <w:color w:val="auto"/>
          <w:sz w:val="28"/>
          <w:szCs w:val="28"/>
        </w:rPr>
        <w:t>询  问  函</w:t>
      </w:r>
    </w:p>
    <w:p>
      <w:pPr>
        <w:widowControl/>
        <w:snapToGrid w:val="0"/>
        <w:spacing w:line="360" w:lineRule="auto"/>
        <w:rPr>
          <w:rFonts w:ascii="宋体" w:hAnsi="宋体"/>
          <w:b/>
          <w:bCs/>
          <w:color w:val="auto"/>
          <w:szCs w:val="21"/>
        </w:rPr>
      </w:pPr>
      <w:r>
        <w:rPr>
          <w:rFonts w:hint="eastAsia" w:ascii="宋体" w:hAnsi="宋体"/>
          <w:b/>
          <w:bCs/>
          <w:color w:val="auto"/>
          <w:szCs w:val="21"/>
        </w:rPr>
        <w:t>一、询问供应商基本信息</w:t>
      </w:r>
    </w:p>
    <w:p>
      <w:pPr>
        <w:adjustRightInd w:val="0"/>
        <w:snapToGrid w:val="0"/>
        <w:spacing w:line="360" w:lineRule="auto"/>
        <w:rPr>
          <w:rFonts w:ascii="宋体" w:hAnsi="宋体" w:cs="宋体"/>
          <w:color w:val="auto"/>
          <w:szCs w:val="21"/>
          <w:u w:val="dotted"/>
        </w:rPr>
      </w:pPr>
      <w:r>
        <w:rPr>
          <w:rFonts w:hint="eastAsia" w:ascii="宋体" w:hAnsi="宋体" w:cs="宋体"/>
          <w:color w:val="auto"/>
          <w:szCs w:val="21"/>
        </w:rPr>
        <w:t>询问供应商：</w:t>
      </w:r>
    </w:p>
    <w:p>
      <w:pPr>
        <w:adjustRightInd w:val="0"/>
        <w:snapToGrid w:val="0"/>
        <w:spacing w:line="360" w:lineRule="auto"/>
        <w:rPr>
          <w:rFonts w:ascii="宋体" w:hAnsi="宋体" w:cs="宋体"/>
          <w:color w:val="auto"/>
          <w:szCs w:val="21"/>
        </w:rPr>
      </w:pPr>
      <w:r>
        <w:rPr>
          <w:rFonts w:hint="eastAsia" w:ascii="宋体" w:hAnsi="宋体" w:cs="宋体"/>
          <w:color w:val="auto"/>
          <w:szCs w:val="21"/>
        </w:rPr>
        <w:t>地址：邮编：</w:t>
      </w:r>
    </w:p>
    <w:p>
      <w:pPr>
        <w:adjustRightInd w:val="0"/>
        <w:snapToGrid w:val="0"/>
        <w:spacing w:line="360" w:lineRule="auto"/>
        <w:rPr>
          <w:rFonts w:ascii="宋体" w:hAnsi="宋体" w:cs="宋体"/>
          <w:color w:val="auto"/>
          <w:szCs w:val="21"/>
        </w:rPr>
      </w:pPr>
      <w:r>
        <w:rPr>
          <w:rFonts w:hint="eastAsia" w:ascii="宋体" w:hAnsi="宋体" w:cs="宋体"/>
          <w:color w:val="auto"/>
          <w:szCs w:val="21"/>
        </w:rPr>
        <w:t>联系人：联系电话：</w:t>
      </w:r>
    </w:p>
    <w:p>
      <w:pPr>
        <w:adjustRightInd w:val="0"/>
        <w:snapToGrid w:val="0"/>
        <w:spacing w:line="360" w:lineRule="auto"/>
        <w:rPr>
          <w:rFonts w:ascii="宋体" w:hAnsi="宋体" w:cs="宋体"/>
          <w:color w:val="auto"/>
          <w:szCs w:val="21"/>
          <w:u w:val="dotted"/>
        </w:rPr>
      </w:pPr>
      <w:r>
        <w:rPr>
          <w:rFonts w:hint="eastAsia" w:ascii="宋体" w:hAnsi="宋体" w:cs="宋体"/>
          <w:color w:val="auto"/>
          <w:szCs w:val="21"/>
        </w:rPr>
        <w:t>授权代表：</w:t>
      </w:r>
    </w:p>
    <w:p>
      <w:pPr>
        <w:adjustRightInd w:val="0"/>
        <w:snapToGrid w:val="0"/>
        <w:spacing w:line="360" w:lineRule="auto"/>
        <w:rPr>
          <w:rFonts w:ascii="宋体" w:hAnsi="宋体" w:cs="宋体"/>
          <w:color w:val="auto"/>
          <w:szCs w:val="21"/>
        </w:rPr>
      </w:pPr>
      <w:r>
        <w:rPr>
          <w:rFonts w:hint="eastAsia" w:ascii="宋体" w:hAnsi="宋体" w:cs="宋体"/>
          <w:color w:val="auto"/>
          <w:szCs w:val="21"/>
        </w:rPr>
        <w:t>联系电话：</w:t>
      </w:r>
    </w:p>
    <w:p>
      <w:pPr>
        <w:adjustRightInd w:val="0"/>
        <w:snapToGrid w:val="0"/>
        <w:spacing w:line="360" w:lineRule="auto"/>
        <w:rPr>
          <w:rFonts w:ascii="宋体" w:hAnsi="宋体" w:cs="宋体"/>
          <w:color w:val="auto"/>
          <w:szCs w:val="21"/>
          <w:u w:val="dotted"/>
        </w:rPr>
      </w:pPr>
      <w:r>
        <w:rPr>
          <w:rFonts w:hint="eastAsia" w:ascii="宋体" w:hAnsi="宋体" w:cs="宋体"/>
          <w:color w:val="auto"/>
          <w:szCs w:val="21"/>
        </w:rPr>
        <w:t>地址： 邮编：</w:t>
      </w:r>
    </w:p>
    <w:p>
      <w:pPr>
        <w:adjustRightInd w:val="0"/>
        <w:snapToGrid w:val="0"/>
        <w:spacing w:line="360" w:lineRule="auto"/>
        <w:rPr>
          <w:rFonts w:ascii="宋体" w:hAnsi="宋体" w:cs="宋体"/>
          <w:b/>
          <w:color w:val="auto"/>
          <w:szCs w:val="21"/>
        </w:rPr>
      </w:pPr>
      <w:r>
        <w:rPr>
          <w:rFonts w:hint="eastAsia" w:ascii="宋体" w:hAnsi="宋体" w:cs="宋体"/>
          <w:b/>
          <w:color w:val="auto"/>
          <w:szCs w:val="21"/>
        </w:rPr>
        <w:t>二、询问项目基本情况</w:t>
      </w:r>
    </w:p>
    <w:p>
      <w:pPr>
        <w:adjustRightInd w:val="0"/>
        <w:snapToGrid w:val="0"/>
        <w:spacing w:line="360" w:lineRule="auto"/>
        <w:rPr>
          <w:rFonts w:ascii="宋体" w:hAnsi="宋体" w:cs="宋体"/>
          <w:color w:val="auto"/>
          <w:szCs w:val="21"/>
        </w:rPr>
      </w:pPr>
      <w:r>
        <w:rPr>
          <w:rFonts w:hint="eastAsia" w:ascii="宋体" w:hAnsi="宋体" w:cs="宋体"/>
          <w:color w:val="auto"/>
          <w:szCs w:val="21"/>
        </w:rPr>
        <w:t>询问项目的名称：</w:t>
      </w:r>
    </w:p>
    <w:p>
      <w:pPr>
        <w:adjustRightInd w:val="0"/>
        <w:snapToGrid w:val="0"/>
        <w:spacing w:line="360" w:lineRule="auto"/>
        <w:rPr>
          <w:rFonts w:ascii="宋体" w:hAnsi="宋体" w:cs="宋体"/>
          <w:color w:val="auto"/>
          <w:szCs w:val="21"/>
        </w:rPr>
      </w:pPr>
      <w:r>
        <w:rPr>
          <w:rFonts w:hint="eastAsia" w:ascii="宋体" w:hAnsi="宋体" w:cs="宋体"/>
          <w:color w:val="auto"/>
          <w:szCs w:val="21"/>
        </w:rPr>
        <w:t>询问项目的编号：包号：</w:t>
      </w:r>
    </w:p>
    <w:p>
      <w:pPr>
        <w:adjustRightInd w:val="0"/>
        <w:snapToGrid w:val="0"/>
        <w:spacing w:line="360" w:lineRule="auto"/>
        <w:rPr>
          <w:rFonts w:ascii="宋体" w:hAnsi="宋体" w:cs="宋体"/>
          <w:color w:val="auto"/>
          <w:szCs w:val="21"/>
          <w:u w:val="dotted"/>
        </w:rPr>
      </w:pPr>
      <w:r>
        <w:rPr>
          <w:rFonts w:hint="eastAsia" w:ascii="宋体" w:hAnsi="宋体" w:cs="宋体"/>
          <w:color w:val="auto"/>
          <w:szCs w:val="21"/>
        </w:rPr>
        <w:t>采购人名称：</w:t>
      </w:r>
    </w:p>
    <w:p>
      <w:pPr>
        <w:adjustRightInd w:val="0"/>
        <w:snapToGrid w:val="0"/>
        <w:spacing w:line="360" w:lineRule="auto"/>
        <w:rPr>
          <w:rFonts w:ascii="宋体" w:hAnsi="宋体" w:cs="宋体"/>
          <w:color w:val="auto"/>
          <w:szCs w:val="21"/>
        </w:rPr>
      </w:pPr>
      <w:r>
        <w:rPr>
          <w:rFonts w:hint="eastAsia" w:ascii="宋体" w:hAnsi="宋体" w:cs="宋体"/>
          <w:color w:val="auto"/>
          <w:szCs w:val="21"/>
        </w:rPr>
        <w:t>采购文件获取日期：</w:t>
      </w:r>
    </w:p>
    <w:p>
      <w:pPr>
        <w:adjustRightInd w:val="0"/>
        <w:snapToGrid w:val="0"/>
        <w:spacing w:line="360" w:lineRule="auto"/>
        <w:rPr>
          <w:rFonts w:ascii="宋体" w:hAnsi="宋体" w:cs="宋体"/>
          <w:b/>
          <w:color w:val="auto"/>
          <w:szCs w:val="21"/>
        </w:rPr>
      </w:pPr>
      <w:r>
        <w:rPr>
          <w:rFonts w:hint="eastAsia" w:ascii="宋体" w:hAnsi="宋体" w:cs="宋体"/>
          <w:color w:val="auto"/>
          <w:szCs w:val="21"/>
        </w:rPr>
        <w:t>三、</w:t>
      </w:r>
      <w:r>
        <w:rPr>
          <w:rFonts w:hint="eastAsia" w:ascii="宋体" w:hAnsi="宋体" w:cs="宋体"/>
          <w:b/>
          <w:color w:val="auto"/>
          <w:szCs w:val="21"/>
        </w:rPr>
        <w:t>询问事项具体内容</w:t>
      </w:r>
    </w:p>
    <w:p>
      <w:pPr>
        <w:adjustRightInd w:val="0"/>
        <w:snapToGrid w:val="0"/>
        <w:spacing w:line="360" w:lineRule="auto"/>
        <w:rPr>
          <w:rFonts w:ascii="宋体" w:hAnsi="宋体" w:cs="宋体"/>
          <w:color w:val="auto"/>
          <w:szCs w:val="21"/>
        </w:rPr>
      </w:pPr>
      <w:r>
        <w:rPr>
          <w:rFonts w:hint="eastAsia" w:ascii="宋体" w:hAnsi="宋体" w:cs="宋体"/>
          <w:color w:val="auto"/>
          <w:szCs w:val="21"/>
        </w:rPr>
        <w:t>询问事项1：</w:t>
      </w:r>
    </w:p>
    <w:p>
      <w:pPr>
        <w:widowControl/>
        <w:tabs>
          <w:tab w:val="center" w:pos="5019"/>
        </w:tabs>
        <w:snapToGrid w:val="0"/>
        <w:spacing w:line="360" w:lineRule="auto"/>
        <w:rPr>
          <w:rFonts w:ascii="宋体" w:hAnsi="宋体" w:cs="宋体"/>
          <w:color w:val="auto"/>
          <w:szCs w:val="21"/>
          <w:u w:val="dotted"/>
        </w:rPr>
      </w:pPr>
      <w:r>
        <w:rPr>
          <w:rFonts w:hint="eastAsia" w:ascii="宋体" w:hAnsi="宋体"/>
          <w:color w:val="auto"/>
          <w:szCs w:val="21"/>
        </w:rPr>
        <w:t>说明疑问或无法理解原因：</w:t>
      </w:r>
    </w:p>
    <w:p>
      <w:pPr>
        <w:widowControl/>
        <w:tabs>
          <w:tab w:val="center" w:pos="5019"/>
        </w:tabs>
        <w:snapToGrid w:val="0"/>
        <w:spacing w:line="360" w:lineRule="auto"/>
        <w:rPr>
          <w:rFonts w:ascii="宋体" w:hAnsi="宋体"/>
          <w:color w:val="auto"/>
          <w:szCs w:val="21"/>
        </w:rPr>
      </w:pPr>
      <w:r>
        <w:rPr>
          <w:rFonts w:hint="eastAsia" w:ascii="宋体" w:hAnsi="宋体"/>
          <w:color w:val="auto"/>
          <w:szCs w:val="21"/>
        </w:rPr>
        <w:t>建议：</w:t>
      </w:r>
    </w:p>
    <w:p>
      <w:pPr>
        <w:snapToGrid w:val="0"/>
        <w:spacing w:line="360" w:lineRule="auto"/>
        <w:rPr>
          <w:rFonts w:ascii="宋体" w:hAnsi="宋体"/>
          <w:color w:val="auto"/>
          <w:szCs w:val="21"/>
        </w:rPr>
      </w:pPr>
      <w:r>
        <w:rPr>
          <w:rFonts w:hint="eastAsia" w:ascii="宋体" w:hAnsi="宋体" w:cs="宋体"/>
          <w:color w:val="auto"/>
          <w:szCs w:val="21"/>
        </w:rPr>
        <w:t>询问事项2：</w:t>
      </w:r>
    </w:p>
    <w:p>
      <w:pPr>
        <w:widowControl/>
        <w:tabs>
          <w:tab w:val="left" w:pos="6300"/>
        </w:tabs>
        <w:snapToGrid w:val="0"/>
        <w:spacing w:line="360" w:lineRule="auto"/>
        <w:rPr>
          <w:rFonts w:ascii="宋体" w:hAnsi="宋体"/>
          <w:color w:val="auto"/>
          <w:szCs w:val="21"/>
        </w:rPr>
      </w:pPr>
      <w:r>
        <w:rPr>
          <w:rFonts w:hint="eastAsia" w:ascii="宋体" w:hAnsi="宋体"/>
          <w:color w:val="auto"/>
          <w:szCs w:val="21"/>
        </w:rPr>
        <w:t>……</w:t>
      </w:r>
    </w:p>
    <w:p>
      <w:pPr>
        <w:spacing w:line="360" w:lineRule="auto"/>
        <w:rPr>
          <w:rFonts w:ascii="宋体" w:hAnsi="宋体" w:cs="宋体"/>
          <w:color w:val="auto"/>
          <w:szCs w:val="21"/>
        </w:rPr>
      </w:pPr>
      <w:r>
        <w:rPr>
          <w:rFonts w:hint="eastAsia" w:ascii="宋体" w:hAnsi="宋体" w:cs="宋体"/>
          <w:color w:val="auto"/>
          <w:szCs w:val="21"/>
        </w:rPr>
        <w:t>签字(签章)：    公章：</w:t>
      </w:r>
    </w:p>
    <w:p>
      <w:pPr>
        <w:spacing w:line="360" w:lineRule="auto"/>
        <w:rPr>
          <w:rFonts w:ascii="宋体" w:hAnsi="宋体" w:cs="宋体"/>
          <w:color w:val="auto"/>
          <w:szCs w:val="21"/>
        </w:rPr>
      </w:pPr>
      <w:r>
        <w:rPr>
          <w:rFonts w:hint="eastAsia" w:ascii="宋体" w:hAnsi="宋体" w:cs="宋体"/>
          <w:color w:val="auto"/>
          <w:szCs w:val="21"/>
        </w:rPr>
        <w:t>日期：</w:t>
      </w:r>
    </w:p>
    <w:p>
      <w:pPr>
        <w:spacing w:line="440" w:lineRule="exact"/>
        <w:rPr>
          <w:color w:val="auto"/>
          <w:szCs w:val="21"/>
        </w:rPr>
      </w:pPr>
      <w:r>
        <w:rPr>
          <w:color w:val="auto"/>
          <w:szCs w:val="21"/>
        </w:rPr>
        <w:br w:type="page"/>
      </w:r>
      <w:r>
        <w:rPr>
          <w:rFonts w:hint="eastAsia" w:ascii="黑体" w:eastAsia="黑体"/>
          <w:bCs/>
          <w:color w:val="auto"/>
          <w:sz w:val="28"/>
        </w:rPr>
        <w:t>2：质疑函格式</w:t>
      </w:r>
    </w:p>
    <w:p>
      <w:pPr>
        <w:jc w:val="center"/>
        <w:rPr>
          <w:rFonts w:ascii="仿宋_GB2312" w:eastAsia="仿宋_GB2312"/>
          <w:b/>
          <w:bCs/>
          <w:color w:val="auto"/>
          <w:sz w:val="28"/>
          <w:szCs w:val="28"/>
        </w:rPr>
      </w:pPr>
      <w:r>
        <w:rPr>
          <w:rFonts w:ascii="仿宋_GB2312" w:eastAsia="仿宋_GB2312"/>
          <w:b/>
          <w:bCs/>
          <w:color w:val="auto"/>
          <w:sz w:val="28"/>
          <w:szCs w:val="28"/>
        </w:rPr>
        <w:t>质疑</w:t>
      </w:r>
      <w:r>
        <w:rPr>
          <w:rFonts w:hint="eastAsia" w:ascii="仿宋_GB2312" w:eastAsia="仿宋_GB2312"/>
          <w:b/>
          <w:bCs/>
          <w:color w:val="auto"/>
          <w:sz w:val="28"/>
          <w:szCs w:val="28"/>
        </w:rPr>
        <w:t xml:space="preserve">  函</w:t>
      </w:r>
    </w:p>
    <w:p>
      <w:pPr>
        <w:widowControl/>
        <w:snapToGrid w:val="0"/>
        <w:spacing w:line="360" w:lineRule="auto"/>
        <w:rPr>
          <w:rFonts w:ascii="宋体" w:hAnsi="宋体"/>
          <w:color w:val="auto"/>
          <w:szCs w:val="21"/>
        </w:rPr>
      </w:pPr>
    </w:p>
    <w:p>
      <w:pPr>
        <w:widowControl/>
        <w:snapToGrid w:val="0"/>
        <w:spacing w:line="360" w:lineRule="auto"/>
        <w:rPr>
          <w:rFonts w:ascii="宋体" w:hAnsi="宋体"/>
          <w:b/>
          <w:bCs/>
          <w:color w:val="auto"/>
          <w:szCs w:val="21"/>
        </w:rPr>
      </w:pPr>
      <w:r>
        <w:rPr>
          <w:rFonts w:hint="eastAsia" w:ascii="宋体" w:hAnsi="宋体"/>
          <w:b/>
          <w:bCs/>
          <w:color w:val="auto"/>
          <w:szCs w:val="21"/>
        </w:rPr>
        <w:t>一、质疑供应商基本信息</w:t>
      </w:r>
    </w:p>
    <w:p>
      <w:pPr>
        <w:adjustRightInd w:val="0"/>
        <w:snapToGrid w:val="0"/>
        <w:spacing w:line="360" w:lineRule="auto"/>
        <w:rPr>
          <w:rFonts w:ascii="宋体" w:hAnsi="宋体" w:cs="宋体"/>
          <w:color w:val="auto"/>
          <w:szCs w:val="21"/>
          <w:u w:val="dotted"/>
        </w:rPr>
      </w:pPr>
      <w:r>
        <w:rPr>
          <w:rFonts w:hint="eastAsia" w:ascii="宋体" w:hAnsi="宋体" w:cs="宋体"/>
          <w:color w:val="auto"/>
          <w:szCs w:val="21"/>
        </w:rPr>
        <w:t>质疑供应商：</w:t>
      </w:r>
    </w:p>
    <w:p>
      <w:pPr>
        <w:adjustRightInd w:val="0"/>
        <w:snapToGrid w:val="0"/>
        <w:spacing w:line="360" w:lineRule="auto"/>
        <w:rPr>
          <w:rFonts w:ascii="宋体" w:hAnsi="宋体" w:cs="宋体"/>
          <w:color w:val="auto"/>
          <w:szCs w:val="21"/>
        </w:rPr>
      </w:pPr>
      <w:r>
        <w:rPr>
          <w:rFonts w:hint="eastAsia" w:ascii="宋体" w:hAnsi="宋体" w:cs="宋体"/>
          <w:color w:val="auto"/>
          <w:szCs w:val="21"/>
        </w:rPr>
        <w:t>地址：邮编：</w:t>
      </w:r>
    </w:p>
    <w:p>
      <w:pPr>
        <w:adjustRightInd w:val="0"/>
        <w:snapToGrid w:val="0"/>
        <w:spacing w:line="360" w:lineRule="auto"/>
        <w:rPr>
          <w:rFonts w:ascii="宋体" w:hAnsi="宋体" w:cs="宋体"/>
          <w:color w:val="auto"/>
          <w:szCs w:val="21"/>
        </w:rPr>
      </w:pPr>
      <w:r>
        <w:rPr>
          <w:rFonts w:hint="eastAsia" w:ascii="宋体" w:hAnsi="宋体" w:cs="宋体"/>
          <w:color w:val="auto"/>
          <w:szCs w:val="21"/>
        </w:rPr>
        <w:t>联系人：联系电话：</w:t>
      </w:r>
    </w:p>
    <w:p>
      <w:pPr>
        <w:adjustRightInd w:val="0"/>
        <w:snapToGrid w:val="0"/>
        <w:spacing w:line="360" w:lineRule="auto"/>
        <w:rPr>
          <w:rFonts w:ascii="宋体" w:hAnsi="宋体" w:cs="宋体"/>
          <w:color w:val="auto"/>
          <w:szCs w:val="21"/>
          <w:u w:val="dotted"/>
        </w:rPr>
      </w:pPr>
      <w:r>
        <w:rPr>
          <w:rFonts w:hint="eastAsia" w:ascii="宋体" w:hAnsi="宋体" w:cs="宋体"/>
          <w:color w:val="auto"/>
          <w:szCs w:val="21"/>
        </w:rPr>
        <w:t>授权代表：</w:t>
      </w:r>
    </w:p>
    <w:p>
      <w:pPr>
        <w:adjustRightInd w:val="0"/>
        <w:snapToGrid w:val="0"/>
        <w:spacing w:line="360" w:lineRule="auto"/>
        <w:rPr>
          <w:rFonts w:ascii="宋体" w:hAnsi="宋体" w:cs="宋体"/>
          <w:color w:val="auto"/>
          <w:szCs w:val="21"/>
        </w:rPr>
      </w:pPr>
      <w:r>
        <w:rPr>
          <w:rFonts w:hint="eastAsia" w:ascii="宋体" w:hAnsi="宋体" w:cs="宋体"/>
          <w:color w:val="auto"/>
          <w:szCs w:val="21"/>
        </w:rPr>
        <w:t>联系电话：</w:t>
      </w:r>
    </w:p>
    <w:p>
      <w:pPr>
        <w:adjustRightInd w:val="0"/>
        <w:snapToGrid w:val="0"/>
        <w:spacing w:line="360" w:lineRule="auto"/>
        <w:rPr>
          <w:rFonts w:ascii="宋体" w:hAnsi="宋体" w:cs="宋体"/>
          <w:color w:val="auto"/>
          <w:szCs w:val="21"/>
        </w:rPr>
      </w:pPr>
      <w:r>
        <w:rPr>
          <w:rFonts w:hint="eastAsia" w:ascii="宋体" w:hAnsi="宋体" w:cs="宋体"/>
          <w:color w:val="auto"/>
          <w:szCs w:val="21"/>
        </w:rPr>
        <w:t>地址： 邮编：</w:t>
      </w:r>
    </w:p>
    <w:p>
      <w:pPr>
        <w:adjustRightInd w:val="0"/>
        <w:snapToGrid w:val="0"/>
        <w:spacing w:line="360" w:lineRule="auto"/>
        <w:rPr>
          <w:rFonts w:ascii="宋体" w:hAnsi="宋体" w:cs="宋体"/>
          <w:b/>
          <w:color w:val="auto"/>
          <w:szCs w:val="21"/>
        </w:rPr>
      </w:pPr>
      <w:r>
        <w:rPr>
          <w:rFonts w:hint="eastAsia" w:ascii="宋体" w:hAnsi="宋体" w:cs="宋体"/>
          <w:b/>
          <w:color w:val="auto"/>
          <w:szCs w:val="21"/>
        </w:rPr>
        <w:t>二、质疑项目基本情况</w:t>
      </w:r>
    </w:p>
    <w:p>
      <w:pPr>
        <w:adjustRightInd w:val="0"/>
        <w:snapToGrid w:val="0"/>
        <w:spacing w:line="360" w:lineRule="auto"/>
        <w:rPr>
          <w:rFonts w:ascii="宋体" w:hAnsi="宋体" w:cs="宋体"/>
          <w:color w:val="auto"/>
          <w:szCs w:val="21"/>
        </w:rPr>
      </w:pPr>
      <w:r>
        <w:rPr>
          <w:rFonts w:hint="eastAsia" w:ascii="宋体" w:hAnsi="宋体" w:cs="宋体"/>
          <w:color w:val="auto"/>
          <w:szCs w:val="21"/>
        </w:rPr>
        <w:t>质疑项目的名称：</w:t>
      </w:r>
    </w:p>
    <w:p>
      <w:pPr>
        <w:adjustRightInd w:val="0"/>
        <w:snapToGrid w:val="0"/>
        <w:spacing w:line="360" w:lineRule="auto"/>
        <w:rPr>
          <w:rFonts w:ascii="宋体" w:hAnsi="宋体" w:cs="宋体"/>
          <w:color w:val="auto"/>
          <w:szCs w:val="21"/>
        </w:rPr>
      </w:pPr>
      <w:r>
        <w:rPr>
          <w:rFonts w:hint="eastAsia" w:ascii="宋体" w:hAnsi="宋体" w:cs="宋体"/>
          <w:color w:val="auto"/>
          <w:szCs w:val="21"/>
        </w:rPr>
        <w:t>质疑项目的编号：包号：</w:t>
      </w:r>
    </w:p>
    <w:p>
      <w:pPr>
        <w:adjustRightInd w:val="0"/>
        <w:snapToGrid w:val="0"/>
        <w:spacing w:line="360" w:lineRule="auto"/>
        <w:rPr>
          <w:rFonts w:ascii="宋体" w:hAnsi="宋体" w:cs="宋体"/>
          <w:color w:val="auto"/>
          <w:szCs w:val="21"/>
          <w:u w:val="dotted"/>
        </w:rPr>
      </w:pPr>
      <w:r>
        <w:rPr>
          <w:rFonts w:hint="eastAsia" w:ascii="宋体" w:hAnsi="宋体" w:cs="宋体"/>
          <w:color w:val="auto"/>
          <w:szCs w:val="21"/>
        </w:rPr>
        <w:t>采购人名称：</w:t>
      </w:r>
    </w:p>
    <w:p>
      <w:pPr>
        <w:adjustRightInd w:val="0"/>
        <w:snapToGrid w:val="0"/>
        <w:spacing w:line="360" w:lineRule="auto"/>
        <w:rPr>
          <w:rFonts w:ascii="宋体" w:hAnsi="宋体" w:cs="宋体"/>
          <w:color w:val="auto"/>
          <w:szCs w:val="21"/>
        </w:rPr>
      </w:pPr>
      <w:r>
        <w:rPr>
          <w:rFonts w:hint="eastAsia" w:ascii="宋体" w:hAnsi="宋体" w:cs="宋体"/>
          <w:color w:val="auto"/>
          <w:szCs w:val="21"/>
        </w:rPr>
        <w:t>采购文件获取日期：</w:t>
      </w:r>
    </w:p>
    <w:p>
      <w:pPr>
        <w:adjustRightInd w:val="0"/>
        <w:snapToGrid w:val="0"/>
        <w:spacing w:line="360" w:lineRule="auto"/>
        <w:rPr>
          <w:rFonts w:ascii="宋体" w:hAnsi="宋体" w:cs="宋体"/>
          <w:b/>
          <w:color w:val="auto"/>
          <w:szCs w:val="21"/>
        </w:rPr>
      </w:pPr>
      <w:r>
        <w:rPr>
          <w:rFonts w:hint="eastAsia" w:ascii="宋体" w:hAnsi="宋体" w:cs="宋体"/>
          <w:b/>
          <w:color w:val="auto"/>
          <w:szCs w:val="21"/>
        </w:rPr>
        <w:t>三、质疑事项具体内容</w:t>
      </w:r>
    </w:p>
    <w:p>
      <w:pPr>
        <w:adjustRightInd w:val="0"/>
        <w:snapToGrid w:val="0"/>
        <w:spacing w:line="360" w:lineRule="auto"/>
        <w:rPr>
          <w:rFonts w:ascii="宋体" w:hAnsi="宋体" w:cs="宋体"/>
          <w:color w:val="auto"/>
          <w:szCs w:val="21"/>
          <w:u w:val="dotted"/>
        </w:rPr>
      </w:pPr>
      <w:r>
        <w:rPr>
          <w:rFonts w:hint="eastAsia" w:ascii="宋体" w:hAnsi="宋体" w:cs="宋体"/>
          <w:color w:val="auto"/>
          <w:szCs w:val="21"/>
        </w:rPr>
        <w:t>质疑事项1：</w:t>
      </w:r>
    </w:p>
    <w:p>
      <w:pPr>
        <w:adjustRightInd w:val="0"/>
        <w:snapToGrid w:val="0"/>
        <w:spacing w:line="360" w:lineRule="auto"/>
        <w:rPr>
          <w:rFonts w:ascii="宋体" w:hAnsi="宋体" w:cs="宋体"/>
          <w:color w:val="auto"/>
          <w:szCs w:val="21"/>
          <w:u w:val="dotted"/>
        </w:rPr>
      </w:pPr>
      <w:r>
        <w:rPr>
          <w:rFonts w:hint="eastAsia" w:ascii="宋体" w:hAnsi="宋体" w:cs="宋体"/>
          <w:color w:val="auto"/>
          <w:szCs w:val="21"/>
        </w:rPr>
        <w:t>事实依据：</w:t>
      </w:r>
    </w:p>
    <w:p>
      <w:pPr>
        <w:adjustRightInd w:val="0"/>
        <w:snapToGrid w:val="0"/>
        <w:spacing w:line="360" w:lineRule="auto"/>
        <w:rPr>
          <w:rFonts w:ascii="宋体" w:hAnsi="宋体" w:cs="宋体"/>
          <w:color w:val="auto"/>
          <w:szCs w:val="21"/>
        </w:rPr>
      </w:pPr>
    </w:p>
    <w:p>
      <w:pPr>
        <w:adjustRightInd w:val="0"/>
        <w:snapToGrid w:val="0"/>
        <w:spacing w:line="360" w:lineRule="auto"/>
        <w:rPr>
          <w:rFonts w:ascii="宋体" w:hAnsi="宋体" w:cs="宋体"/>
          <w:color w:val="auto"/>
          <w:szCs w:val="21"/>
          <w:u w:val="dotted"/>
        </w:rPr>
      </w:pPr>
      <w:r>
        <w:rPr>
          <w:rFonts w:hint="eastAsia" w:ascii="宋体" w:hAnsi="宋体" w:cs="宋体"/>
          <w:color w:val="auto"/>
          <w:szCs w:val="21"/>
        </w:rPr>
        <w:t>法律依据：</w:t>
      </w:r>
    </w:p>
    <w:p>
      <w:pPr>
        <w:adjustRightInd w:val="0"/>
        <w:snapToGrid w:val="0"/>
        <w:spacing w:line="360" w:lineRule="auto"/>
        <w:rPr>
          <w:rFonts w:ascii="宋体" w:hAnsi="宋体" w:cs="宋体"/>
          <w:color w:val="auto"/>
          <w:szCs w:val="21"/>
          <w:u w:val="dotted"/>
        </w:rPr>
      </w:pPr>
    </w:p>
    <w:p>
      <w:pPr>
        <w:adjustRightInd w:val="0"/>
        <w:snapToGrid w:val="0"/>
        <w:spacing w:line="360" w:lineRule="auto"/>
        <w:rPr>
          <w:rFonts w:ascii="宋体" w:hAnsi="宋体" w:cs="宋体"/>
          <w:color w:val="auto"/>
          <w:szCs w:val="21"/>
          <w:u w:val="dotted"/>
        </w:rPr>
      </w:pPr>
      <w:r>
        <w:rPr>
          <w:rFonts w:hint="eastAsia" w:ascii="宋体" w:hAnsi="宋体" w:cs="宋体"/>
          <w:color w:val="auto"/>
          <w:szCs w:val="21"/>
        </w:rPr>
        <w:t>质疑事项2</w:t>
      </w:r>
    </w:p>
    <w:p>
      <w:pPr>
        <w:adjustRightInd w:val="0"/>
        <w:snapToGrid w:val="0"/>
        <w:spacing w:line="360" w:lineRule="auto"/>
        <w:rPr>
          <w:rFonts w:ascii="宋体" w:hAnsi="宋体" w:cs="宋体"/>
          <w:color w:val="auto"/>
          <w:szCs w:val="21"/>
        </w:rPr>
      </w:pPr>
      <w:r>
        <w:rPr>
          <w:rFonts w:hint="eastAsia" w:ascii="宋体" w:hAnsi="宋体" w:cs="宋体"/>
          <w:color w:val="auto"/>
          <w:szCs w:val="21"/>
        </w:rPr>
        <w:t>……</w:t>
      </w:r>
    </w:p>
    <w:p>
      <w:pPr>
        <w:adjustRightInd w:val="0"/>
        <w:snapToGrid w:val="0"/>
        <w:spacing w:line="360" w:lineRule="auto"/>
        <w:rPr>
          <w:rFonts w:ascii="宋体" w:hAnsi="宋体" w:cs="宋体"/>
          <w:b/>
          <w:color w:val="auto"/>
          <w:szCs w:val="21"/>
        </w:rPr>
      </w:pPr>
      <w:r>
        <w:rPr>
          <w:rFonts w:hint="eastAsia" w:ascii="宋体" w:hAnsi="宋体" w:cs="宋体"/>
          <w:b/>
          <w:color w:val="auto"/>
          <w:szCs w:val="21"/>
        </w:rPr>
        <w:t>四、与质疑事项相关的质疑请求</w:t>
      </w:r>
    </w:p>
    <w:p>
      <w:pPr>
        <w:adjustRightInd w:val="0"/>
        <w:snapToGrid w:val="0"/>
        <w:spacing w:line="360" w:lineRule="auto"/>
        <w:rPr>
          <w:rFonts w:ascii="宋体" w:hAnsi="宋体" w:cs="宋体"/>
          <w:color w:val="auto"/>
          <w:szCs w:val="21"/>
          <w:u w:val="dotted"/>
        </w:rPr>
      </w:pPr>
      <w:r>
        <w:rPr>
          <w:rFonts w:hint="eastAsia" w:ascii="宋体" w:hAnsi="宋体" w:cs="宋体"/>
          <w:color w:val="auto"/>
          <w:szCs w:val="21"/>
        </w:rPr>
        <w:t>请求：</w:t>
      </w:r>
    </w:p>
    <w:p>
      <w:pPr>
        <w:rPr>
          <w:rFonts w:ascii="宋体" w:hAnsi="宋体" w:cs="宋体"/>
          <w:color w:val="auto"/>
          <w:szCs w:val="21"/>
        </w:rPr>
      </w:pPr>
    </w:p>
    <w:p>
      <w:pPr>
        <w:spacing w:line="360" w:lineRule="auto"/>
        <w:rPr>
          <w:rFonts w:ascii="宋体" w:hAnsi="宋体" w:cs="宋体"/>
          <w:color w:val="auto"/>
          <w:szCs w:val="21"/>
        </w:rPr>
      </w:pPr>
      <w:r>
        <w:rPr>
          <w:rFonts w:hint="eastAsia" w:ascii="宋体" w:hAnsi="宋体" w:cs="宋体"/>
          <w:color w:val="auto"/>
          <w:szCs w:val="21"/>
        </w:rPr>
        <w:t>签字(签章)：    公章：</w:t>
      </w:r>
    </w:p>
    <w:p>
      <w:pPr>
        <w:spacing w:line="360" w:lineRule="auto"/>
        <w:rPr>
          <w:rFonts w:ascii="宋体" w:hAnsi="宋体" w:cs="宋体"/>
          <w:color w:val="auto"/>
          <w:szCs w:val="21"/>
          <w:u w:val="dotted"/>
        </w:rPr>
      </w:pPr>
      <w:r>
        <w:rPr>
          <w:rFonts w:hint="eastAsia" w:ascii="宋体" w:hAnsi="宋体" w:cs="宋体"/>
          <w:color w:val="auto"/>
          <w:szCs w:val="21"/>
        </w:rPr>
        <w:t>日期：</w:t>
      </w:r>
    </w:p>
    <w:p>
      <w:pPr>
        <w:spacing w:line="360" w:lineRule="auto"/>
        <w:rPr>
          <w:rFonts w:ascii="宋体" w:hAnsi="宋体" w:cs="宋体"/>
          <w:b/>
          <w:color w:val="auto"/>
          <w:szCs w:val="21"/>
        </w:rPr>
      </w:pPr>
    </w:p>
    <w:p>
      <w:pPr>
        <w:spacing w:line="360" w:lineRule="auto"/>
        <w:rPr>
          <w:rFonts w:ascii="宋体" w:hAnsi="宋体" w:cs="宋体"/>
          <w:b/>
          <w:color w:val="auto"/>
          <w:szCs w:val="21"/>
        </w:rPr>
      </w:pPr>
      <w:r>
        <w:rPr>
          <w:rFonts w:hint="eastAsia" w:ascii="宋体" w:hAnsi="宋体" w:cs="宋体"/>
          <w:b/>
          <w:color w:val="auto"/>
          <w:szCs w:val="21"/>
        </w:rPr>
        <w:t>附件：质疑供应商在提交的证明材料中对质疑点的内容作出相应的标识或以醒目的方式标明。</w:t>
      </w:r>
    </w:p>
    <w:tbl>
      <w:tblPr>
        <w:tblStyle w:val="44"/>
        <w:tblW w:w="87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38"/>
        <w:gridCol w:w="3026"/>
        <w:gridCol w:w="2285"/>
        <w:gridCol w:w="2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7" w:hRule="atLeast"/>
          <w:jc w:val="center"/>
        </w:trPr>
        <w:tc>
          <w:tcPr>
            <w:tcW w:w="1138" w:type="dxa"/>
            <w:tcBorders>
              <w:top w:val="single" w:color="auto" w:sz="12" w:space="0"/>
              <w:left w:val="single" w:color="auto" w:sz="12" w:space="0"/>
            </w:tcBorders>
            <w:shd w:val="clear" w:color="auto" w:fill="auto"/>
            <w:tcMar>
              <w:top w:w="72" w:type="dxa"/>
              <w:left w:w="144" w:type="dxa"/>
              <w:bottom w:w="72" w:type="dxa"/>
              <w:right w:w="144" w:type="dxa"/>
            </w:tcMar>
            <w:vAlign w:val="center"/>
          </w:tcPr>
          <w:p>
            <w:pPr>
              <w:jc w:val="center"/>
              <w:rPr>
                <w:rFonts w:ascii="宋体" w:hAnsi="宋体" w:cs="宋体"/>
                <w:b/>
                <w:color w:val="auto"/>
                <w:szCs w:val="21"/>
              </w:rPr>
            </w:pPr>
            <w:r>
              <w:rPr>
                <w:rFonts w:hint="eastAsia" w:ascii="宋体" w:hAnsi="宋体" w:cs="宋体"/>
                <w:b/>
                <w:color w:val="auto"/>
                <w:szCs w:val="21"/>
              </w:rPr>
              <w:t>序号</w:t>
            </w:r>
          </w:p>
        </w:tc>
        <w:tc>
          <w:tcPr>
            <w:tcW w:w="3026" w:type="dxa"/>
            <w:tcBorders>
              <w:top w:val="single" w:color="auto" w:sz="12" w:space="0"/>
            </w:tcBorders>
            <w:shd w:val="clear" w:color="auto" w:fill="auto"/>
            <w:tcMar>
              <w:top w:w="72" w:type="dxa"/>
              <w:left w:w="144" w:type="dxa"/>
              <w:bottom w:w="72" w:type="dxa"/>
              <w:right w:w="144" w:type="dxa"/>
            </w:tcMar>
            <w:vAlign w:val="center"/>
          </w:tcPr>
          <w:p>
            <w:pPr>
              <w:jc w:val="center"/>
              <w:rPr>
                <w:rFonts w:ascii="宋体" w:hAnsi="宋体" w:cs="宋体"/>
                <w:b/>
                <w:color w:val="auto"/>
                <w:szCs w:val="21"/>
              </w:rPr>
            </w:pPr>
            <w:r>
              <w:rPr>
                <w:rFonts w:hint="eastAsia" w:ascii="宋体" w:hAnsi="宋体" w:cs="宋体"/>
                <w:b/>
                <w:color w:val="auto"/>
                <w:szCs w:val="21"/>
              </w:rPr>
              <w:t>证明材料名称</w:t>
            </w:r>
          </w:p>
        </w:tc>
        <w:tc>
          <w:tcPr>
            <w:tcW w:w="2285" w:type="dxa"/>
            <w:tcBorders>
              <w:top w:val="single" w:color="auto" w:sz="12" w:space="0"/>
            </w:tcBorders>
            <w:shd w:val="clear" w:color="auto" w:fill="auto"/>
            <w:tcMar>
              <w:top w:w="72" w:type="dxa"/>
              <w:left w:w="144" w:type="dxa"/>
              <w:bottom w:w="72" w:type="dxa"/>
              <w:right w:w="144" w:type="dxa"/>
            </w:tcMar>
            <w:vAlign w:val="center"/>
          </w:tcPr>
          <w:p>
            <w:pPr>
              <w:jc w:val="center"/>
              <w:rPr>
                <w:rFonts w:ascii="宋体" w:hAnsi="宋体" w:cs="宋体"/>
                <w:b/>
                <w:color w:val="auto"/>
                <w:szCs w:val="21"/>
              </w:rPr>
            </w:pPr>
            <w:r>
              <w:rPr>
                <w:rFonts w:hint="eastAsia" w:ascii="宋体" w:hAnsi="宋体" w:cs="宋体"/>
                <w:b/>
                <w:color w:val="auto"/>
                <w:szCs w:val="21"/>
              </w:rPr>
              <w:t>证明材料来源</w:t>
            </w:r>
          </w:p>
        </w:tc>
        <w:tc>
          <w:tcPr>
            <w:tcW w:w="2285" w:type="dxa"/>
            <w:tcBorders>
              <w:top w:val="single" w:color="auto" w:sz="12" w:space="0"/>
              <w:right w:val="single" w:color="auto" w:sz="12" w:space="0"/>
            </w:tcBorders>
            <w:shd w:val="clear" w:color="auto" w:fill="auto"/>
            <w:tcMar>
              <w:top w:w="72" w:type="dxa"/>
              <w:left w:w="144" w:type="dxa"/>
              <w:bottom w:w="72" w:type="dxa"/>
              <w:right w:w="144" w:type="dxa"/>
            </w:tcMar>
            <w:vAlign w:val="center"/>
          </w:tcPr>
          <w:p>
            <w:pPr>
              <w:jc w:val="center"/>
              <w:rPr>
                <w:rFonts w:ascii="宋体" w:hAnsi="宋体" w:cs="宋体"/>
                <w:b/>
                <w:color w:val="auto"/>
                <w:szCs w:val="21"/>
              </w:rPr>
            </w:pPr>
            <w:r>
              <w:rPr>
                <w:rFonts w:hint="eastAsia" w:ascii="宋体" w:hAnsi="宋体" w:cs="宋体"/>
                <w:b/>
                <w:color w:val="auto"/>
                <w:szCs w:val="21"/>
              </w:rPr>
              <w:t>证明对象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7" w:hRule="atLeast"/>
          <w:jc w:val="center"/>
        </w:trPr>
        <w:tc>
          <w:tcPr>
            <w:tcW w:w="1138" w:type="dxa"/>
            <w:tcBorders>
              <w:left w:val="single" w:color="auto" w:sz="12" w:space="0"/>
            </w:tcBorders>
            <w:shd w:val="clear" w:color="auto" w:fill="auto"/>
            <w:tcMar>
              <w:top w:w="72" w:type="dxa"/>
              <w:left w:w="144" w:type="dxa"/>
              <w:bottom w:w="72" w:type="dxa"/>
              <w:right w:w="144" w:type="dxa"/>
            </w:tcMar>
          </w:tcPr>
          <w:p>
            <w:pPr>
              <w:jc w:val="center"/>
              <w:rPr>
                <w:rFonts w:ascii="宋体" w:hAnsi="宋体" w:cs="宋体"/>
                <w:color w:val="auto"/>
                <w:szCs w:val="21"/>
              </w:rPr>
            </w:pPr>
            <w:r>
              <w:rPr>
                <w:rFonts w:ascii="宋体" w:hAnsi="宋体" w:cs="宋体"/>
                <w:color w:val="auto"/>
                <w:szCs w:val="21"/>
              </w:rPr>
              <w:t>1</w:t>
            </w:r>
          </w:p>
        </w:tc>
        <w:tc>
          <w:tcPr>
            <w:tcW w:w="3026" w:type="dxa"/>
            <w:shd w:val="clear" w:color="auto" w:fill="auto"/>
            <w:tcMar>
              <w:top w:w="72" w:type="dxa"/>
              <w:left w:w="144" w:type="dxa"/>
              <w:bottom w:w="72" w:type="dxa"/>
              <w:right w:w="144" w:type="dxa"/>
            </w:tcMar>
          </w:tcPr>
          <w:p>
            <w:pPr>
              <w:jc w:val="center"/>
              <w:rPr>
                <w:rFonts w:ascii="宋体" w:hAnsi="宋体" w:cs="宋体"/>
                <w:color w:val="auto"/>
                <w:szCs w:val="21"/>
              </w:rPr>
            </w:pPr>
          </w:p>
        </w:tc>
        <w:tc>
          <w:tcPr>
            <w:tcW w:w="2285" w:type="dxa"/>
            <w:shd w:val="clear" w:color="auto" w:fill="auto"/>
            <w:tcMar>
              <w:top w:w="72" w:type="dxa"/>
              <w:left w:w="144" w:type="dxa"/>
              <w:bottom w:w="72" w:type="dxa"/>
              <w:right w:w="144" w:type="dxa"/>
            </w:tcMar>
          </w:tcPr>
          <w:p>
            <w:pPr>
              <w:jc w:val="center"/>
              <w:rPr>
                <w:rFonts w:ascii="宋体" w:hAnsi="宋体" w:cs="宋体"/>
                <w:color w:val="auto"/>
                <w:szCs w:val="21"/>
              </w:rPr>
            </w:pPr>
          </w:p>
        </w:tc>
        <w:tc>
          <w:tcPr>
            <w:tcW w:w="2285" w:type="dxa"/>
            <w:tcBorders>
              <w:right w:val="single" w:color="auto" w:sz="12" w:space="0"/>
            </w:tcBorders>
            <w:shd w:val="clear" w:color="auto" w:fill="auto"/>
            <w:tcMar>
              <w:top w:w="72" w:type="dxa"/>
              <w:left w:w="144" w:type="dxa"/>
              <w:bottom w:w="72" w:type="dxa"/>
              <w:right w:w="144" w:type="dxa"/>
            </w:tcMa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7" w:hRule="atLeast"/>
          <w:jc w:val="center"/>
        </w:trPr>
        <w:tc>
          <w:tcPr>
            <w:tcW w:w="1138" w:type="dxa"/>
            <w:tcBorders>
              <w:left w:val="single" w:color="auto" w:sz="12" w:space="0"/>
            </w:tcBorders>
            <w:shd w:val="clear" w:color="auto" w:fill="auto"/>
            <w:tcMar>
              <w:top w:w="72" w:type="dxa"/>
              <w:left w:w="144" w:type="dxa"/>
              <w:bottom w:w="72" w:type="dxa"/>
              <w:right w:w="144" w:type="dxa"/>
            </w:tcMar>
          </w:tcPr>
          <w:p>
            <w:pPr>
              <w:jc w:val="center"/>
              <w:rPr>
                <w:rFonts w:ascii="宋体" w:hAnsi="宋体" w:cs="宋体"/>
                <w:color w:val="auto"/>
                <w:szCs w:val="21"/>
              </w:rPr>
            </w:pPr>
            <w:r>
              <w:rPr>
                <w:rFonts w:ascii="宋体" w:hAnsi="宋体" w:cs="宋体"/>
                <w:color w:val="auto"/>
                <w:szCs w:val="21"/>
              </w:rPr>
              <w:t>2</w:t>
            </w:r>
          </w:p>
        </w:tc>
        <w:tc>
          <w:tcPr>
            <w:tcW w:w="3026" w:type="dxa"/>
            <w:shd w:val="clear" w:color="auto" w:fill="auto"/>
            <w:tcMar>
              <w:top w:w="72" w:type="dxa"/>
              <w:left w:w="144" w:type="dxa"/>
              <w:bottom w:w="72" w:type="dxa"/>
              <w:right w:w="144" w:type="dxa"/>
            </w:tcMar>
          </w:tcPr>
          <w:p>
            <w:pPr>
              <w:jc w:val="center"/>
              <w:rPr>
                <w:rFonts w:ascii="宋体" w:hAnsi="宋体" w:cs="宋体"/>
                <w:color w:val="auto"/>
                <w:szCs w:val="21"/>
              </w:rPr>
            </w:pPr>
          </w:p>
        </w:tc>
        <w:tc>
          <w:tcPr>
            <w:tcW w:w="2285" w:type="dxa"/>
            <w:shd w:val="clear" w:color="auto" w:fill="auto"/>
            <w:tcMar>
              <w:top w:w="72" w:type="dxa"/>
              <w:left w:w="144" w:type="dxa"/>
              <w:bottom w:w="72" w:type="dxa"/>
              <w:right w:w="144" w:type="dxa"/>
            </w:tcMar>
          </w:tcPr>
          <w:p>
            <w:pPr>
              <w:jc w:val="center"/>
              <w:rPr>
                <w:rFonts w:ascii="宋体" w:hAnsi="宋体" w:cs="宋体"/>
                <w:color w:val="auto"/>
                <w:szCs w:val="21"/>
              </w:rPr>
            </w:pPr>
          </w:p>
        </w:tc>
        <w:tc>
          <w:tcPr>
            <w:tcW w:w="2285" w:type="dxa"/>
            <w:tcBorders>
              <w:right w:val="single" w:color="auto" w:sz="12" w:space="0"/>
            </w:tcBorders>
            <w:shd w:val="clear" w:color="auto" w:fill="auto"/>
            <w:tcMar>
              <w:top w:w="72" w:type="dxa"/>
              <w:left w:w="144" w:type="dxa"/>
              <w:bottom w:w="72" w:type="dxa"/>
              <w:right w:w="144" w:type="dxa"/>
            </w:tcMa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7" w:hRule="atLeast"/>
          <w:jc w:val="center"/>
        </w:trPr>
        <w:tc>
          <w:tcPr>
            <w:tcW w:w="1138" w:type="dxa"/>
            <w:tcBorders>
              <w:left w:val="single" w:color="auto" w:sz="12" w:space="0"/>
              <w:bottom w:val="single" w:color="auto" w:sz="12" w:space="0"/>
            </w:tcBorders>
            <w:shd w:val="clear" w:color="auto" w:fill="auto"/>
            <w:tcMar>
              <w:top w:w="72" w:type="dxa"/>
              <w:left w:w="144" w:type="dxa"/>
              <w:bottom w:w="72" w:type="dxa"/>
              <w:right w:w="144" w:type="dxa"/>
            </w:tcMar>
          </w:tcPr>
          <w:p>
            <w:pPr>
              <w:jc w:val="center"/>
              <w:rPr>
                <w:rFonts w:ascii="宋体" w:hAnsi="宋体" w:cs="宋体"/>
                <w:color w:val="auto"/>
                <w:szCs w:val="21"/>
              </w:rPr>
            </w:pPr>
            <w:r>
              <w:rPr>
                <w:rFonts w:hint="eastAsia" w:ascii="宋体" w:hAnsi="宋体" w:cs="宋体"/>
                <w:color w:val="auto"/>
                <w:szCs w:val="21"/>
              </w:rPr>
              <w:t>……</w:t>
            </w:r>
          </w:p>
        </w:tc>
        <w:tc>
          <w:tcPr>
            <w:tcW w:w="3026" w:type="dxa"/>
            <w:tcBorders>
              <w:bottom w:val="single" w:color="auto" w:sz="12" w:space="0"/>
            </w:tcBorders>
            <w:shd w:val="clear" w:color="auto" w:fill="auto"/>
            <w:tcMar>
              <w:top w:w="72" w:type="dxa"/>
              <w:left w:w="144" w:type="dxa"/>
              <w:bottom w:w="72" w:type="dxa"/>
              <w:right w:w="144" w:type="dxa"/>
            </w:tcMar>
          </w:tcPr>
          <w:p>
            <w:pPr>
              <w:jc w:val="center"/>
              <w:rPr>
                <w:rFonts w:ascii="宋体" w:hAnsi="宋体" w:cs="宋体"/>
                <w:color w:val="auto"/>
                <w:szCs w:val="21"/>
              </w:rPr>
            </w:pPr>
          </w:p>
        </w:tc>
        <w:tc>
          <w:tcPr>
            <w:tcW w:w="2285" w:type="dxa"/>
            <w:tcBorders>
              <w:bottom w:val="single" w:color="auto" w:sz="12" w:space="0"/>
            </w:tcBorders>
            <w:shd w:val="clear" w:color="auto" w:fill="auto"/>
            <w:tcMar>
              <w:top w:w="72" w:type="dxa"/>
              <w:left w:w="144" w:type="dxa"/>
              <w:bottom w:w="72" w:type="dxa"/>
              <w:right w:w="144" w:type="dxa"/>
            </w:tcMar>
          </w:tcPr>
          <w:p>
            <w:pPr>
              <w:jc w:val="center"/>
              <w:rPr>
                <w:rFonts w:ascii="宋体" w:hAnsi="宋体" w:cs="宋体"/>
                <w:color w:val="auto"/>
                <w:szCs w:val="21"/>
              </w:rPr>
            </w:pPr>
          </w:p>
        </w:tc>
        <w:tc>
          <w:tcPr>
            <w:tcW w:w="2285" w:type="dxa"/>
            <w:tcBorders>
              <w:bottom w:val="single" w:color="auto" w:sz="12" w:space="0"/>
              <w:right w:val="single" w:color="auto" w:sz="12" w:space="0"/>
            </w:tcBorders>
            <w:shd w:val="clear" w:color="auto" w:fill="auto"/>
            <w:tcMar>
              <w:top w:w="72" w:type="dxa"/>
              <w:left w:w="144" w:type="dxa"/>
              <w:bottom w:w="72" w:type="dxa"/>
              <w:right w:w="144" w:type="dxa"/>
            </w:tcMar>
          </w:tcPr>
          <w:p>
            <w:pPr>
              <w:jc w:val="center"/>
              <w:rPr>
                <w:rFonts w:ascii="宋体" w:hAnsi="宋体" w:cs="宋体"/>
                <w:color w:val="auto"/>
                <w:szCs w:val="21"/>
              </w:rPr>
            </w:pPr>
          </w:p>
        </w:tc>
      </w:tr>
    </w:tbl>
    <w:p>
      <w:pPr>
        <w:widowControl/>
        <w:adjustRightInd w:val="0"/>
        <w:snapToGrid w:val="0"/>
        <w:spacing w:line="360" w:lineRule="auto"/>
        <w:jc w:val="left"/>
        <w:rPr>
          <w:rFonts w:ascii="宋体" w:hAnsi="宋体" w:cs="宋体"/>
          <w:b/>
          <w:color w:val="auto"/>
          <w:szCs w:val="21"/>
        </w:rPr>
      </w:pPr>
      <w:r>
        <w:rPr>
          <w:rFonts w:hint="eastAsia" w:ascii="宋体" w:hAnsi="宋体" w:cs="宋体"/>
          <w:b/>
          <w:color w:val="auto"/>
          <w:szCs w:val="21"/>
        </w:rPr>
        <w:t>质疑函制作说明：</w:t>
      </w:r>
    </w:p>
    <w:p>
      <w:pPr>
        <w:widowControl/>
        <w:numPr>
          <w:ilvl w:val="0"/>
          <w:numId w:val="43"/>
        </w:numPr>
        <w:adjustRightInd w:val="0"/>
        <w:snapToGrid w:val="0"/>
        <w:spacing w:line="360" w:lineRule="auto"/>
        <w:jc w:val="left"/>
        <w:rPr>
          <w:rFonts w:ascii="宋体" w:hAnsi="宋体" w:cs="宋体"/>
          <w:color w:val="auto"/>
          <w:szCs w:val="21"/>
        </w:rPr>
      </w:pPr>
      <w:r>
        <w:rPr>
          <w:rFonts w:hint="eastAsia" w:ascii="宋体" w:hAnsi="宋体" w:cs="宋体"/>
          <w:color w:val="auto"/>
          <w:szCs w:val="21"/>
        </w:rPr>
        <w:t>供应商提出质疑时，应提交质疑函和必要的证明材料。</w:t>
      </w:r>
    </w:p>
    <w:p>
      <w:pPr>
        <w:widowControl/>
        <w:numPr>
          <w:ilvl w:val="0"/>
          <w:numId w:val="43"/>
        </w:numPr>
        <w:adjustRightInd w:val="0"/>
        <w:snapToGrid w:val="0"/>
        <w:spacing w:line="360" w:lineRule="auto"/>
        <w:jc w:val="left"/>
        <w:rPr>
          <w:rFonts w:ascii="宋体" w:hAnsi="宋体" w:cs="宋体"/>
          <w:color w:val="auto"/>
          <w:szCs w:val="21"/>
        </w:rPr>
      </w:pPr>
      <w:r>
        <w:rPr>
          <w:rFonts w:hint="eastAsia" w:ascii="宋体" w:hAnsi="宋体" w:cs="宋体"/>
          <w:color w:val="auto"/>
          <w:szCs w:val="21"/>
        </w:rPr>
        <w:t>质疑供应商若委托代理人进行质疑的，质疑函应按要求列明“授权代表”的有关内容，并在附件中提交由质疑</w:t>
      </w:r>
      <w:r>
        <w:rPr>
          <w:rFonts w:hint="eastAsia" w:ascii="宋体" w:hAnsi="宋体" w:cs="宋体"/>
          <w:color w:val="auto"/>
          <w:kern w:val="0"/>
          <w:szCs w:val="21"/>
        </w:rPr>
        <w:t>供应商签署的授权委托书。授权委托书应载明代理人的姓名或者名称、代理事项、具体权限、期限和相关事项。</w:t>
      </w:r>
    </w:p>
    <w:p>
      <w:pPr>
        <w:widowControl/>
        <w:numPr>
          <w:ilvl w:val="0"/>
          <w:numId w:val="43"/>
        </w:numPr>
        <w:adjustRightInd w:val="0"/>
        <w:snapToGrid w:val="0"/>
        <w:spacing w:line="360" w:lineRule="auto"/>
        <w:jc w:val="left"/>
        <w:rPr>
          <w:rFonts w:ascii="宋体" w:hAnsi="宋体" w:cs="宋体"/>
          <w:b/>
          <w:bCs/>
          <w:color w:val="auto"/>
          <w:szCs w:val="21"/>
        </w:rPr>
      </w:pPr>
      <w:r>
        <w:rPr>
          <w:rFonts w:hint="eastAsia" w:ascii="宋体" w:hAnsi="宋体" w:cs="宋体"/>
          <w:b/>
          <w:bCs/>
          <w:color w:val="auto"/>
          <w:szCs w:val="21"/>
        </w:rPr>
        <w:t>质疑供应商若对项目的某一分包进行质疑，质疑函中应列明具体包组号。</w:t>
      </w:r>
    </w:p>
    <w:p>
      <w:pPr>
        <w:widowControl/>
        <w:numPr>
          <w:ilvl w:val="0"/>
          <w:numId w:val="43"/>
        </w:numPr>
        <w:adjustRightInd w:val="0"/>
        <w:snapToGrid w:val="0"/>
        <w:spacing w:line="360" w:lineRule="auto"/>
        <w:jc w:val="left"/>
        <w:rPr>
          <w:rFonts w:ascii="宋体" w:hAnsi="宋体" w:cs="宋体"/>
          <w:color w:val="auto"/>
          <w:szCs w:val="21"/>
        </w:rPr>
      </w:pPr>
      <w:r>
        <w:rPr>
          <w:rFonts w:hint="eastAsia" w:ascii="宋体" w:hAnsi="宋体" w:cs="宋体"/>
          <w:color w:val="auto"/>
          <w:szCs w:val="21"/>
        </w:rPr>
        <w:t>质疑函的质疑事项应具体、明确，并有必要的事实依据和法律依据。</w:t>
      </w:r>
    </w:p>
    <w:p>
      <w:pPr>
        <w:widowControl/>
        <w:numPr>
          <w:ilvl w:val="0"/>
          <w:numId w:val="43"/>
        </w:numPr>
        <w:adjustRightInd w:val="0"/>
        <w:snapToGrid w:val="0"/>
        <w:spacing w:line="360" w:lineRule="auto"/>
        <w:jc w:val="left"/>
        <w:rPr>
          <w:rFonts w:ascii="宋体" w:hAnsi="宋体" w:cs="宋体"/>
          <w:color w:val="auto"/>
          <w:szCs w:val="21"/>
        </w:rPr>
      </w:pPr>
      <w:r>
        <w:rPr>
          <w:rFonts w:hint="eastAsia" w:ascii="宋体" w:hAnsi="宋体" w:cs="宋体"/>
          <w:color w:val="auto"/>
          <w:szCs w:val="21"/>
        </w:rPr>
        <w:t>质疑函的质疑请求应与质疑事项相关。</w:t>
      </w:r>
    </w:p>
    <w:p>
      <w:pPr>
        <w:widowControl/>
        <w:numPr>
          <w:ilvl w:val="0"/>
          <w:numId w:val="43"/>
        </w:numPr>
        <w:adjustRightInd w:val="0"/>
        <w:snapToGrid w:val="0"/>
        <w:spacing w:line="360" w:lineRule="auto"/>
        <w:jc w:val="left"/>
        <w:rPr>
          <w:rFonts w:ascii="宋体" w:hAnsi="宋体" w:cs="宋体"/>
          <w:color w:val="auto"/>
          <w:szCs w:val="21"/>
        </w:rPr>
      </w:pPr>
      <w:r>
        <w:rPr>
          <w:rFonts w:hint="eastAsia" w:ascii="宋体" w:hAnsi="宋体" w:cs="宋体"/>
          <w:color w:val="auto"/>
          <w:szCs w:val="21"/>
        </w:rPr>
        <w:t>质疑供应商为自然人的，质疑函应由本人签字；质疑供应商为法人或者其他组织的，质疑函应由法定代表人、主要负责人，或者其授权代表签字或者盖章，并加盖公章。</w:t>
      </w:r>
    </w:p>
    <w:p>
      <w:pPr>
        <w:rPr>
          <w:color w:val="auto"/>
        </w:rPr>
      </w:pPr>
    </w:p>
    <w:p>
      <w:pPr>
        <w:tabs>
          <w:tab w:val="left" w:pos="425"/>
        </w:tabs>
        <w:autoSpaceDE w:val="0"/>
        <w:autoSpaceDN w:val="0"/>
        <w:adjustRightInd w:val="0"/>
        <w:snapToGrid w:val="0"/>
        <w:spacing w:line="360" w:lineRule="auto"/>
        <w:ind w:left="420"/>
        <w:outlineLvl w:val="2"/>
        <w:rPr>
          <w:rFonts w:asciiTheme="majorEastAsia" w:hAnsiTheme="majorEastAsia" w:eastAsiaTheme="majorEastAsia" w:cstheme="majorEastAsia"/>
          <w:color w:val="auto"/>
          <w:szCs w:val="21"/>
        </w:rPr>
      </w:pPr>
    </w:p>
    <w:p>
      <w:pPr>
        <w:rPr>
          <w:color w:val="auto"/>
        </w:rPr>
      </w:pPr>
    </w:p>
    <w:sectPr>
      <w:pgSz w:w="11907" w:h="16840"/>
      <w:pgMar w:top="1440" w:right="1080" w:bottom="1440" w:left="1080" w:header="720" w:footer="720"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swiss"/>
    <w:pitch w:val="default"/>
    <w:sig w:usb0="00000000" w:usb1="00000000" w:usb2="0000003F" w:usb3="00000000" w:csb0="003F01FF" w:csb1="00000000"/>
  </w:font>
  <w:font w:name="ˎ̥">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39"/>
      </w:rPr>
    </w:pPr>
    <w:r>
      <w:fldChar w:fldCharType="begin"/>
    </w:r>
    <w:r>
      <w:rPr>
        <w:rStyle w:val="39"/>
      </w:rPr>
      <w:instrText xml:space="preserve">PAGE  </w:instrText>
    </w:r>
    <w:r>
      <w:fldChar w:fldCharType="separate"/>
    </w:r>
    <w:r>
      <w:rPr>
        <w:rStyle w:val="39"/>
      </w:rPr>
      <w:t>2</w:t>
    </w:r>
    <w:r>
      <w:fldChar w:fldCharType="end"/>
    </w:r>
  </w:p>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rPr>
        <w:rFonts w:ascii="宋体" w:hAnsi="宋体"/>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743585" cy="147955"/>
              <wp:effectExtent l="0" t="0" r="0" b="0"/>
              <wp:wrapNone/>
              <wp:docPr id="4" name="文本框 4"/>
              <wp:cNvGraphicFramePr/>
              <a:graphic xmlns:a="http://schemas.openxmlformats.org/drawingml/2006/main">
                <a:graphicData uri="http://schemas.microsoft.com/office/word/2010/wordprocessingShape">
                  <wps:wsp>
                    <wps:cNvSpPr txBox="1"/>
                    <wps:spPr>
                      <a:xfrm>
                        <a:off x="0" y="0"/>
                        <a:ext cx="743585" cy="147955"/>
                      </a:xfrm>
                      <a:prstGeom prst="rect">
                        <a:avLst/>
                      </a:prstGeom>
                      <a:noFill/>
                      <a:ln w="6350">
                        <a:noFill/>
                      </a:ln>
                      <a:effectLst/>
                    </wps:spPr>
                    <wps:txbx>
                      <w:txbxContent>
                        <w:p>
                          <w:pPr>
                            <w:pStyle w:val="26"/>
                            <w:jc w:val="center"/>
                          </w:pPr>
                          <w:r>
                            <w:rPr>
                              <w:rFonts w:hint="eastAsia" w:ascii="宋体" w:hAnsi="宋体"/>
                            </w:rPr>
                            <w:t>第</w:t>
                          </w:r>
                          <w:r>
                            <w:rPr>
                              <w:rFonts w:ascii="宋体" w:hAnsi="宋体"/>
                            </w:rPr>
                            <w:fldChar w:fldCharType="begin"/>
                          </w:r>
                          <w:r>
                            <w:rPr>
                              <w:rStyle w:val="39"/>
                              <w:rFonts w:ascii="宋体" w:hAnsi="宋体"/>
                            </w:rPr>
                            <w:instrText xml:space="preserve"> PAGE </w:instrText>
                          </w:r>
                          <w:r>
                            <w:rPr>
                              <w:rFonts w:ascii="宋体" w:hAnsi="宋体"/>
                            </w:rPr>
                            <w:fldChar w:fldCharType="separate"/>
                          </w:r>
                          <w:r>
                            <w:rPr>
                              <w:rStyle w:val="39"/>
                              <w:rFonts w:ascii="宋体" w:hAnsi="宋体"/>
                            </w:rPr>
                            <w:t>45</w:t>
                          </w:r>
                          <w:r>
                            <w:rPr>
                              <w:rFonts w:ascii="宋体" w:hAnsi="宋体"/>
                            </w:rPr>
                            <w:fldChar w:fldCharType="end"/>
                          </w:r>
                          <w:r>
                            <w:rPr>
                              <w:rStyle w:val="39"/>
                              <w:rFonts w:hint="eastAsia" w:ascii="宋体" w:hAnsi="宋体"/>
                            </w:rPr>
                            <w:t>页，共</w:t>
                          </w:r>
                          <w:r>
                            <w:rPr>
                              <w:rFonts w:ascii="宋体" w:hAnsi="宋体"/>
                            </w:rPr>
                            <w:fldChar w:fldCharType="begin"/>
                          </w:r>
                          <w:r>
                            <w:rPr>
                              <w:rStyle w:val="39"/>
                              <w:rFonts w:ascii="宋体" w:hAnsi="宋体"/>
                            </w:rPr>
                            <w:instrText xml:space="preserve"> NUMPAGES </w:instrText>
                          </w:r>
                          <w:r>
                            <w:rPr>
                              <w:rFonts w:ascii="宋体" w:hAnsi="宋体"/>
                            </w:rPr>
                            <w:fldChar w:fldCharType="separate"/>
                          </w:r>
                          <w:r>
                            <w:rPr>
                              <w:rStyle w:val="39"/>
                              <w:rFonts w:ascii="宋体" w:hAnsi="宋体"/>
                            </w:rPr>
                            <w:t>72</w:t>
                          </w:r>
                          <w:r>
                            <w:rPr>
                              <w:rFonts w:ascii="宋体" w:hAnsi="宋体"/>
                            </w:rPr>
                            <w:fldChar w:fldCharType="end"/>
                          </w:r>
                          <w:r>
                            <w:rPr>
                              <w:rStyle w:val="39"/>
                              <w:rFonts w:hint="eastAsia" w:ascii="宋体" w:hAnsi="宋体"/>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58.55pt;mso-position-horizontal:center;mso-position-horizontal-relative:margin;mso-wrap-style:none;z-index:251658240;mso-width-relative:page;mso-height-relative:page;" filled="f" stroked="f" coordsize="21600,21600" o:gfxdata="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5VNIyNIAAAAEAQAADwAA&#10;AAAAAAABACAAAAAiAAAAZHJzL2Rvd25yZXYueG1sUEsBAhQAFAAAAAgAh07iQJ2/ROQcAgAAEwQA&#10;AA4AAAAAAAAAAQAgAAAAIQEAAGRycy9lMm9Eb2MueG1sUEsFBgAAAAAGAAYAWQEAAK8FAAAAAA==&#10;">
              <v:fill on="f" focussize="0,0"/>
              <v:stroke on="f" weight="0.5pt"/>
              <v:imagedata o:title=""/>
              <o:lock v:ext="edit" aspectratio="f"/>
              <v:textbox inset="0mm,0mm,0mm,0mm" style="mso-fit-shape-to-text:t;">
                <w:txbxContent>
                  <w:p>
                    <w:pPr>
                      <w:pStyle w:val="26"/>
                      <w:jc w:val="center"/>
                    </w:pPr>
                    <w:r>
                      <w:rPr>
                        <w:rFonts w:hint="eastAsia" w:ascii="宋体" w:hAnsi="宋体"/>
                      </w:rPr>
                      <w:t>第</w:t>
                    </w:r>
                    <w:r>
                      <w:rPr>
                        <w:rFonts w:ascii="宋体" w:hAnsi="宋体"/>
                      </w:rPr>
                      <w:fldChar w:fldCharType="begin"/>
                    </w:r>
                    <w:r>
                      <w:rPr>
                        <w:rStyle w:val="39"/>
                        <w:rFonts w:ascii="宋体" w:hAnsi="宋体"/>
                      </w:rPr>
                      <w:instrText xml:space="preserve"> PAGE </w:instrText>
                    </w:r>
                    <w:r>
                      <w:rPr>
                        <w:rFonts w:ascii="宋体" w:hAnsi="宋体"/>
                      </w:rPr>
                      <w:fldChar w:fldCharType="separate"/>
                    </w:r>
                    <w:r>
                      <w:rPr>
                        <w:rStyle w:val="39"/>
                        <w:rFonts w:ascii="宋体" w:hAnsi="宋体"/>
                      </w:rPr>
                      <w:t>45</w:t>
                    </w:r>
                    <w:r>
                      <w:rPr>
                        <w:rFonts w:ascii="宋体" w:hAnsi="宋体"/>
                      </w:rPr>
                      <w:fldChar w:fldCharType="end"/>
                    </w:r>
                    <w:r>
                      <w:rPr>
                        <w:rStyle w:val="39"/>
                        <w:rFonts w:hint="eastAsia" w:ascii="宋体" w:hAnsi="宋体"/>
                      </w:rPr>
                      <w:t>页，共</w:t>
                    </w:r>
                    <w:r>
                      <w:rPr>
                        <w:rFonts w:ascii="宋体" w:hAnsi="宋体"/>
                      </w:rPr>
                      <w:fldChar w:fldCharType="begin"/>
                    </w:r>
                    <w:r>
                      <w:rPr>
                        <w:rStyle w:val="39"/>
                        <w:rFonts w:ascii="宋体" w:hAnsi="宋体"/>
                      </w:rPr>
                      <w:instrText xml:space="preserve"> NUMPAGES </w:instrText>
                    </w:r>
                    <w:r>
                      <w:rPr>
                        <w:rFonts w:ascii="宋体" w:hAnsi="宋体"/>
                      </w:rPr>
                      <w:fldChar w:fldCharType="separate"/>
                    </w:r>
                    <w:r>
                      <w:rPr>
                        <w:rStyle w:val="39"/>
                        <w:rFonts w:ascii="宋体" w:hAnsi="宋体"/>
                      </w:rPr>
                      <w:t>72</w:t>
                    </w:r>
                    <w:r>
                      <w:rPr>
                        <w:rFonts w:ascii="宋体" w:hAnsi="宋体"/>
                      </w:rPr>
                      <w:fldChar w:fldCharType="end"/>
                    </w:r>
                    <w:r>
                      <w:rPr>
                        <w:rStyle w:val="39"/>
                        <w:rFonts w:hint="eastAsia" w:ascii="宋体" w:hAnsi="宋体"/>
                      </w:rPr>
                      <w:t>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rFonts w:hint="eastAsia"/>
      </w:rPr>
      <w:t>第</w:t>
    </w:r>
    <w:r>
      <w:fldChar w:fldCharType="begin"/>
    </w:r>
    <w:r>
      <w:rPr>
        <w:rStyle w:val="39"/>
      </w:rPr>
      <w:instrText xml:space="preserve"> PAGE </w:instrText>
    </w:r>
    <w:r>
      <w:fldChar w:fldCharType="separate"/>
    </w:r>
    <w:r>
      <w:rPr>
        <w:rStyle w:val="39"/>
      </w:rPr>
      <w:t>622334294</w:t>
    </w:r>
    <w:r>
      <w:fldChar w:fldCharType="end"/>
    </w:r>
    <w:r>
      <w:rPr>
        <w:rStyle w:val="39"/>
        <w:rFonts w:hint="eastAsia"/>
      </w:rPr>
      <w:t>页，共</w:t>
    </w:r>
    <w:r>
      <w:fldChar w:fldCharType="begin"/>
    </w:r>
    <w:r>
      <w:rPr>
        <w:rStyle w:val="39"/>
      </w:rPr>
      <w:instrText xml:space="preserve"> NUMPAGES </w:instrText>
    </w:r>
    <w:r>
      <w:fldChar w:fldCharType="separate"/>
    </w:r>
    <w:r>
      <w:rPr>
        <w:rStyle w:val="39"/>
      </w:rPr>
      <w:t>80</w:t>
    </w:r>
    <w:r>
      <w:fldChar w:fldCharType="end"/>
    </w:r>
    <w:r>
      <w:rPr>
        <w:rStyle w:val="39"/>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jc w:val="both"/>
      <w:rPr>
        <w:rFonts w:ascii="楷体_GB2312" w:eastAsia="楷体_GB23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rPr>
        <w:rFonts w:ascii="宋体" w:hAnsi="宋体"/>
      </w:rPr>
    </w:pPr>
    <w:r>
      <w:rPr>
        <w:rFonts w:ascii="华文中宋" w:hAnsi="华文中宋" w:eastAsia="华文中宋"/>
        <w:b/>
        <w:sz w:val="72"/>
      </w:rPr>
      <w:drawing>
        <wp:inline distT="0" distB="0" distL="0" distR="0">
          <wp:extent cx="810895" cy="327660"/>
          <wp:effectExtent l="19050" t="0" r="8255" b="0"/>
          <wp:docPr id="2" name="图片 2" descr="15288957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28895719(1)"/>
                  <pic:cNvPicPr>
                    <a:picLocks noChangeAspect="1" noChangeArrowheads="1"/>
                  </pic:cNvPicPr>
                </pic:nvPicPr>
                <pic:blipFill>
                  <a:blip r:embed="rId1"/>
                  <a:srcRect/>
                  <a:stretch>
                    <a:fillRect/>
                  </a:stretch>
                </pic:blipFill>
                <pic:spPr>
                  <a:xfrm>
                    <a:off x="0" y="0"/>
                    <a:ext cx="810895" cy="327660"/>
                  </a:xfrm>
                  <a:prstGeom prst="rect">
                    <a:avLst/>
                  </a:prstGeom>
                  <a:noFill/>
                  <a:ln w="9525">
                    <a:noFill/>
                    <a:miter lim="800000"/>
                    <a:headEnd/>
                    <a:tailEnd/>
                  </a:ln>
                </pic:spPr>
              </pic:pic>
            </a:graphicData>
          </a:graphic>
        </wp:inline>
      </w:drawing>
    </w:r>
    <w:r>
      <w:rPr>
        <w:rFonts w:hint="eastAsia" w:ascii="宋体" w:hAnsi="宋体"/>
      </w:rPr>
      <w:t xml:space="preserve">︱公平︱公正︱诚实︱守信︱                                  </w:t>
    </w:r>
    <w:r>
      <w:rPr>
        <w:rFonts w:hint="eastAsia" w:ascii="宋体"/>
        <w:bCs/>
        <w:szCs w:val="20"/>
      </w:rPr>
      <w:t>项目编号：GZGX21GZ00QY-45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439CAE"/>
    <w:multiLevelType w:val="singleLevel"/>
    <w:tmpl w:val="C8439CAE"/>
    <w:lvl w:ilvl="0" w:tentative="0">
      <w:start w:val="1"/>
      <w:numFmt w:val="chineseCounting"/>
      <w:suff w:val="nothing"/>
      <w:lvlText w:val="%1、"/>
      <w:lvlJc w:val="left"/>
      <w:pPr>
        <w:ind w:left="0" w:firstLine="420"/>
      </w:pPr>
      <w:rPr>
        <w:rFonts w:hint="eastAsia"/>
        <w:b/>
      </w:rPr>
    </w:lvl>
  </w:abstractNum>
  <w:abstractNum w:abstractNumId="1">
    <w:nsid w:val="D6ADB423"/>
    <w:multiLevelType w:val="singleLevel"/>
    <w:tmpl w:val="D6ADB423"/>
    <w:lvl w:ilvl="0" w:tentative="0">
      <w:start w:val="1"/>
      <w:numFmt w:val="decimal"/>
      <w:lvlText w:val="%1."/>
      <w:lvlJc w:val="left"/>
      <w:pPr>
        <w:tabs>
          <w:tab w:val="left" w:pos="312"/>
        </w:tabs>
      </w:pPr>
    </w:lvl>
  </w:abstractNum>
  <w:abstractNum w:abstractNumId="2">
    <w:nsid w:val="DBCFC65F"/>
    <w:multiLevelType w:val="singleLevel"/>
    <w:tmpl w:val="DBCFC65F"/>
    <w:lvl w:ilvl="0" w:tentative="0">
      <w:start w:val="1"/>
      <w:numFmt w:val="decimal"/>
      <w:lvlText w:val="%1."/>
      <w:lvlJc w:val="left"/>
      <w:pPr>
        <w:ind w:left="425" w:hanging="425"/>
      </w:pPr>
      <w:rPr>
        <w:rFonts w:hint="default"/>
      </w:rPr>
    </w:lvl>
  </w:abstractNum>
  <w:abstractNum w:abstractNumId="3">
    <w:nsid w:val="EED206A1"/>
    <w:multiLevelType w:val="singleLevel"/>
    <w:tmpl w:val="EED206A1"/>
    <w:lvl w:ilvl="0" w:tentative="0">
      <w:start w:val="1"/>
      <w:numFmt w:val="decimal"/>
      <w:lvlText w:val="%1."/>
      <w:lvlJc w:val="left"/>
      <w:pPr>
        <w:ind w:left="425" w:hanging="425"/>
      </w:pPr>
      <w:rPr>
        <w:rFonts w:hint="default"/>
      </w:rPr>
    </w:lvl>
  </w:abstractNum>
  <w:abstractNum w:abstractNumId="4">
    <w:nsid w:val="00000012"/>
    <w:multiLevelType w:val="multilevel"/>
    <w:tmpl w:val="00000012"/>
    <w:lvl w:ilvl="0" w:tentative="0">
      <w:start w:val="1"/>
      <w:numFmt w:val="japaneseCounting"/>
      <w:lvlText w:val="%1、"/>
      <w:lvlJc w:val="left"/>
      <w:pPr>
        <w:ind w:left="360" w:hanging="360"/>
      </w:pPr>
      <w:rPr>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1041D8A"/>
    <w:multiLevelType w:val="multilevel"/>
    <w:tmpl w:val="01041D8A"/>
    <w:lvl w:ilvl="0" w:tentative="0">
      <w:start w:val="1"/>
      <w:numFmt w:val="decimal"/>
      <w:lvlText w:val="%1."/>
      <w:lvlJc w:val="left"/>
      <w:pPr>
        <w:ind w:left="425" w:hanging="425"/>
      </w:pPr>
      <w:rPr>
        <w:rFonts w:ascii="宋体" w:hAnsi="宋体" w:eastAsia="宋体"/>
      </w:rPr>
    </w:lvl>
    <w:lvl w:ilvl="1" w:tentative="0">
      <w:start w:val="1"/>
      <w:numFmt w:val="decimal"/>
      <w:lvlText w:val="%1.%2."/>
      <w:lvlJc w:val="left"/>
      <w:pPr>
        <w:ind w:left="567" w:hanging="567"/>
      </w:pPr>
      <w:rPr>
        <w:rFonts w:ascii="宋体" w:hAnsi="宋体" w:eastAsia="宋体"/>
        <w:b w:val="0"/>
        <w:color w:val="auto"/>
      </w:rPr>
    </w:lvl>
    <w:lvl w:ilvl="2" w:tentative="0">
      <w:start w:val="1"/>
      <w:numFmt w:val="decimal"/>
      <w:lvlText w:val="%1.%2.%3."/>
      <w:lvlJc w:val="left"/>
      <w:pPr>
        <w:ind w:left="709" w:hanging="709"/>
      </w:pPr>
      <w:rPr>
        <w:b w:val="0"/>
      </w:rPr>
    </w:lvl>
    <w:lvl w:ilvl="3" w:tentative="0">
      <w:start w:val="1"/>
      <w:numFmt w:val="decimal"/>
      <w:lvlText w:val="%1.%2.%3.%4."/>
      <w:lvlJc w:val="left"/>
      <w:pPr>
        <w:ind w:left="851" w:hanging="851"/>
      </w:pPr>
      <w:rPr>
        <w:strike w:val="0"/>
      </w:r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6">
    <w:nsid w:val="06466C15"/>
    <w:multiLevelType w:val="multilevel"/>
    <w:tmpl w:val="06466C15"/>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7">
    <w:nsid w:val="097861B0"/>
    <w:multiLevelType w:val="multilevel"/>
    <w:tmpl w:val="097861B0"/>
    <w:lvl w:ilvl="0" w:tentative="0">
      <w:start w:val="1"/>
      <w:numFmt w:val="chineseCountingThousand"/>
      <w:lvlText w:val="%1、"/>
      <w:lvlJc w:val="left"/>
      <w:pPr>
        <w:ind w:left="420" w:hanging="420"/>
      </w:pPr>
      <w:rPr>
        <w:b/>
        <w:sz w:val="24"/>
      </w:rPr>
    </w:lvl>
    <w:lvl w:ilvl="1" w:tentative="0">
      <w:start w:val="1"/>
      <w:numFmt w:val="japaneseCounting"/>
      <w:lvlText w:val="(%2)"/>
      <w:lvlJc w:val="left"/>
      <w:pPr>
        <w:ind w:left="840" w:hanging="420"/>
      </w:pPr>
      <w:rPr>
        <w:rFonts w:hint="default"/>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C60782B"/>
    <w:multiLevelType w:val="singleLevel"/>
    <w:tmpl w:val="0C60782B"/>
    <w:lvl w:ilvl="0" w:tentative="0">
      <w:start w:val="1"/>
      <w:numFmt w:val="chineseCounting"/>
      <w:suff w:val="nothing"/>
      <w:lvlText w:val="（%1）"/>
      <w:lvlJc w:val="left"/>
      <w:pPr>
        <w:ind w:left="0" w:firstLine="420"/>
      </w:pPr>
      <w:rPr>
        <w:rFonts w:hint="eastAsia"/>
      </w:rPr>
    </w:lvl>
  </w:abstractNum>
  <w:abstractNum w:abstractNumId="9">
    <w:nsid w:val="0CB81315"/>
    <w:multiLevelType w:val="multilevel"/>
    <w:tmpl w:val="0CB81315"/>
    <w:lvl w:ilvl="0" w:tentative="0">
      <w:start w:val="1"/>
      <w:numFmt w:val="decimal"/>
      <w:lvlText w:val="%1."/>
      <w:lvlJc w:val="center"/>
      <w:pPr>
        <w:ind w:left="42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3C34E09"/>
    <w:multiLevelType w:val="multilevel"/>
    <w:tmpl w:val="13C34E09"/>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18785C86"/>
    <w:multiLevelType w:val="multilevel"/>
    <w:tmpl w:val="18785C86"/>
    <w:lvl w:ilvl="0" w:tentative="0">
      <w:start w:val="1"/>
      <w:numFmt w:val="decimal"/>
      <w:lvlText w:val="%1)"/>
      <w:lvlJc w:val="left"/>
      <w:pPr>
        <w:ind w:left="420" w:hanging="420"/>
      </w:pPr>
      <w:rPr>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93C42F8"/>
    <w:multiLevelType w:val="multilevel"/>
    <w:tmpl w:val="193C42F8"/>
    <w:lvl w:ilvl="0" w:tentative="0">
      <w:start w:val="1"/>
      <w:numFmt w:val="decimal"/>
      <w:lvlText w:val="%1）"/>
      <w:lvlJc w:val="left"/>
      <w:pPr>
        <w:ind w:left="1438" w:hanging="360"/>
      </w:pPr>
      <w:rPr>
        <w:rFonts w:hint="default"/>
      </w:rPr>
    </w:lvl>
    <w:lvl w:ilvl="1" w:tentative="0">
      <w:start w:val="1"/>
      <w:numFmt w:val="lowerLetter"/>
      <w:lvlText w:val="%2)"/>
      <w:lvlJc w:val="left"/>
      <w:pPr>
        <w:ind w:left="1918" w:hanging="420"/>
      </w:pPr>
    </w:lvl>
    <w:lvl w:ilvl="2" w:tentative="0">
      <w:start w:val="1"/>
      <w:numFmt w:val="lowerRoman"/>
      <w:lvlText w:val="%3."/>
      <w:lvlJc w:val="right"/>
      <w:pPr>
        <w:ind w:left="2338" w:hanging="420"/>
      </w:pPr>
    </w:lvl>
    <w:lvl w:ilvl="3" w:tentative="0">
      <w:start w:val="1"/>
      <w:numFmt w:val="decimal"/>
      <w:lvlText w:val="%4."/>
      <w:lvlJc w:val="left"/>
      <w:pPr>
        <w:ind w:left="2758" w:hanging="420"/>
      </w:pPr>
    </w:lvl>
    <w:lvl w:ilvl="4" w:tentative="0">
      <w:start w:val="1"/>
      <w:numFmt w:val="lowerLetter"/>
      <w:lvlText w:val="%5)"/>
      <w:lvlJc w:val="left"/>
      <w:pPr>
        <w:ind w:left="3178" w:hanging="420"/>
      </w:pPr>
    </w:lvl>
    <w:lvl w:ilvl="5" w:tentative="0">
      <w:start w:val="1"/>
      <w:numFmt w:val="lowerRoman"/>
      <w:lvlText w:val="%6."/>
      <w:lvlJc w:val="right"/>
      <w:pPr>
        <w:ind w:left="3598" w:hanging="420"/>
      </w:pPr>
    </w:lvl>
    <w:lvl w:ilvl="6" w:tentative="0">
      <w:start w:val="1"/>
      <w:numFmt w:val="decimal"/>
      <w:lvlText w:val="%7."/>
      <w:lvlJc w:val="left"/>
      <w:pPr>
        <w:ind w:left="4018" w:hanging="420"/>
      </w:pPr>
    </w:lvl>
    <w:lvl w:ilvl="7" w:tentative="0">
      <w:start w:val="1"/>
      <w:numFmt w:val="lowerLetter"/>
      <w:lvlText w:val="%8)"/>
      <w:lvlJc w:val="left"/>
      <w:pPr>
        <w:ind w:left="4438" w:hanging="420"/>
      </w:pPr>
    </w:lvl>
    <w:lvl w:ilvl="8" w:tentative="0">
      <w:start w:val="1"/>
      <w:numFmt w:val="lowerRoman"/>
      <w:lvlText w:val="%9."/>
      <w:lvlJc w:val="right"/>
      <w:pPr>
        <w:ind w:left="4858" w:hanging="420"/>
      </w:pPr>
    </w:lvl>
  </w:abstractNum>
  <w:abstractNum w:abstractNumId="13">
    <w:nsid w:val="1F677B7A"/>
    <w:multiLevelType w:val="multilevel"/>
    <w:tmpl w:val="1F677B7A"/>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22D6ECA1"/>
    <w:multiLevelType w:val="singleLevel"/>
    <w:tmpl w:val="22D6ECA1"/>
    <w:lvl w:ilvl="0" w:tentative="0">
      <w:start w:val="1"/>
      <w:numFmt w:val="decimal"/>
      <w:lvlText w:val="%1."/>
      <w:lvlJc w:val="left"/>
      <w:pPr>
        <w:ind w:left="425" w:hanging="425"/>
      </w:pPr>
      <w:rPr>
        <w:rFonts w:hint="default"/>
      </w:rPr>
    </w:lvl>
  </w:abstractNum>
  <w:abstractNum w:abstractNumId="15">
    <w:nsid w:val="23122E8F"/>
    <w:multiLevelType w:val="multilevel"/>
    <w:tmpl w:val="23122E8F"/>
    <w:lvl w:ilvl="0" w:tentative="0">
      <w:start w:val="1"/>
      <w:numFmt w:val="chineseCountingThousand"/>
      <w:lvlText w:val="(%1)"/>
      <w:lvlJc w:val="left"/>
      <w:pPr>
        <w:ind w:left="420" w:hanging="420"/>
      </w:pPr>
    </w:lvl>
    <w:lvl w:ilvl="1" w:tentative="0">
      <w:start w:val="1"/>
      <w:numFmt w:val="chineseCountingThousand"/>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24212C01"/>
    <w:multiLevelType w:val="multilevel"/>
    <w:tmpl w:val="24212C01"/>
    <w:lvl w:ilvl="0" w:tentative="0">
      <w:start w:val="1"/>
      <w:numFmt w:val="chineseCountingThousand"/>
      <w:lvlText w:val="%1、"/>
      <w:lvlJc w:val="left"/>
      <w:pPr>
        <w:tabs>
          <w:tab w:val="left" w:pos="420"/>
        </w:tabs>
        <w:ind w:left="420" w:hanging="420"/>
      </w:pPr>
      <w:rPr>
        <w:rFonts w:hint="eastAsia"/>
      </w:rPr>
    </w:lvl>
    <w:lvl w:ilvl="1" w:tentative="0">
      <w:start w:val="1"/>
      <w:numFmt w:val="decimal"/>
      <w:lvlText w:val="%2."/>
      <w:lvlJc w:val="left"/>
      <w:pPr>
        <w:tabs>
          <w:tab w:val="left" w:pos="840"/>
        </w:tabs>
        <w:ind w:left="840" w:hanging="420"/>
      </w:pPr>
      <w:rPr>
        <w:rFonts w:hint="eastAsia" w:ascii="宋体" w:hAnsi="宋体" w:eastAsia="宋体"/>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2D23426E"/>
    <w:multiLevelType w:val="multilevel"/>
    <w:tmpl w:val="2D23426E"/>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decimal"/>
      <w:lvlText w:val="%2、"/>
      <w:lvlJc w:val="left"/>
      <w:pPr>
        <w:ind w:left="556" w:hanging="420"/>
      </w:pPr>
      <w:rPr>
        <w:rFonts w:hint="eastAsia"/>
      </w:r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18">
    <w:nsid w:val="2F0E7B2B"/>
    <w:multiLevelType w:val="multilevel"/>
    <w:tmpl w:val="2F0E7B2B"/>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9">
    <w:nsid w:val="374B7DC5"/>
    <w:multiLevelType w:val="multilevel"/>
    <w:tmpl w:val="374B7DC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3BE043AB"/>
    <w:multiLevelType w:val="multilevel"/>
    <w:tmpl w:val="3BE043AB"/>
    <w:lvl w:ilvl="0" w:tentative="0">
      <w:start w:val="1"/>
      <w:numFmt w:val="decimal"/>
      <w:lvlText w:val="%1."/>
      <w:lvlJc w:val="left"/>
      <w:pPr>
        <w:ind w:left="425" w:hanging="425"/>
      </w:pPr>
      <w:rPr>
        <w:rFonts w:hint="eastAsia" w:ascii="宋体" w:hAnsi="宋体" w:eastAsia="宋体"/>
        <w:color w:val="auto"/>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1">
    <w:nsid w:val="3D760BE7"/>
    <w:multiLevelType w:val="multilevel"/>
    <w:tmpl w:val="3D760BE7"/>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437F1085"/>
    <w:multiLevelType w:val="multilevel"/>
    <w:tmpl w:val="437F1085"/>
    <w:lvl w:ilvl="0" w:tentative="0">
      <w:start w:val="1"/>
      <w:numFmt w:val="chineseCountingThousand"/>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23">
    <w:nsid w:val="47D32220"/>
    <w:multiLevelType w:val="multilevel"/>
    <w:tmpl w:val="47D32220"/>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4">
    <w:nsid w:val="47DD2253"/>
    <w:multiLevelType w:val="multilevel"/>
    <w:tmpl w:val="47DD2253"/>
    <w:lvl w:ilvl="0" w:tentative="0">
      <w:start w:val="1"/>
      <w:numFmt w:val="decimal"/>
      <w:lvlText w:val="%1."/>
      <w:lvlJc w:val="left"/>
      <w:pPr>
        <w:ind w:left="425" w:hanging="425"/>
      </w:pPr>
    </w:lvl>
    <w:lvl w:ilvl="1" w:tentative="0">
      <w:start w:val="1"/>
      <w:numFmt w:val="decimal"/>
      <w:lvlText w:val="%1.%2."/>
      <w:lvlJc w:val="left"/>
      <w:pPr>
        <w:ind w:left="567" w:hanging="567"/>
      </w:pPr>
      <w:rPr>
        <w:color w:val="auto"/>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5">
    <w:nsid w:val="488C5597"/>
    <w:multiLevelType w:val="multilevel"/>
    <w:tmpl w:val="488C5597"/>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4BDA1C36"/>
    <w:multiLevelType w:val="multilevel"/>
    <w:tmpl w:val="4BDA1C36"/>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4D3B24F7"/>
    <w:multiLevelType w:val="multilevel"/>
    <w:tmpl w:val="4D3B24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53DF6434"/>
    <w:multiLevelType w:val="multilevel"/>
    <w:tmpl w:val="53DF6434"/>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59AE446A"/>
    <w:multiLevelType w:val="multilevel"/>
    <w:tmpl w:val="59AE446A"/>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30">
    <w:nsid w:val="59EC7344"/>
    <w:multiLevelType w:val="multilevel"/>
    <w:tmpl w:val="59EC7344"/>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decimal"/>
      <w:lvlText w:val="%2、"/>
      <w:lvlJc w:val="left"/>
      <w:pPr>
        <w:ind w:left="556" w:hanging="420"/>
      </w:pPr>
      <w:rPr>
        <w:rFonts w:hint="eastAsia" w:ascii="宋体" w:hAnsi="宋体" w:eastAsia="宋体"/>
      </w:r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31">
    <w:nsid w:val="5B9A6BA0"/>
    <w:multiLevelType w:val="multilevel"/>
    <w:tmpl w:val="5B9A6BA0"/>
    <w:lvl w:ilvl="0" w:tentative="0">
      <w:start w:val="1"/>
      <w:numFmt w:val="decimal"/>
      <w:lvlText w:val="%1．"/>
      <w:lvlJc w:val="left"/>
      <w:pPr>
        <w:tabs>
          <w:tab w:val="left" w:pos="360"/>
        </w:tabs>
        <w:ind w:left="360" w:hanging="360"/>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2">
    <w:nsid w:val="5DE61E17"/>
    <w:multiLevelType w:val="multilevel"/>
    <w:tmpl w:val="5DE61E17"/>
    <w:lvl w:ilvl="0" w:tentative="0">
      <w:start w:val="1"/>
      <w:numFmt w:val="decimal"/>
      <w:lvlText w:val="%1"/>
      <w:lvlJc w:val="left"/>
      <w:pPr>
        <w:tabs>
          <w:tab w:val="left" w:pos="425"/>
        </w:tabs>
        <w:ind w:left="425" w:hanging="425"/>
      </w:pPr>
      <w:rPr>
        <w:rFonts w:hint="eastAsia" w:ascii="宋体" w:hAnsi="宋体" w:eastAsia="宋体"/>
        <w:strike w:val="0"/>
      </w:rPr>
    </w:lvl>
    <w:lvl w:ilvl="1" w:tentative="0">
      <w:start w:val="1"/>
      <w:numFmt w:val="decimal"/>
      <w:lvlText w:val="%1.%2."/>
      <w:lvlJc w:val="left"/>
      <w:pPr>
        <w:tabs>
          <w:tab w:val="left" w:pos="567"/>
        </w:tabs>
        <w:ind w:left="567" w:hanging="567"/>
      </w:pPr>
      <w:rPr>
        <w:rFonts w:hint="eastAsia" w:ascii="宋体" w:hAnsi="宋体" w:eastAsia="宋体"/>
        <w:b w:val="0"/>
        <w:strike w:val="0"/>
        <w:dstrike w:val="0"/>
        <w:color w:val="auto"/>
        <w:sz w:val="21"/>
        <w:szCs w:val="21"/>
      </w:rPr>
    </w:lvl>
    <w:lvl w:ilvl="2" w:tentative="0">
      <w:start w:val="1"/>
      <w:numFmt w:val="decimal"/>
      <w:lvlText w:val="%1.%2.%3."/>
      <w:lvlJc w:val="left"/>
      <w:pPr>
        <w:tabs>
          <w:tab w:val="left" w:pos="567"/>
        </w:tabs>
        <w:ind w:left="567" w:hanging="567"/>
      </w:pPr>
      <w:rPr>
        <w:rFonts w:hint="eastAsia" w:ascii="宋体" w:hAnsi="宋体" w:eastAsia="宋体"/>
        <w:b w:val="0"/>
        <w:color w:val="auto"/>
        <w:sz w:val="21"/>
        <w:szCs w:val="21"/>
      </w:rPr>
    </w:lvl>
    <w:lvl w:ilvl="3" w:tentative="0">
      <w:start w:val="1"/>
      <w:numFmt w:val="decimal"/>
      <w:lvlText w:val="%1.%2.%3.%4."/>
      <w:lvlJc w:val="left"/>
      <w:pPr>
        <w:tabs>
          <w:tab w:val="left" w:pos="851"/>
        </w:tabs>
        <w:ind w:left="851" w:hanging="851"/>
      </w:pPr>
      <w:rPr>
        <w:rFonts w:hint="eastAsia" w:ascii="宋体" w:hAnsi="宋体" w:eastAsia="宋体"/>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3">
    <w:nsid w:val="616415CE"/>
    <w:multiLevelType w:val="multilevel"/>
    <w:tmpl w:val="616415CE"/>
    <w:lvl w:ilvl="0" w:tentative="0">
      <w:start w:val="1"/>
      <w:numFmt w:val="decimal"/>
      <w:lvlText w:val="%1."/>
      <w:lvlJc w:val="left"/>
      <w:pPr>
        <w:ind w:left="425" w:hanging="425"/>
      </w:pPr>
      <w:rPr>
        <w:rFonts w:ascii="宋体" w:hAnsi="宋体" w:eastAsia="宋体"/>
      </w:rPr>
    </w:lvl>
    <w:lvl w:ilvl="1" w:tentative="0">
      <w:start w:val="1"/>
      <w:numFmt w:val="decimal"/>
      <w:lvlText w:val="%1.%2."/>
      <w:lvlJc w:val="left"/>
      <w:pPr>
        <w:ind w:left="567" w:hanging="567"/>
      </w:pPr>
      <w:rPr>
        <w:rFonts w:ascii="宋体" w:hAnsi="宋体" w:eastAsia="宋体"/>
        <w:b w:val="0"/>
        <w:color w:val="auto"/>
      </w:rPr>
    </w:lvl>
    <w:lvl w:ilvl="2" w:tentative="0">
      <w:start w:val="1"/>
      <w:numFmt w:val="decimal"/>
      <w:lvlText w:val="%1.%2.%3."/>
      <w:lvlJc w:val="left"/>
      <w:pPr>
        <w:ind w:left="709" w:hanging="709"/>
      </w:pPr>
      <w:rPr>
        <w:b w:val="0"/>
      </w:rPr>
    </w:lvl>
    <w:lvl w:ilvl="3" w:tentative="0">
      <w:start w:val="1"/>
      <w:numFmt w:val="decimal"/>
      <w:lvlText w:val="%1.%2.%3.%4."/>
      <w:lvlJc w:val="left"/>
      <w:pPr>
        <w:ind w:left="851" w:hanging="851"/>
      </w:pPr>
      <w:rPr>
        <w:strike w:val="0"/>
      </w:r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4">
    <w:nsid w:val="6794BC5B"/>
    <w:multiLevelType w:val="multilevel"/>
    <w:tmpl w:val="6794BC5B"/>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35">
    <w:nsid w:val="6DB629AE"/>
    <w:multiLevelType w:val="multilevel"/>
    <w:tmpl w:val="6DB629AE"/>
    <w:lvl w:ilvl="0" w:tentative="0">
      <w:start w:val="1"/>
      <w:numFmt w:val="chineseCountingThousand"/>
      <w:lvlText w:val="%1、"/>
      <w:lvlJc w:val="left"/>
      <w:pPr>
        <w:ind w:left="833" w:hanging="420"/>
      </w:pPr>
    </w:lvl>
    <w:lvl w:ilvl="1" w:tentative="0">
      <w:start w:val="1"/>
      <w:numFmt w:val="decimal"/>
      <w:lvlText w:val="%2、"/>
      <w:lvlJc w:val="left"/>
      <w:pPr>
        <w:ind w:left="1253" w:hanging="420"/>
      </w:pPr>
      <w:rPr>
        <w:rFonts w:hint="eastAsia"/>
      </w:r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abstractNum w:abstractNumId="36">
    <w:nsid w:val="741759A0"/>
    <w:multiLevelType w:val="multilevel"/>
    <w:tmpl w:val="741759A0"/>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74F7702C"/>
    <w:multiLevelType w:val="multilevel"/>
    <w:tmpl w:val="74F7702C"/>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75A20859"/>
    <w:multiLevelType w:val="multilevel"/>
    <w:tmpl w:val="75A20859"/>
    <w:lvl w:ilvl="0" w:tentative="0">
      <w:start w:val="1"/>
      <w:numFmt w:val="decimal"/>
      <w:lvlText w:val="%1."/>
      <w:lvlJc w:val="left"/>
      <w:pPr>
        <w:ind w:left="425" w:hanging="425"/>
      </w:pPr>
      <w:rPr>
        <w:rFonts w:hint="eastAsia" w:asciiTheme="minorEastAsia" w:hAnsiTheme="minorEastAsia" w:eastAsiaTheme="minorEastAsia"/>
        <w:b/>
        <w:color w:val="auto"/>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9">
    <w:nsid w:val="76E03136"/>
    <w:multiLevelType w:val="multilevel"/>
    <w:tmpl w:val="76E03136"/>
    <w:lvl w:ilvl="0" w:tentative="0">
      <w:start w:val="1"/>
      <w:numFmt w:val="decimal"/>
      <w:lvlText w:val="%1、"/>
      <w:lvlJc w:val="left"/>
      <w:pPr>
        <w:tabs>
          <w:tab w:val="left" w:pos="1200"/>
        </w:tabs>
        <w:ind w:left="1200" w:hanging="360"/>
      </w:pPr>
      <w:rPr>
        <w:rFonts w:hint="eastAsia"/>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40">
    <w:nsid w:val="78F06798"/>
    <w:multiLevelType w:val="multilevel"/>
    <w:tmpl w:val="78F06798"/>
    <w:lvl w:ilvl="0" w:tentative="0">
      <w:start w:val="1"/>
      <w:numFmt w:val="decimal"/>
      <w:lvlText w:val="1.%1"/>
      <w:lvlJc w:val="left"/>
      <w:pPr>
        <w:ind w:left="420" w:hanging="420"/>
      </w:pPr>
      <w:rPr>
        <w:rFonts w:hint="eastAsia"/>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7A846717"/>
    <w:multiLevelType w:val="multilevel"/>
    <w:tmpl w:val="7A846717"/>
    <w:lvl w:ilvl="0" w:tentative="0">
      <w:start w:val="1"/>
      <w:numFmt w:val="decimal"/>
      <w:lvlText w:val="%1."/>
      <w:lvlJc w:val="left"/>
      <w:pPr>
        <w:tabs>
          <w:tab w:val="left" w:pos="425"/>
        </w:tabs>
        <w:ind w:left="425" w:hanging="425"/>
      </w:pPr>
      <w:rPr>
        <w:color w:val="auto"/>
        <w:sz w:val="21"/>
        <w:szCs w:val="21"/>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2">
    <w:nsid w:val="7BBEFE97"/>
    <w:multiLevelType w:val="singleLevel"/>
    <w:tmpl w:val="7BBEFE97"/>
    <w:lvl w:ilvl="0" w:tentative="0">
      <w:start w:val="1"/>
      <w:numFmt w:val="decimal"/>
      <w:lvlText w:val="%1."/>
      <w:lvlJc w:val="left"/>
      <w:pPr>
        <w:tabs>
          <w:tab w:val="left" w:pos="312"/>
        </w:tabs>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0"/>
  </w:num>
  <w:num w:numId="4">
    <w:abstractNumId w:val="38"/>
  </w:num>
  <w:num w:numId="5">
    <w:abstractNumId w:val="40"/>
  </w:num>
  <w:num w:numId="6">
    <w:abstractNumId w:val="24"/>
  </w:num>
  <w:num w:numId="7">
    <w:abstractNumId w:val="33"/>
  </w:num>
  <w:num w:numId="8">
    <w:abstractNumId w:val="36"/>
  </w:num>
  <w:num w:numId="9">
    <w:abstractNumId w:val="31"/>
  </w:num>
  <w:num w:numId="10">
    <w:abstractNumId w:val="5"/>
  </w:num>
  <w:num w:numId="11">
    <w:abstractNumId w:val="37"/>
  </w:num>
  <w:num w:numId="12">
    <w:abstractNumId w:val="26"/>
  </w:num>
  <w:num w:numId="13">
    <w:abstractNumId w:val="1"/>
  </w:num>
  <w:num w:numId="14">
    <w:abstractNumId w:val="7"/>
  </w:num>
  <w:num w:numId="15">
    <w:abstractNumId w:val="15"/>
  </w:num>
  <w:num w:numId="16">
    <w:abstractNumId w:val="9"/>
  </w:num>
  <w:num w:numId="17">
    <w:abstractNumId w:val="3"/>
  </w:num>
  <w:num w:numId="18">
    <w:abstractNumId w:val="2"/>
  </w:num>
  <w:num w:numId="19">
    <w:abstractNumId w:val="8"/>
  </w:num>
  <w:num w:numId="20">
    <w:abstractNumId w:val="41"/>
  </w:num>
  <w:num w:numId="21">
    <w:abstractNumId w:val="6"/>
  </w:num>
  <w:num w:numId="22">
    <w:abstractNumId w:val="23"/>
  </w:num>
  <w:num w:numId="23">
    <w:abstractNumId w:val="29"/>
  </w:num>
  <w:num w:numId="24">
    <w:abstractNumId w:val="34"/>
  </w:num>
  <w:num w:numId="25">
    <w:abstractNumId w:val="19"/>
  </w:num>
  <w:num w:numId="26">
    <w:abstractNumId w:val="30"/>
  </w:num>
  <w:num w:numId="27">
    <w:abstractNumId w:val="17"/>
  </w:num>
  <w:num w:numId="28">
    <w:abstractNumId w:val="39"/>
  </w:num>
  <w:num w:numId="29">
    <w:abstractNumId w:val="11"/>
  </w:num>
  <w:num w:numId="30">
    <w:abstractNumId w:val="22"/>
  </w:num>
  <w:num w:numId="31">
    <w:abstractNumId w:val="18"/>
  </w:num>
  <w:num w:numId="32">
    <w:abstractNumId w:val="27"/>
  </w:num>
  <w:num w:numId="33">
    <w:abstractNumId w:val="42"/>
  </w:num>
  <w:num w:numId="34">
    <w:abstractNumId w:val="25"/>
  </w:num>
  <w:num w:numId="35">
    <w:abstractNumId w:val="35"/>
  </w:num>
  <w:num w:numId="36">
    <w:abstractNumId w:val="21"/>
  </w:num>
  <w:num w:numId="37">
    <w:abstractNumId w:val="13"/>
  </w:num>
  <w:num w:numId="38">
    <w:abstractNumId w:val="28"/>
  </w:num>
  <w:num w:numId="39">
    <w:abstractNumId w:val="10"/>
  </w:num>
  <w:num w:numId="40">
    <w:abstractNumId w:val="16"/>
  </w:num>
  <w:num w:numId="41">
    <w:abstractNumId w:val="32"/>
  </w:num>
  <w:num w:numId="42">
    <w:abstractNumId w:val="12"/>
  </w:num>
  <w:num w:numId="43">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陈陈">
    <w15:presenceInfo w15:providerId="None" w15:userId="陈陈"/>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0B"/>
    <w:rsid w:val="0001122D"/>
    <w:rsid w:val="000509BC"/>
    <w:rsid w:val="000534D2"/>
    <w:rsid w:val="0008617C"/>
    <w:rsid w:val="0008787D"/>
    <w:rsid w:val="000B15E6"/>
    <w:rsid w:val="000D0885"/>
    <w:rsid w:val="000D40BF"/>
    <w:rsid w:val="000E046F"/>
    <w:rsid w:val="000E327D"/>
    <w:rsid w:val="00167DD6"/>
    <w:rsid w:val="00186B8B"/>
    <w:rsid w:val="001E2196"/>
    <w:rsid w:val="001F2D03"/>
    <w:rsid w:val="00215975"/>
    <w:rsid w:val="00230222"/>
    <w:rsid w:val="002B3D8A"/>
    <w:rsid w:val="002B54A4"/>
    <w:rsid w:val="002E041D"/>
    <w:rsid w:val="002F6150"/>
    <w:rsid w:val="00320B7F"/>
    <w:rsid w:val="00321859"/>
    <w:rsid w:val="00334521"/>
    <w:rsid w:val="00345142"/>
    <w:rsid w:val="00357AD5"/>
    <w:rsid w:val="00371BC5"/>
    <w:rsid w:val="00391B07"/>
    <w:rsid w:val="003E10D5"/>
    <w:rsid w:val="00417A2C"/>
    <w:rsid w:val="00446C42"/>
    <w:rsid w:val="00472192"/>
    <w:rsid w:val="004E22CB"/>
    <w:rsid w:val="00526603"/>
    <w:rsid w:val="00536D63"/>
    <w:rsid w:val="005756FC"/>
    <w:rsid w:val="005A1FB6"/>
    <w:rsid w:val="005C0CB0"/>
    <w:rsid w:val="006140DA"/>
    <w:rsid w:val="00646D5D"/>
    <w:rsid w:val="006A0FAF"/>
    <w:rsid w:val="006A37EC"/>
    <w:rsid w:val="006C5352"/>
    <w:rsid w:val="006D027E"/>
    <w:rsid w:val="007018E0"/>
    <w:rsid w:val="007422A3"/>
    <w:rsid w:val="00785815"/>
    <w:rsid w:val="007A72F9"/>
    <w:rsid w:val="007E4BFB"/>
    <w:rsid w:val="007F24CE"/>
    <w:rsid w:val="00805034"/>
    <w:rsid w:val="00822AC4"/>
    <w:rsid w:val="00855C0B"/>
    <w:rsid w:val="00861463"/>
    <w:rsid w:val="00874ADA"/>
    <w:rsid w:val="008B204A"/>
    <w:rsid w:val="008E4A82"/>
    <w:rsid w:val="008E6B4F"/>
    <w:rsid w:val="00902355"/>
    <w:rsid w:val="0093193F"/>
    <w:rsid w:val="009C2247"/>
    <w:rsid w:val="009C25B2"/>
    <w:rsid w:val="009C63F7"/>
    <w:rsid w:val="009D5E9F"/>
    <w:rsid w:val="00A00CAC"/>
    <w:rsid w:val="00A02AB3"/>
    <w:rsid w:val="00A12CD2"/>
    <w:rsid w:val="00A27CD2"/>
    <w:rsid w:val="00A71FE7"/>
    <w:rsid w:val="00A72C5A"/>
    <w:rsid w:val="00AC1288"/>
    <w:rsid w:val="00AD2DB7"/>
    <w:rsid w:val="00AF019F"/>
    <w:rsid w:val="00B32E3E"/>
    <w:rsid w:val="00BB06A9"/>
    <w:rsid w:val="00BB2829"/>
    <w:rsid w:val="00BC56AA"/>
    <w:rsid w:val="00BF6D49"/>
    <w:rsid w:val="00C46D75"/>
    <w:rsid w:val="00C52AE2"/>
    <w:rsid w:val="00C8618F"/>
    <w:rsid w:val="00CB1979"/>
    <w:rsid w:val="00CC712D"/>
    <w:rsid w:val="00D118CC"/>
    <w:rsid w:val="00D42E70"/>
    <w:rsid w:val="00D90570"/>
    <w:rsid w:val="00DB2EE4"/>
    <w:rsid w:val="00DF2022"/>
    <w:rsid w:val="00DF37A1"/>
    <w:rsid w:val="00E0025A"/>
    <w:rsid w:val="00E37652"/>
    <w:rsid w:val="00E636F1"/>
    <w:rsid w:val="00E77D8A"/>
    <w:rsid w:val="00EF64AA"/>
    <w:rsid w:val="00F062EF"/>
    <w:rsid w:val="00F129D5"/>
    <w:rsid w:val="00F715CD"/>
    <w:rsid w:val="00F80DD9"/>
    <w:rsid w:val="00F93F46"/>
    <w:rsid w:val="00FA6AB2"/>
    <w:rsid w:val="00FB3BA1"/>
    <w:rsid w:val="00FE251F"/>
    <w:rsid w:val="00FE4050"/>
    <w:rsid w:val="03BF325D"/>
    <w:rsid w:val="0400338D"/>
    <w:rsid w:val="050809E3"/>
    <w:rsid w:val="08032947"/>
    <w:rsid w:val="0A2855FC"/>
    <w:rsid w:val="0AA136B2"/>
    <w:rsid w:val="0B9C6E61"/>
    <w:rsid w:val="0CDC3965"/>
    <w:rsid w:val="0EB31BC6"/>
    <w:rsid w:val="0F0D7005"/>
    <w:rsid w:val="15074CB7"/>
    <w:rsid w:val="15AA0898"/>
    <w:rsid w:val="17B709A5"/>
    <w:rsid w:val="18E6009E"/>
    <w:rsid w:val="20AE771E"/>
    <w:rsid w:val="21B33F0C"/>
    <w:rsid w:val="23BA207C"/>
    <w:rsid w:val="24D9130A"/>
    <w:rsid w:val="27214329"/>
    <w:rsid w:val="285E209C"/>
    <w:rsid w:val="2B2828F5"/>
    <w:rsid w:val="2E9D6345"/>
    <w:rsid w:val="2FA13AD0"/>
    <w:rsid w:val="33EF39CD"/>
    <w:rsid w:val="35997E98"/>
    <w:rsid w:val="36756DAD"/>
    <w:rsid w:val="37CB33C1"/>
    <w:rsid w:val="38BC017E"/>
    <w:rsid w:val="391A4F17"/>
    <w:rsid w:val="3C0E7012"/>
    <w:rsid w:val="3C4115E7"/>
    <w:rsid w:val="3DAB7B7F"/>
    <w:rsid w:val="3EB00C54"/>
    <w:rsid w:val="3F594B47"/>
    <w:rsid w:val="406E1BA7"/>
    <w:rsid w:val="42FE18B0"/>
    <w:rsid w:val="45746016"/>
    <w:rsid w:val="463B3779"/>
    <w:rsid w:val="46BD7625"/>
    <w:rsid w:val="47724303"/>
    <w:rsid w:val="47CC0C81"/>
    <w:rsid w:val="49C35FEF"/>
    <w:rsid w:val="4B2D1FAD"/>
    <w:rsid w:val="4CC86A11"/>
    <w:rsid w:val="4E4305AF"/>
    <w:rsid w:val="50E07C16"/>
    <w:rsid w:val="54A1184B"/>
    <w:rsid w:val="55A16DD8"/>
    <w:rsid w:val="56874637"/>
    <w:rsid w:val="57F0150C"/>
    <w:rsid w:val="58A746EB"/>
    <w:rsid w:val="5CC039C3"/>
    <w:rsid w:val="5CE857EF"/>
    <w:rsid w:val="5CF045C6"/>
    <w:rsid w:val="5FC22217"/>
    <w:rsid w:val="619842B2"/>
    <w:rsid w:val="6216291F"/>
    <w:rsid w:val="66B8477F"/>
    <w:rsid w:val="69D93FF8"/>
    <w:rsid w:val="6A3D56F3"/>
    <w:rsid w:val="6ACC03B0"/>
    <w:rsid w:val="6BB321DC"/>
    <w:rsid w:val="6ECA2574"/>
    <w:rsid w:val="72AF10AF"/>
    <w:rsid w:val="74FF75C9"/>
    <w:rsid w:val="764F0AAF"/>
    <w:rsid w:val="79CE6B45"/>
    <w:rsid w:val="7AD12F76"/>
    <w:rsid w:val="7E1304E0"/>
    <w:rsid w:val="7FAD64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qFormat="1" w:unhideWhenUsed="0" w:uiPriority="0"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8"/>
    <w:qFormat/>
    <w:uiPriority w:val="0"/>
    <w:pPr>
      <w:keepNext/>
      <w:widowControl/>
      <w:jc w:val="left"/>
      <w:outlineLvl w:val="0"/>
    </w:pPr>
    <w:rPr>
      <w:b/>
      <w:bCs/>
      <w:kern w:val="0"/>
      <w:sz w:val="24"/>
    </w:rPr>
  </w:style>
  <w:style w:type="paragraph" w:styleId="4">
    <w:name w:val="heading 2"/>
    <w:basedOn w:val="1"/>
    <w:next w:val="1"/>
    <w:link w:val="49"/>
    <w:qFormat/>
    <w:uiPriority w:val="0"/>
    <w:pPr>
      <w:keepNext/>
      <w:keepLines/>
      <w:spacing w:before="260" w:after="260" w:line="416" w:lineRule="auto"/>
      <w:outlineLvl w:val="1"/>
    </w:pPr>
    <w:rPr>
      <w:rFonts w:ascii="Arial" w:hAnsi="Arial" w:eastAsia="黑体"/>
      <w:b/>
      <w:bCs/>
      <w:sz w:val="32"/>
      <w:szCs w:val="32"/>
      <w:lang w:val="zh-CN"/>
    </w:rPr>
  </w:style>
  <w:style w:type="paragraph" w:styleId="5">
    <w:name w:val="heading 3"/>
    <w:basedOn w:val="1"/>
    <w:next w:val="1"/>
    <w:link w:val="50"/>
    <w:qFormat/>
    <w:uiPriority w:val="0"/>
    <w:pPr>
      <w:keepNext/>
      <w:outlineLvl w:val="2"/>
    </w:pPr>
    <w:rPr>
      <w:rFonts w:ascii="楷体_GB2312" w:hAnsi="宋体" w:eastAsia="楷体_GB2312"/>
      <w:b/>
      <w:bCs/>
      <w:sz w:val="32"/>
    </w:rPr>
  </w:style>
  <w:style w:type="paragraph" w:styleId="6">
    <w:name w:val="heading 4"/>
    <w:basedOn w:val="1"/>
    <w:next w:val="1"/>
    <w:link w:val="51"/>
    <w:qFormat/>
    <w:uiPriority w:val="0"/>
    <w:pPr>
      <w:keepNext/>
      <w:keepLines/>
      <w:widowControl/>
      <w:spacing w:before="280" w:after="290" w:line="376" w:lineRule="auto"/>
      <w:jc w:val="left"/>
      <w:outlineLvl w:val="3"/>
    </w:pPr>
    <w:rPr>
      <w:rFonts w:ascii="Arial" w:hAnsi="Arial" w:eastAsia="黑体"/>
      <w:b/>
      <w:bCs/>
      <w:kern w:val="0"/>
      <w:sz w:val="28"/>
      <w:szCs w:val="28"/>
    </w:rPr>
  </w:style>
  <w:style w:type="paragraph" w:styleId="7">
    <w:name w:val="heading 5"/>
    <w:basedOn w:val="1"/>
    <w:next w:val="1"/>
    <w:link w:val="52"/>
    <w:qFormat/>
    <w:uiPriority w:val="0"/>
    <w:pPr>
      <w:keepNext/>
      <w:keepLines/>
      <w:widowControl/>
      <w:spacing w:before="280" w:after="290" w:line="376" w:lineRule="auto"/>
      <w:jc w:val="left"/>
      <w:outlineLvl w:val="4"/>
    </w:pPr>
    <w:rPr>
      <w:b/>
      <w:bCs/>
      <w:kern w:val="0"/>
      <w:sz w:val="28"/>
      <w:szCs w:val="28"/>
    </w:rPr>
  </w:style>
  <w:style w:type="paragraph" w:styleId="8">
    <w:name w:val="heading 6"/>
    <w:basedOn w:val="1"/>
    <w:next w:val="1"/>
    <w:link w:val="53"/>
    <w:qFormat/>
    <w:uiPriority w:val="0"/>
    <w:pPr>
      <w:keepNext/>
      <w:keepLines/>
      <w:widowControl/>
      <w:spacing w:before="240" w:after="64" w:line="320" w:lineRule="auto"/>
      <w:jc w:val="left"/>
      <w:outlineLvl w:val="5"/>
    </w:pPr>
    <w:rPr>
      <w:rFonts w:ascii="Arial" w:hAnsi="Arial" w:eastAsia="黑体"/>
      <w:b/>
      <w:bCs/>
      <w:kern w:val="0"/>
      <w:sz w:val="24"/>
    </w:rPr>
  </w:style>
  <w:style w:type="paragraph" w:styleId="9">
    <w:name w:val="heading 7"/>
    <w:basedOn w:val="1"/>
    <w:next w:val="1"/>
    <w:link w:val="54"/>
    <w:qFormat/>
    <w:uiPriority w:val="0"/>
    <w:pPr>
      <w:keepNext/>
      <w:keepLines/>
      <w:widowControl/>
      <w:spacing w:before="240" w:after="64" w:line="320" w:lineRule="auto"/>
      <w:jc w:val="left"/>
      <w:outlineLvl w:val="6"/>
    </w:pPr>
    <w:rPr>
      <w:b/>
      <w:bCs/>
      <w:kern w:val="0"/>
      <w:sz w:val="24"/>
    </w:rPr>
  </w:style>
  <w:style w:type="paragraph" w:styleId="10">
    <w:name w:val="heading 8"/>
    <w:basedOn w:val="1"/>
    <w:next w:val="1"/>
    <w:link w:val="55"/>
    <w:qFormat/>
    <w:uiPriority w:val="0"/>
    <w:pPr>
      <w:keepNext/>
      <w:keepLines/>
      <w:widowControl/>
      <w:spacing w:before="240" w:after="64" w:line="320" w:lineRule="auto"/>
      <w:jc w:val="left"/>
      <w:outlineLvl w:val="7"/>
    </w:pPr>
    <w:rPr>
      <w:rFonts w:ascii="Arial" w:hAnsi="Arial" w:eastAsia="黑体"/>
      <w:kern w:val="0"/>
      <w:sz w:val="24"/>
    </w:rPr>
  </w:style>
  <w:style w:type="paragraph" w:styleId="11">
    <w:name w:val="heading 9"/>
    <w:basedOn w:val="1"/>
    <w:next w:val="1"/>
    <w:link w:val="56"/>
    <w:qFormat/>
    <w:uiPriority w:val="0"/>
    <w:pPr>
      <w:keepNext/>
      <w:keepLines/>
      <w:widowControl/>
      <w:spacing w:before="240" w:after="64" w:line="320" w:lineRule="auto"/>
      <w:jc w:val="left"/>
      <w:outlineLvl w:val="8"/>
    </w:pPr>
    <w:rPr>
      <w:rFonts w:ascii="Arial" w:hAnsi="Arial" w:eastAsia="黑体"/>
      <w:kern w:val="0"/>
      <w:szCs w:val="21"/>
    </w:rPr>
  </w:style>
  <w:style w:type="character" w:default="1" w:styleId="37">
    <w:name w:val="Default Paragraph Font"/>
    <w:semiHidden/>
    <w:unhideWhenUsed/>
    <w:qFormat/>
    <w:uiPriority w:val="1"/>
  </w:style>
  <w:style w:type="table" w:default="1" w:styleId="44">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62"/>
    <w:qFormat/>
    <w:uiPriority w:val="0"/>
    <w:rPr>
      <w:rFonts w:ascii="宋体" w:hAnsi="Courier New" w:cs="Courier New" w:eastAsiaTheme="minorEastAsia"/>
      <w:szCs w:val="21"/>
    </w:rPr>
  </w:style>
  <w:style w:type="paragraph" w:styleId="12">
    <w:name w:val="annotation subject"/>
    <w:basedOn w:val="13"/>
    <w:next w:val="13"/>
    <w:link w:val="68"/>
    <w:semiHidden/>
    <w:qFormat/>
    <w:uiPriority w:val="0"/>
    <w:rPr>
      <w:b/>
      <w:bCs/>
    </w:rPr>
  </w:style>
  <w:style w:type="paragraph" w:styleId="13">
    <w:name w:val="annotation text"/>
    <w:basedOn w:val="1"/>
    <w:link w:val="59"/>
    <w:qFormat/>
    <w:uiPriority w:val="0"/>
    <w:pPr>
      <w:jc w:val="left"/>
    </w:pPr>
    <w:rPr>
      <w:rFonts w:asciiTheme="minorHAnsi" w:hAnsiTheme="minorHAnsi" w:eastAsiaTheme="minorEastAsia" w:cstheme="minorBidi"/>
    </w:rPr>
  </w:style>
  <w:style w:type="paragraph" w:styleId="14">
    <w:name w:val="toc 7"/>
    <w:basedOn w:val="1"/>
    <w:next w:val="1"/>
    <w:qFormat/>
    <w:uiPriority w:val="0"/>
    <w:pPr>
      <w:ind w:left="1260"/>
      <w:jc w:val="left"/>
    </w:pPr>
    <w:rPr>
      <w:rFonts w:ascii="Calibri" w:hAnsi="Calibri" w:cs="Calibri"/>
      <w:sz w:val="18"/>
      <w:szCs w:val="18"/>
    </w:rPr>
  </w:style>
  <w:style w:type="paragraph" w:styleId="15">
    <w:name w:val="Normal Indent"/>
    <w:basedOn w:val="1"/>
    <w:link w:val="106"/>
    <w:qFormat/>
    <w:uiPriority w:val="0"/>
    <w:pPr>
      <w:ind w:firstLine="420" w:firstLineChars="200"/>
    </w:pPr>
    <w:rPr>
      <w:szCs w:val="21"/>
    </w:rPr>
  </w:style>
  <w:style w:type="paragraph" w:styleId="16">
    <w:name w:val="Document Map"/>
    <w:basedOn w:val="1"/>
    <w:link w:val="58"/>
    <w:qFormat/>
    <w:uiPriority w:val="0"/>
    <w:pPr>
      <w:shd w:val="clear" w:color="auto" w:fill="000080"/>
    </w:pPr>
    <w:rPr>
      <w:szCs w:val="20"/>
    </w:rPr>
  </w:style>
  <w:style w:type="paragraph" w:styleId="17">
    <w:name w:val="Body Text 3"/>
    <w:basedOn w:val="1"/>
    <w:link w:val="60"/>
    <w:qFormat/>
    <w:uiPriority w:val="0"/>
    <w:pPr>
      <w:spacing w:after="120"/>
    </w:pPr>
    <w:rPr>
      <w:sz w:val="16"/>
      <w:szCs w:val="16"/>
    </w:rPr>
  </w:style>
  <w:style w:type="paragraph" w:styleId="18">
    <w:name w:val="Body Text"/>
    <w:basedOn w:val="1"/>
    <w:link w:val="57"/>
    <w:qFormat/>
    <w:uiPriority w:val="0"/>
    <w:pPr>
      <w:spacing w:after="120"/>
    </w:pPr>
  </w:style>
  <w:style w:type="paragraph" w:styleId="19">
    <w:name w:val="Body Text Indent"/>
    <w:basedOn w:val="1"/>
    <w:link w:val="61"/>
    <w:qFormat/>
    <w:uiPriority w:val="0"/>
    <w:pPr>
      <w:spacing w:line="560" w:lineRule="exact"/>
      <w:ind w:left="300"/>
    </w:pPr>
    <w:rPr>
      <w:sz w:val="24"/>
    </w:rPr>
  </w:style>
  <w:style w:type="paragraph" w:styleId="20">
    <w:name w:val="toc 5"/>
    <w:basedOn w:val="1"/>
    <w:next w:val="1"/>
    <w:qFormat/>
    <w:uiPriority w:val="0"/>
    <w:pPr>
      <w:ind w:left="840"/>
      <w:jc w:val="left"/>
    </w:pPr>
    <w:rPr>
      <w:rFonts w:ascii="Calibri" w:hAnsi="Calibri" w:cs="Calibri"/>
      <w:sz w:val="18"/>
      <w:szCs w:val="18"/>
    </w:rPr>
  </w:style>
  <w:style w:type="paragraph" w:styleId="21">
    <w:name w:val="toc 3"/>
    <w:basedOn w:val="1"/>
    <w:next w:val="1"/>
    <w:qFormat/>
    <w:uiPriority w:val="39"/>
    <w:pPr>
      <w:ind w:left="420"/>
      <w:jc w:val="left"/>
    </w:pPr>
    <w:rPr>
      <w:rFonts w:ascii="Calibri" w:hAnsi="Calibri" w:cs="Calibri"/>
      <w:i/>
      <w:iCs/>
      <w:sz w:val="20"/>
      <w:szCs w:val="20"/>
    </w:rPr>
  </w:style>
  <w:style w:type="paragraph" w:styleId="22">
    <w:name w:val="toc 8"/>
    <w:basedOn w:val="1"/>
    <w:next w:val="1"/>
    <w:qFormat/>
    <w:uiPriority w:val="0"/>
    <w:pPr>
      <w:ind w:left="1470"/>
      <w:jc w:val="left"/>
    </w:pPr>
    <w:rPr>
      <w:rFonts w:ascii="Calibri" w:hAnsi="Calibri" w:cs="Calibri"/>
      <w:sz w:val="18"/>
      <w:szCs w:val="18"/>
    </w:rPr>
  </w:style>
  <w:style w:type="paragraph" w:styleId="23">
    <w:name w:val="Date"/>
    <w:basedOn w:val="1"/>
    <w:next w:val="1"/>
    <w:link w:val="63"/>
    <w:qFormat/>
    <w:uiPriority w:val="0"/>
    <w:pPr>
      <w:widowControl/>
    </w:pPr>
    <w:rPr>
      <w:rFonts w:ascii="宋体"/>
      <w:kern w:val="0"/>
      <w:szCs w:val="20"/>
    </w:rPr>
  </w:style>
  <w:style w:type="paragraph" w:styleId="24">
    <w:name w:val="Body Text Indent 2"/>
    <w:basedOn w:val="1"/>
    <w:link w:val="64"/>
    <w:qFormat/>
    <w:uiPriority w:val="0"/>
    <w:pPr>
      <w:spacing w:line="540" w:lineRule="exact"/>
      <w:ind w:left="462" w:leftChars="220"/>
    </w:pPr>
    <w:rPr>
      <w:sz w:val="24"/>
    </w:rPr>
  </w:style>
  <w:style w:type="paragraph" w:styleId="25">
    <w:name w:val="Balloon Text"/>
    <w:basedOn w:val="1"/>
    <w:link w:val="65"/>
    <w:qFormat/>
    <w:uiPriority w:val="0"/>
    <w:rPr>
      <w:rFonts w:asciiTheme="minorHAnsi" w:hAnsiTheme="minorHAnsi" w:cstheme="minorBidi"/>
      <w:sz w:val="18"/>
      <w:szCs w:val="22"/>
    </w:rPr>
  </w:style>
  <w:style w:type="paragraph" w:styleId="26">
    <w:name w:val="footer"/>
    <w:basedOn w:val="1"/>
    <w:link w:val="47"/>
    <w:unhideWhenUsed/>
    <w:qFormat/>
    <w:uiPriority w:val="0"/>
    <w:pPr>
      <w:tabs>
        <w:tab w:val="center" w:pos="4153"/>
        <w:tab w:val="right" w:pos="8306"/>
      </w:tabs>
      <w:snapToGrid w:val="0"/>
      <w:jc w:val="left"/>
    </w:pPr>
    <w:rPr>
      <w:sz w:val="18"/>
      <w:szCs w:val="18"/>
    </w:rPr>
  </w:style>
  <w:style w:type="paragraph" w:styleId="27">
    <w:name w:val="header"/>
    <w:basedOn w:val="1"/>
    <w:link w:val="46"/>
    <w:unhideWhenUsed/>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spacing w:before="120" w:after="120"/>
      <w:jc w:val="left"/>
    </w:pPr>
    <w:rPr>
      <w:rFonts w:ascii="Calibri" w:hAnsi="Calibri" w:cs="Calibri"/>
      <w:b/>
      <w:bCs/>
      <w:caps/>
      <w:szCs w:val="20"/>
    </w:rPr>
  </w:style>
  <w:style w:type="paragraph" w:styleId="29">
    <w:name w:val="toc 4"/>
    <w:basedOn w:val="1"/>
    <w:next w:val="1"/>
    <w:qFormat/>
    <w:uiPriority w:val="0"/>
    <w:pPr>
      <w:ind w:left="630"/>
      <w:jc w:val="left"/>
    </w:pPr>
    <w:rPr>
      <w:rFonts w:ascii="Calibri" w:hAnsi="Calibri" w:cs="Calibri"/>
      <w:sz w:val="18"/>
      <w:szCs w:val="18"/>
    </w:rPr>
  </w:style>
  <w:style w:type="paragraph" w:styleId="30">
    <w:name w:val="toc 6"/>
    <w:basedOn w:val="1"/>
    <w:next w:val="1"/>
    <w:qFormat/>
    <w:uiPriority w:val="0"/>
    <w:pPr>
      <w:ind w:left="1050"/>
      <w:jc w:val="left"/>
    </w:pPr>
    <w:rPr>
      <w:rFonts w:ascii="Calibri" w:hAnsi="Calibri" w:cs="Calibri"/>
      <w:sz w:val="18"/>
      <w:szCs w:val="18"/>
    </w:rPr>
  </w:style>
  <w:style w:type="paragraph" w:styleId="31">
    <w:name w:val="Body Text Indent 3"/>
    <w:basedOn w:val="1"/>
    <w:link w:val="66"/>
    <w:qFormat/>
    <w:uiPriority w:val="0"/>
    <w:pPr>
      <w:spacing w:after="120"/>
      <w:ind w:left="420" w:leftChars="200"/>
    </w:pPr>
    <w:rPr>
      <w:sz w:val="16"/>
      <w:szCs w:val="16"/>
    </w:rPr>
  </w:style>
  <w:style w:type="paragraph" w:styleId="32">
    <w:name w:val="toc 2"/>
    <w:basedOn w:val="1"/>
    <w:next w:val="1"/>
    <w:qFormat/>
    <w:uiPriority w:val="39"/>
    <w:pPr>
      <w:ind w:left="210"/>
      <w:jc w:val="left"/>
    </w:pPr>
    <w:rPr>
      <w:rFonts w:ascii="Calibri" w:hAnsi="Calibri" w:cs="Calibri"/>
      <w:smallCaps/>
      <w:szCs w:val="20"/>
    </w:rPr>
  </w:style>
  <w:style w:type="paragraph" w:styleId="33">
    <w:name w:val="toc 9"/>
    <w:basedOn w:val="1"/>
    <w:next w:val="1"/>
    <w:qFormat/>
    <w:uiPriority w:val="0"/>
    <w:pPr>
      <w:ind w:left="1680"/>
      <w:jc w:val="left"/>
    </w:pPr>
    <w:rPr>
      <w:rFonts w:ascii="Calibri" w:hAnsi="Calibri" w:cs="Calibri"/>
      <w:sz w:val="18"/>
      <w:szCs w:val="18"/>
    </w:rPr>
  </w:style>
  <w:style w:type="paragraph" w:styleId="34">
    <w:name w:val="HTML Preformatted"/>
    <w:basedOn w:val="1"/>
    <w:link w:val="6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35">
    <w:name w:val="Normal (Web)"/>
    <w:basedOn w:val="1"/>
    <w:qFormat/>
    <w:uiPriority w:val="99"/>
    <w:pPr>
      <w:widowControl/>
      <w:spacing w:before="100" w:beforeAutospacing="1" w:after="100" w:afterAutospacing="1"/>
      <w:jc w:val="left"/>
    </w:pPr>
    <w:rPr>
      <w:rFonts w:ascii="宋体" w:hAnsi="宋体"/>
      <w:kern w:val="0"/>
      <w:sz w:val="24"/>
    </w:rPr>
  </w:style>
  <w:style w:type="paragraph" w:styleId="36">
    <w:name w:val="List Continue 3"/>
    <w:basedOn w:val="1"/>
    <w:qFormat/>
    <w:uiPriority w:val="0"/>
    <w:pPr>
      <w:spacing w:after="120"/>
      <w:ind w:left="1260" w:leftChars="600"/>
    </w:pPr>
  </w:style>
  <w:style w:type="character" w:styleId="38">
    <w:name w:val="Strong"/>
    <w:qFormat/>
    <w:uiPriority w:val="22"/>
    <w:rPr>
      <w:b/>
      <w:bCs/>
    </w:rPr>
  </w:style>
  <w:style w:type="character" w:styleId="39">
    <w:name w:val="page number"/>
    <w:basedOn w:val="37"/>
    <w:qFormat/>
    <w:uiPriority w:val="0"/>
  </w:style>
  <w:style w:type="character" w:styleId="40">
    <w:name w:val="FollowedHyperlink"/>
    <w:basedOn w:val="37"/>
    <w:semiHidden/>
    <w:unhideWhenUsed/>
    <w:qFormat/>
    <w:uiPriority w:val="99"/>
    <w:rPr>
      <w:color w:val="954F72" w:themeColor="followedHyperlink"/>
      <w:u w:val="single"/>
      <w14:textFill>
        <w14:solidFill>
          <w14:schemeClr w14:val="folHlink"/>
        </w14:solidFill>
      </w14:textFill>
    </w:rPr>
  </w:style>
  <w:style w:type="character" w:styleId="41">
    <w:name w:val="Emphasis"/>
    <w:qFormat/>
    <w:uiPriority w:val="20"/>
    <w:rPr>
      <w:color w:val="CC0000"/>
    </w:rPr>
  </w:style>
  <w:style w:type="character" w:styleId="42">
    <w:name w:val="Hyperlink"/>
    <w:qFormat/>
    <w:uiPriority w:val="99"/>
    <w:rPr>
      <w:rFonts w:eastAsia="宋体"/>
      <w:color w:val="0000FF"/>
      <w:sz w:val="28"/>
      <w:u w:val="single"/>
    </w:rPr>
  </w:style>
  <w:style w:type="character" w:styleId="43">
    <w:name w:val="annotation reference"/>
    <w:qFormat/>
    <w:uiPriority w:val="0"/>
    <w:rPr>
      <w:sz w:val="21"/>
      <w:szCs w:val="21"/>
    </w:rPr>
  </w:style>
  <w:style w:type="table" w:styleId="45">
    <w:name w:val="Table Grid"/>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6">
    <w:name w:val="页眉 Char"/>
    <w:basedOn w:val="37"/>
    <w:link w:val="27"/>
    <w:qFormat/>
    <w:uiPriority w:val="0"/>
    <w:rPr>
      <w:sz w:val="18"/>
      <w:szCs w:val="18"/>
    </w:rPr>
  </w:style>
  <w:style w:type="character" w:customStyle="1" w:styleId="47">
    <w:name w:val="页脚 Char"/>
    <w:basedOn w:val="37"/>
    <w:link w:val="26"/>
    <w:qFormat/>
    <w:uiPriority w:val="0"/>
    <w:rPr>
      <w:sz w:val="18"/>
      <w:szCs w:val="18"/>
    </w:rPr>
  </w:style>
  <w:style w:type="character" w:customStyle="1" w:styleId="48">
    <w:name w:val="标题 1 Char"/>
    <w:basedOn w:val="37"/>
    <w:link w:val="3"/>
    <w:qFormat/>
    <w:uiPriority w:val="0"/>
    <w:rPr>
      <w:rFonts w:ascii="Times New Roman" w:hAnsi="Times New Roman" w:eastAsia="宋体" w:cs="Times New Roman"/>
      <w:b/>
      <w:bCs/>
      <w:kern w:val="0"/>
      <w:sz w:val="24"/>
      <w:szCs w:val="24"/>
    </w:rPr>
  </w:style>
  <w:style w:type="character" w:customStyle="1" w:styleId="49">
    <w:name w:val="标题 2 Char"/>
    <w:basedOn w:val="37"/>
    <w:link w:val="4"/>
    <w:qFormat/>
    <w:uiPriority w:val="0"/>
    <w:rPr>
      <w:rFonts w:ascii="Arial" w:hAnsi="Arial" w:eastAsia="黑体" w:cs="Times New Roman"/>
      <w:b/>
      <w:bCs/>
      <w:sz w:val="32"/>
      <w:szCs w:val="32"/>
      <w:lang w:val="zh-CN"/>
    </w:rPr>
  </w:style>
  <w:style w:type="character" w:customStyle="1" w:styleId="50">
    <w:name w:val="标题 3 Char"/>
    <w:basedOn w:val="37"/>
    <w:link w:val="5"/>
    <w:qFormat/>
    <w:uiPriority w:val="0"/>
    <w:rPr>
      <w:rFonts w:ascii="楷体_GB2312" w:hAnsi="宋体" w:eastAsia="楷体_GB2312" w:cs="Times New Roman"/>
      <w:b/>
      <w:bCs/>
      <w:sz w:val="32"/>
      <w:szCs w:val="24"/>
    </w:rPr>
  </w:style>
  <w:style w:type="character" w:customStyle="1" w:styleId="51">
    <w:name w:val="标题 4 Char"/>
    <w:basedOn w:val="37"/>
    <w:link w:val="6"/>
    <w:qFormat/>
    <w:uiPriority w:val="0"/>
    <w:rPr>
      <w:rFonts w:ascii="Arial" w:hAnsi="Arial" w:eastAsia="黑体" w:cs="Times New Roman"/>
      <w:b/>
      <w:bCs/>
      <w:kern w:val="0"/>
      <w:sz w:val="28"/>
      <w:szCs w:val="28"/>
    </w:rPr>
  </w:style>
  <w:style w:type="character" w:customStyle="1" w:styleId="52">
    <w:name w:val="标题 5 Char"/>
    <w:basedOn w:val="37"/>
    <w:link w:val="7"/>
    <w:qFormat/>
    <w:uiPriority w:val="0"/>
    <w:rPr>
      <w:rFonts w:ascii="Times New Roman" w:hAnsi="Times New Roman" w:eastAsia="宋体" w:cs="Times New Roman"/>
      <w:b/>
      <w:bCs/>
      <w:kern w:val="0"/>
      <w:sz w:val="28"/>
      <w:szCs w:val="28"/>
    </w:rPr>
  </w:style>
  <w:style w:type="character" w:customStyle="1" w:styleId="53">
    <w:name w:val="标题 6 Char"/>
    <w:basedOn w:val="37"/>
    <w:link w:val="8"/>
    <w:qFormat/>
    <w:uiPriority w:val="0"/>
    <w:rPr>
      <w:rFonts w:ascii="Arial" w:hAnsi="Arial" w:eastAsia="黑体" w:cs="Times New Roman"/>
      <w:b/>
      <w:bCs/>
      <w:kern w:val="0"/>
      <w:sz w:val="24"/>
      <w:szCs w:val="24"/>
    </w:rPr>
  </w:style>
  <w:style w:type="character" w:customStyle="1" w:styleId="54">
    <w:name w:val="标题 7 Char"/>
    <w:basedOn w:val="37"/>
    <w:link w:val="9"/>
    <w:qFormat/>
    <w:uiPriority w:val="0"/>
    <w:rPr>
      <w:rFonts w:ascii="Times New Roman" w:hAnsi="Times New Roman" w:eastAsia="宋体" w:cs="Times New Roman"/>
      <w:b/>
      <w:bCs/>
      <w:kern w:val="0"/>
      <w:sz w:val="24"/>
      <w:szCs w:val="24"/>
    </w:rPr>
  </w:style>
  <w:style w:type="character" w:customStyle="1" w:styleId="55">
    <w:name w:val="标题 8 Char"/>
    <w:basedOn w:val="37"/>
    <w:link w:val="10"/>
    <w:qFormat/>
    <w:uiPriority w:val="0"/>
    <w:rPr>
      <w:rFonts w:ascii="Arial" w:hAnsi="Arial" w:eastAsia="黑体" w:cs="Times New Roman"/>
      <w:kern w:val="0"/>
      <w:sz w:val="24"/>
      <w:szCs w:val="24"/>
    </w:rPr>
  </w:style>
  <w:style w:type="character" w:customStyle="1" w:styleId="56">
    <w:name w:val="标题 9 Char"/>
    <w:basedOn w:val="37"/>
    <w:link w:val="11"/>
    <w:qFormat/>
    <w:uiPriority w:val="0"/>
    <w:rPr>
      <w:rFonts w:ascii="Arial" w:hAnsi="Arial" w:eastAsia="黑体" w:cs="Times New Roman"/>
      <w:kern w:val="0"/>
      <w:szCs w:val="21"/>
    </w:rPr>
  </w:style>
  <w:style w:type="character" w:customStyle="1" w:styleId="57">
    <w:name w:val="正文文本 Char"/>
    <w:basedOn w:val="37"/>
    <w:link w:val="18"/>
    <w:qFormat/>
    <w:uiPriority w:val="0"/>
    <w:rPr>
      <w:rFonts w:ascii="Times New Roman" w:hAnsi="Times New Roman" w:eastAsia="宋体" w:cs="Times New Roman"/>
      <w:szCs w:val="24"/>
    </w:rPr>
  </w:style>
  <w:style w:type="character" w:customStyle="1" w:styleId="58">
    <w:name w:val="文档结构图 Char"/>
    <w:basedOn w:val="37"/>
    <w:link w:val="16"/>
    <w:qFormat/>
    <w:uiPriority w:val="0"/>
    <w:rPr>
      <w:rFonts w:ascii="Times New Roman" w:hAnsi="Times New Roman" w:eastAsia="宋体" w:cs="Times New Roman"/>
      <w:szCs w:val="20"/>
      <w:shd w:val="clear" w:color="auto" w:fill="000080"/>
    </w:rPr>
  </w:style>
  <w:style w:type="character" w:customStyle="1" w:styleId="59">
    <w:name w:val="批注文字 Char"/>
    <w:basedOn w:val="37"/>
    <w:link w:val="13"/>
    <w:qFormat/>
    <w:uiPriority w:val="0"/>
    <w:rPr>
      <w:szCs w:val="24"/>
    </w:rPr>
  </w:style>
  <w:style w:type="character" w:customStyle="1" w:styleId="60">
    <w:name w:val="正文文本 3 Char"/>
    <w:basedOn w:val="37"/>
    <w:link w:val="17"/>
    <w:qFormat/>
    <w:uiPriority w:val="0"/>
    <w:rPr>
      <w:rFonts w:ascii="Times New Roman" w:hAnsi="Times New Roman" w:eastAsia="宋体" w:cs="Times New Roman"/>
      <w:sz w:val="16"/>
      <w:szCs w:val="16"/>
    </w:rPr>
  </w:style>
  <w:style w:type="character" w:customStyle="1" w:styleId="61">
    <w:name w:val="正文文本缩进 Char"/>
    <w:basedOn w:val="37"/>
    <w:link w:val="19"/>
    <w:qFormat/>
    <w:uiPriority w:val="0"/>
    <w:rPr>
      <w:rFonts w:ascii="Times New Roman" w:hAnsi="Times New Roman" w:eastAsia="宋体" w:cs="Times New Roman"/>
      <w:sz w:val="24"/>
      <w:szCs w:val="24"/>
    </w:rPr>
  </w:style>
  <w:style w:type="character" w:customStyle="1" w:styleId="62">
    <w:name w:val="纯文本 Char"/>
    <w:basedOn w:val="37"/>
    <w:link w:val="2"/>
    <w:qFormat/>
    <w:uiPriority w:val="0"/>
    <w:rPr>
      <w:rFonts w:ascii="宋体" w:hAnsi="Courier New" w:cs="Courier New"/>
      <w:szCs w:val="21"/>
    </w:rPr>
  </w:style>
  <w:style w:type="character" w:customStyle="1" w:styleId="63">
    <w:name w:val="日期 Char"/>
    <w:basedOn w:val="37"/>
    <w:link w:val="23"/>
    <w:qFormat/>
    <w:uiPriority w:val="0"/>
    <w:rPr>
      <w:rFonts w:ascii="宋体" w:hAnsi="Times New Roman" w:eastAsia="宋体" w:cs="Times New Roman"/>
      <w:kern w:val="0"/>
      <w:szCs w:val="20"/>
    </w:rPr>
  </w:style>
  <w:style w:type="character" w:customStyle="1" w:styleId="64">
    <w:name w:val="正文文本缩进 2 Char"/>
    <w:basedOn w:val="37"/>
    <w:link w:val="24"/>
    <w:qFormat/>
    <w:uiPriority w:val="0"/>
    <w:rPr>
      <w:rFonts w:ascii="Times New Roman" w:hAnsi="Times New Roman" w:eastAsia="宋体" w:cs="Times New Roman"/>
      <w:sz w:val="24"/>
      <w:szCs w:val="24"/>
    </w:rPr>
  </w:style>
  <w:style w:type="character" w:customStyle="1" w:styleId="65">
    <w:name w:val="批注框文本 Char"/>
    <w:basedOn w:val="37"/>
    <w:link w:val="25"/>
    <w:qFormat/>
    <w:uiPriority w:val="0"/>
    <w:rPr>
      <w:rFonts w:eastAsia="宋体"/>
      <w:sz w:val="18"/>
    </w:rPr>
  </w:style>
  <w:style w:type="character" w:customStyle="1" w:styleId="66">
    <w:name w:val="正文文本缩进 3 Char"/>
    <w:basedOn w:val="37"/>
    <w:link w:val="31"/>
    <w:qFormat/>
    <w:uiPriority w:val="0"/>
    <w:rPr>
      <w:rFonts w:ascii="Times New Roman" w:hAnsi="Times New Roman" w:eastAsia="宋体" w:cs="Times New Roman"/>
      <w:sz w:val="16"/>
      <w:szCs w:val="16"/>
    </w:rPr>
  </w:style>
  <w:style w:type="character" w:customStyle="1" w:styleId="67">
    <w:name w:val="HTML 预设格式 Char"/>
    <w:basedOn w:val="37"/>
    <w:link w:val="34"/>
    <w:qFormat/>
    <w:uiPriority w:val="0"/>
    <w:rPr>
      <w:rFonts w:ascii="黑体" w:hAnsi="Courier New" w:eastAsia="黑体" w:cs="Courier New"/>
      <w:kern w:val="0"/>
      <w:sz w:val="20"/>
      <w:szCs w:val="20"/>
    </w:rPr>
  </w:style>
  <w:style w:type="character" w:customStyle="1" w:styleId="68">
    <w:name w:val="批注主题 Char"/>
    <w:basedOn w:val="59"/>
    <w:link w:val="12"/>
    <w:semiHidden/>
    <w:qFormat/>
    <w:uiPriority w:val="0"/>
    <w:rPr>
      <w:b/>
      <w:bCs/>
      <w:szCs w:val="24"/>
    </w:rPr>
  </w:style>
  <w:style w:type="character" w:customStyle="1" w:styleId="69">
    <w:name w:val="f141"/>
    <w:qFormat/>
    <w:uiPriority w:val="0"/>
    <w:rPr>
      <w:sz w:val="21"/>
      <w:szCs w:val="21"/>
    </w:rPr>
  </w:style>
  <w:style w:type="character" w:customStyle="1" w:styleId="70">
    <w:name w:val="p141"/>
    <w:qFormat/>
    <w:uiPriority w:val="0"/>
    <w:rPr>
      <w:sz w:val="21"/>
      <w:szCs w:val="21"/>
    </w:rPr>
  </w:style>
  <w:style w:type="paragraph" w:customStyle="1" w:styleId="71">
    <w:name w:val="_Style 33"/>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72">
    <w:name w:val="s10pv000000"/>
    <w:basedOn w:val="37"/>
    <w:qFormat/>
    <w:uiPriority w:val="0"/>
  </w:style>
  <w:style w:type="paragraph" w:customStyle="1" w:styleId="73">
    <w:name w:val="样式 标题 4 + 段前: 5 磅 段后: 5 磅 行距: 单倍行距"/>
    <w:basedOn w:val="6"/>
    <w:qFormat/>
    <w:uiPriority w:val="0"/>
    <w:pPr>
      <w:widowControl w:val="0"/>
      <w:tabs>
        <w:tab w:val="left" w:pos="1680"/>
      </w:tabs>
      <w:adjustRightInd w:val="0"/>
      <w:spacing w:before="100" w:after="100" w:line="240" w:lineRule="auto"/>
      <w:ind w:left="1680" w:hanging="420"/>
      <w:textAlignment w:val="baseline"/>
    </w:pPr>
    <w:rPr>
      <w:bCs w:val="0"/>
      <w:szCs w:val="20"/>
    </w:rPr>
  </w:style>
  <w:style w:type="paragraph" w:customStyle="1" w:styleId="74">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5">
    <w:name w:val="基准标题"/>
    <w:basedOn w:val="18"/>
    <w:next w:val="18"/>
    <w:qFormat/>
    <w:uiPriority w:val="0"/>
    <w:pPr>
      <w:keepNext/>
      <w:keepLines/>
      <w:widowControl/>
      <w:spacing w:after="0" w:line="240" w:lineRule="atLeast"/>
      <w:jc w:val="left"/>
    </w:pPr>
    <w:rPr>
      <w:rFonts w:ascii="Garamond" w:hAnsi="Garamond"/>
      <w:kern w:val="20"/>
      <w:sz w:val="22"/>
      <w:szCs w:val="20"/>
      <w:lang w:bidi="he-IL"/>
    </w:rPr>
  </w:style>
  <w:style w:type="paragraph" w:customStyle="1" w:styleId="76">
    <w:name w:val="表格"/>
    <w:basedOn w:val="1"/>
    <w:qFormat/>
    <w:uiPriority w:val="0"/>
    <w:pPr>
      <w:spacing w:line="420" w:lineRule="exact"/>
      <w:ind w:left="84" w:leftChars="40"/>
      <w:jc w:val="center"/>
    </w:pPr>
    <w:rPr>
      <w:rFonts w:ascii="宋体" w:hAnsi="宋体"/>
      <w:bCs/>
      <w:spacing w:val="-12"/>
    </w:rPr>
  </w:style>
  <w:style w:type="paragraph" w:customStyle="1" w:styleId="77">
    <w:name w:val="font6"/>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78">
    <w:name w:val="样式4"/>
    <w:basedOn w:val="1"/>
    <w:qFormat/>
    <w:uiPriority w:val="0"/>
    <w:pPr>
      <w:tabs>
        <w:tab w:val="left" w:pos="2328"/>
      </w:tabs>
      <w:ind w:left="2328" w:hanging="708"/>
    </w:pPr>
  </w:style>
  <w:style w:type="paragraph" w:customStyle="1" w:styleId="79">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80">
    <w:name w:val="3 Char"/>
    <w:basedOn w:val="1"/>
    <w:qFormat/>
    <w:uiPriority w:val="0"/>
    <w:pPr>
      <w:widowControl/>
      <w:spacing w:line="400" w:lineRule="exact"/>
      <w:jc w:val="center"/>
    </w:pPr>
    <w:rPr>
      <w:rFonts w:ascii="Verdana" w:hAnsi="Verdana"/>
      <w:kern w:val="0"/>
      <w:szCs w:val="20"/>
      <w:lang w:eastAsia="en-US"/>
    </w:rPr>
  </w:style>
  <w:style w:type="character" w:customStyle="1" w:styleId="81">
    <w:name w:val="批注文字 Char1"/>
    <w:basedOn w:val="37"/>
    <w:qFormat/>
    <w:uiPriority w:val="0"/>
    <w:rPr>
      <w:rFonts w:ascii="Times New Roman" w:hAnsi="Times New Roman" w:eastAsia="宋体" w:cs="Times New Roman"/>
      <w:szCs w:val="24"/>
    </w:rPr>
  </w:style>
  <w:style w:type="paragraph" w:customStyle="1" w:styleId="82">
    <w:name w:val="样式 标题 2 + 宋体 五号 非加粗 黑色"/>
    <w:basedOn w:val="4"/>
    <w:qFormat/>
    <w:uiPriority w:val="0"/>
    <w:pPr>
      <w:tabs>
        <w:tab w:val="left" w:pos="840"/>
      </w:tabs>
      <w:adjustRightInd w:val="0"/>
      <w:spacing w:line="416" w:lineRule="atLeast"/>
      <w:ind w:left="840" w:hanging="420"/>
      <w:jc w:val="left"/>
      <w:textAlignment w:val="baseline"/>
    </w:pPr>
    <w:rPr>
      <w:rFonts w:ascii="宋体" w:hAnsi="宋体" w:eastAsia="宋体"/>
      <w:b w:val="0"/>
      <w:bCs w:val="0"/>
      <w:color w:val="000000"/>
      <w:kern w:val="0"/>
      <w:sz w:val="21"/>
      <w:szCs w:val="20"/>
    </w:rPr>
  </w:style>
  <w:style w:type="paragraph" w:customStyle="1" w:styleId="83">
    <w:name w:val="xl29"/>
    <w:basedOn w:val="1"/>
    <w:qFormat/>
    <w:uiPriority w:val="0"/>
    <w:pPr>
      <w:widowControl/>
      <w:spacing w:before="100" w:beforeAutospacing="1" w:after="100" w:afterAutospacing="1"/>
      <w:jc w:val="center"/>
    </w:pPr>
    <w:rPr>
      <w:rFonts w:ascii="宋体" w:hAnsi="宋体"/>
      <w:kern w:val="0"/>
      <w:sz w:val="28"/>
      <w:szCs w:val="28"/>
    </w:rPr>
  </w:style>
  <w:style w:type="paragraph" w:customStyle="1" w:styleId="84">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85">
    <w:name w:val="设计方案"/>
    <w:basedOn w:val="1"/>
    <w:qFormat/>
    <w:uiPriority w:val="0"/>
    <w:pPr>
      <w:widowControl/>
      <w:tabs>
        <w:tab w:val="left" w:pos="425"/>
      </w:tabs>
      <w:spacing w:after="160" w:line="240" w:lineRule="exact"/>
      <w:ind w:left="425" w:hanging="425"/>
      <w:jc w:val="left"/>
    </w:pPr>
    <w:rPr>
      <w:rFonts w:ascii="Verdana" w:hAnsi="Verdana"/>
      <w:kern w:val="0"/>
      <w:szCs w:val="20"/>
      <w:lang w:eastAsia="en-US"/>
    </w:rPr>
  </w:style>
  <w:style w:type="paragraph" w:customStyle="1" w:styleId="86">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7">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88">
    <w:name w:val="样式1"/>
    <w:basedOn w:val="1"/>
    <w:qFormat/>
    <w:uiPriority w:val="0"/>
    <w:pPr>
      <w:tabs>
        <w:tab w:val="left" w:pos="425"/>
        <w:tab w:val="left" w:pos="709"/>
      </w:tabs>
      <w:adjustRightInd w:val="0"/>
      <w:ind w:left="425" w:hanging="425"/>
      <w:textAlignment w:val="baseline"/>
    </w:pPr>
    <w:rPr>
      <w:rFonts w:ascii="宋体" w:hAnsi="宋体"/>
      <w:kern w:val="0"/>
      <w:szCs w:val="20"/>
    </w:rPr>
  </w:style>
  <w:style w:type="paragraph" w:customStyle="1" w:styleId="89">
    <w:name w:val="head"/>
    <w:basedOn w:val="1"/>
    <w:qFormat/>
    <w:uiPriority w:val="0"/>
    <w:pPr>
      <w:widowControl/>
      <w:spacing w:before="100" w:beforeAutospacing="1" w:after="100" w:afterAutospacing="1"/>
      <w:jc w:val="center"/>
    </w:pPr>
    <w:rPr>
      <w:rFonts w:hint="eastAsia" w:ascii="黑体" w:hAnsi="宋体" w:eastAsia="黑体"/>
      <w:b/>
      <w:bCs/>
      <w:kern w:val="0"/>
      <w:sz w:val="28"/>
      <w:szCs w:val="28"/>
    </w:rPr>
  </w:style>
  <w:style w:type="paragraph" w:styleId="90">
    <w:name w:val="List Paragraph"/>
    <w:basedOn w:val="1"/>
    <w:link w:val="118"/>
    <w:qFormat/>
    <w:uiPriority w:val="34"/>
    <w:pPr>
      <w:ind w:firstLine="420" w:firstLineChars="200"/>
    </w:pPr>
  </w:style>
  <w:style w:type="paragraph" w:customStyle="1" w:styleId="91">
    <w:name w:val="默认段落字体 Para Char Char Char Char"/>
    <w:basedOn w:val="1"/>
    <w:qFormat/>
    <w:uiPriority w:val="0"/>
    <w:rPr>
      <w:szCs w:val="20"/>
    </w:rPr>
  </w:style>
  <w:style w:type="paragraph" w:customStyle="1" w:styleId="9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3">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94">
    <w:name w:val="Char Char Char Char Char Char Char"/>
    <w:basedOn w:val="1"/>
    <w:qFormat/>
    <w:uiPriority w:val="0"/>
    <w:rPr>
      <w:rFonts w:ascii="Tahoma" w:hAnsi="Tahoma" w:cs="Tahoma"/>
      <w:sz w:val="30"/>
      <w:szCs w:val="30"/>
    </w:rPr>
  </w:style>
  <w:style w:type="paragraph" w:customStyle="1" w:styleId="95">
    <w:name w:val="样式 标题 3h3H3sect1.2.3 + 五号 段前: 6 磅 段后: 6 磅 行距: 单倍行距"/>
    <w:basedOn w:val="5"/>
    <w:qFormat/>
    <w:uiPriority w:val="0"/>
    <w:pPr>
      <w:keepLines/>
      <w:tabs>
        <w:tab w:val="left" w:pos="1260"/>
      </w:tabs>
      <w:adjustRightInd w:val="0"/>
      <w:spacing w:before="120" w:after="120"/>
      <w:ind w:left="1260" w:hanging="420"/>
      <w:jc w:val="left"/>
      <w:textAlignment w:val="baseline"/>
    </w:pPr>
    <w:rPr>
      <w:rFonts w:ascii="Times New Roman" w:hAnsi="Times New Roman" w:eastAsia="宋体"/>
      <w:bCs w:val="0"/>
      <w:kern w:val="0"/>
      <w:sz w:val="21"/>
      <w:szCs w:val="20"/>
    </w:rPr>
  </w:style>
  <w:style w:type="character" w:customStyle="1" w:styleId="96">
    <w:name w:val="纯文本 Char1"/>
    <w:basedOn w:val="37"/>
    <w:qFormat/>
    <w:uiPriority w:val="0"/>
    <w:rPr>
      <w:rFonts w:ascii="宋体" w:hAnsi="Courier New" w:eastAsia="宋体" w:cs="Courier New"/>
      <w:szCs w:val="21"/>
    </w:rPr>
  </w:style>
  <w:style w:type="character" w:customStyle="1" w:styleId="97">
    <w:name w:val="批注框文本 Char1"/>
    <w:basedOn w:val="37"/>
    <w:semiHidden/>
    <w:qFormat/>
    <w:uiPriority w:val="99"/>
    <w:rPr>
      <w:rFonts w:ascii="Times New Roman" w:hAnsi="Times New Roman" w:eastAsia="宋体" w:cs="Times New Roman"/>
      <w:sz w:val="18"/>
      <w:szCs w:val="18"/>
    </w:rPr>
  </w:style>
  <w:style w:type="paragraph" w:customStyle="1" w:styleId="98">
    <w:name w:val="Char1 Char Char Char"/>
    <w:basedOn w:val="1"/>
    <w:qFormat/>
    <w:uiPriority w:val="0"/>
    <w:rPr>
      <w:szCs w:val="20"/>
    </w:rPr>
  </w:style>
  <w:style w:type="paragraph" w:customStyle="1" w:styleId="99">
    <w:name w:val="Char1"/>
    <w:basedOn w:val="1"/>
    <w:qFormat/>
    <w:uiPriority w:val="0"/>
    <w:pPr>
      <w:widowControl/>
      <w:spacing w:after="160" w:line="240" w:lineRule="exact"/>
      <w:jc w:val="left"/>
    </w:pPr>
    <w:rPr>
      <w:sz w:val="24"/>
    </w:rPr>
  </w:style>
  <w:style w:type="paragraph" w:customStyle="1" w:styleId="100">
    <w:name w:val="默认段落字体 Para Char"/>
    <w:basedOn w:val="1"/>
    <w:qFormat/>
    <w:uiPriority w:val="0"/>
  </w:style>
  <w:style w:type="paragraph" w:customStyle="1" w:styleId="101">
    <w:name w:val="Char1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102">
    <w:name w:val="TOC 标题1"/>
    <w:basedOn w:val="3"/>
    <w:next w:val="1"/>
    <w:qFormat/>
    <w:uiPriority w:val="39"/>
    <w:pPr>
      <w:keepLines/>
      <w:spacing w:before="480" w:line="276" w:lineRule="auto"/>
      <w:outlineLvl w:val="9"/>
    </w:pPr>
    <w:rPr>
      <w:rFonts w:ascii="Cambria" w:hAnsi="Cambria"/>
      <w:color w:val="365F91"/>
      <w:sz w:val="28"/>
      <w:szCs w:val="28"/>
    </w:rPr>
  </w:style>
  <w:style w:type="paragraph" w:customStyle="1" w:styleId="10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04">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105">
    <w:name w:val="Char Char2 Char"/>
    <w:basedOn w:val="1"/>
    <w:qFormat/>
    <w:uiPriority w:val="0"/>
    <w:rPr>
      <w:rFonts w:ascii="宋体" w:hAnsi="宋体"/>
      <w:b/>
      <w:sz w:val="28"/>
      <w:szCs w:val="28"/>
    </w:rPr>
  </w:style>
  <w:style w:type="character" w:customStyle="1" w:styleId="106">
    <w:name w:val="正文缩进 Char"/>
    <w:link w:val="15"/>
    <w:qFormat/>
    <w:uiPriority w:val="0"/>
    <w:rPr>
      <w:rFonts w:ascii="Times New Roman" w:hAnsi="Times New Roman" w:eastAsia="宋体" w:cs="Times New Roman"/>
      <w:szCs w:val="21"/>
    </w:rPr>
  </w:style>
  <w:style w:type="paragraph" w:customStyle="1" w:styleId="107">
    <w:name w:val="Char Char Char"/>
    <w:basedOn w:val="1"/>
    <w:qFormat/>
    <w:uiPriority w:val="0"/>
    <w:rPr>
      <w:rFonts w:ascii="宋体" w:hAnsi="宋体"/>
      <w:b/>
      <w:sz w:val="28"/>
      <w:szCs w:val="28"/>
    </w:rPr>
  </w:style>
  <w:style w:type="paragraph" w:customStyle="1" w:styleId="108">
    <w:name w:val="Char2"/>
    <w:basedOn w:val="1"/>
    <w:qFormat/>
    <w:uiPriority w:val="0"/>
    <w:pPr>
      <w:widowControl/>
      <w:spacing w:after="160" w:line="240" w:lineRule="exact"/>
      <w:jc w:val="left"/>
    </w:pPr>
    <w:rPr>
      <w:szCs w:val="20"/>
    </w:rPr>
  </w:style>
  <w:style w:type="paragraph" w:customStyle="1" w:styleId="109">
    <w:name w:val="a"/>
    <w:basedOn w:val="1"/>
    <w:qFormat/>
    <w:uiPriority w:val="0"/>
    <w:pPr>
      <w:widowControl/>
      <w:spacing w:before="100" w:beforeAutospacing="1" w:after="100" w:afterAutospacing="1"/>
      <w:jc w:val="left"/>
    </w:pPr>
    <w:rPr>
      <w:rFonts w:ascii="宋体" w:hAnsi="宋体" w:cs="宋体"/>
      <w:kern w:val="0"/>
      <w:sz w:val="24"/>
    </w:rPr>
  </w:style>
  <w:style w:type="character" w:customStyle="1" w:styleId="110">
    <w:name w:val="明显参考1"/>
    <w:qFormat/>
    <w:uiPriority w:val="32"/>
    <w:rPr>
      <w:b/>
      <w:bCs/>
      <w:smallCaps/>
      <w:color w:val="C0504D"/>
      <w:spacing w:val="5"/>
      <w:u w:val="single"/>
    </w:rPr>
  </w:style>
  <w:style w:type="paragraph" w:customStyle="1" w:styleId="111">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12">
    <w:name w:val="Char Char2 Char1"/>
    <w:basedOn w:val="1"/>
    <w:qFormat/>
    <w:uiPriority w:val="0"/>
    <w:rPr>
      <w:rFonts w:ascii="宋体" w:hAnsi="宋体"/>
      <w:b/>
      <w:sz w:val="28"/>
      <w:szCs w:val="28"/>
    </w:rPr>
  </w:style>
  <w:style w:type="paragraph" w:customStyle="1" w:styleId="113">
    <w:name w:val="Char Char Char1 Char"/>
    <w:basedOn w:val="16"/>
    <w:qFormat/>
    <w:uiPriority w:val="0"/>
    <w:rPr>
      <w:rFonts w:ascii="Tahoma" w:hAnsi="Tahoma"/>
      <w:sz w:val="24"/>
      <w:szCs w:val="24"/>
    </w:rPr>
  </w:style>
  <w:style w:type="paragraph" w:customStyle="1" w:styleId="114">
    <w:name w:val="列出段落1"/>
    <w:basedOn w:val="1"/>
    <w:link w:val="115"/>
    <w:qFormat/>
    <w:uiPriority w:val="34"/>
    <w:pPr>
      <w:autoSpaceDE w:val="0"/>
      <w:autoSpaceDN w:val="0"/>
      <w:adjustRightInd w:val="0"/>
      <w:ind w:firstLine="420" w:firstLineChars="200"/>
      <w:jc w:val="left"/>
    </w:pPr>
    <w:rPr>
      <w:kern w:val="0"/>
      <w:sz w:val="20"/>
      <w:szCs w:val="20"/>
      <w:lang w:val="zh-CN"/>
    </w:rPr>
  </w:style>
  <w:style w:type="character" w:customStyle="1" w:styleId="115">
    <w:name w:val="List Paragraph Char"/>
    <w:link w:val="114"/>
    <w:qFormat/>
    <w:locked/>
    <w:uiPriority w:val="34"/>
    <w:rPr>
      <w:rFonts w:ascii="Times New Roman" w:hAnsi="Times New Roman" w:eastAsia="宋体" w:cs="Times New Roman"/>
      <w:kern w:val="0"/>
      <w:sz w:val="20"/>
      <w:szCs w:val="20"/>
      <w:lang w:val="zh-CN"/>
    </w:rPr>
  </w:style>
  <w:style w:type="paragraph" w:customStyle="1" w:styleId="116">
    <w:name w:val="修订2"/>
    <w:hidden/>
    <w:unhideWhenUsed/>
    <w:qFormat/>
    <w:uiPriority w:val="99"/>
    <w:rPr>
      <w:rFonts w:ascii="Times New Roman" w:hAnsi="Times New Roman" w:eastAsia="宋体" w:cs="Times New Roman"/>
      <w:kern w:val="2"/>
      <w:sz w:val="21"/>
      <w:szCs w:val="24"/>
      <w:lang w:val="en-US" w:eastAsia="zh-CN" w:bidi="ar-SA"/>
    </w:rPr>
  </w:style>
  <w:style w:type="character" w:customStyle="1" w:styleId="117">
    <w:name w:val="apple-converted-space"/>
    <w:basedOn w:val="37"/>
    <w:qFormat/>
    <w:uiPriority w:val="0"/>
  </w:style>
  <w:style w:type="character" w:customStyle="1" w:styleId="118">
    <w:name w:val="列出段落 Char"/>
    <w:link w:val="90"/>
    <w:qFormat/>
    <w:uiPriority w:val="34"/>
    <w:rPr>
      <w:rFonts w:ascii="Times New Roman" w:hAnsi="Times New Roman" w:eastAsia="宋体" w:cs="Times New Roman"/>
      <w:szCs w:val="24"/>
    </w:rPr>
  </w:style>
  <w:style w:type="paragraph" w:customStyle="1" w:styleId="119">
    <w:name w:val="正文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0">
    <w:name w:val="正文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1">
    <w:name w:val="p0"/>
    <w:basedOn w:val="1"/>
    <w:qFormat/>
    <w:uiPriority w:val="0"/>
    <w:pPr>
      <w:spacing w:before="100" w:beforeAutospacing="1" w:after="100" w:afterAutospacing="1"/>
    </w:pPr>
    <w:rPr>
      <w:rFonts w:ascii="宋体" w:hAnsi="宋体" w:cs="宋体"/>
      <w:sz w:val="24"/>
    </w:rPr>
  </w:style>
  <w:style w:type="paragraph" w:customStyle="1" w:styleId="122">
    <w:name w:val="普通 (Web)"/>
    <w:basedOn w:val="1"/>
    <w:qFormat/>
    <w:uiPriority w:val="0"/>
    <w:pPr>
      <w:widowControl/>
      <w:spacing w:before="100" w:beforeAutospacing="1" w:after="100" w:afterAutospacing="1"/>
      <w:jc w:val="left"/>
    </w:pPr>
    <w:rPr>
      <w:rFonts w:ascii="宋体" w:hAnsi="宋体"/>
      <w:kern w:val="0"/>
      <w:sz w:val="24"/>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72</Pages>
  <Words>6976</Words>
  <Characters>39765</Characters>
  <Lines>331</Lines>
  <Paragraphs>93</Paragraphs>
  <TotalTime>13</TotalTime>
  <ScaleCrop>false</ScaleCrop>
  <LinksUpToDate>false</LinksUpToDate>
  <CharactersWithSpaces>46648</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2021-03-26T14:11:00Z</dcterms:created>
  <dc:creator>陈陈</dc:creator>
  <cp:lastModifiedBy>ABC</cp:lastModifiedBy>
  <cp:lastPrinted>2021-04-08T05:58:00Z</cp:lastPrinted>
  <dcterms:modified xsi:type="dcterms:W3CDTF">2021-04-09T07:46:45Z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