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jc w:val="center"/>
        <w:rPr>
          <w:rFonts w:ascii="方正小标宋简体" w:hAnsi="Calibri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highlight w:val="none"/>
          <w:u w:val="none"/>
        </w:rPr>
        <w:t>其他建设工程类别清单</w:t>
      </w:r>
    </w:p>
    <w:p>
      <w:pPr>
        <w:spacing w:line="600" w:lineRule="exact"/>
        <w:ind w:firstLine="632" w:firstLineChars="200"/>
        <w:rPr>
          <w:rFonts w:ascii="仿宋_GB2312" w:eastAsia="仿宋_GB2312" w:cs="仿宋_GB2312"/>
          <w:spacing w:val="-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 w:cs="仿宋_GB2312"/>
          <w:spacing w:val="-2"/>
          <w:sz w:val="32"/>
          <w:szCs w:val="32"/>
          <w:highlight w:val="none"/>
          <w:u w:val="none"/>
        </w:rPr>
        <w:t>本工作方案所称</w:t>
      </w:r>
      <w:bookmarkStart w:id="0" w:name="_GoBack"/>
      <w:bookmarkEnd w:id="0"/>
      <w:r>
        <w:rPr>
          <w:rFonts w:hint="eastAsia" w:ascii="仿宋_GB2312" w:eastAsia="仿宋_GB2312" w:cs="仿宋_GB2312"/>
          <w:spacing w:val="-2"/>
          <w:sz w:val="32"/>
          <w:szCs w:val="32"/>
          <w:highlight w:val="none"/>
          <w:u w:val="none"/>
        </w:rPr>
        <w:t>其他建设工程，是指施工许可手续非</w:t>
      </w:r>
      <w:r>
        <w:rPr>
          <w:rFonts w:hint="eastAsia" w:ascii="仿宋_GB2312" w:eastAsia="仿宋_GB2312" w:cs="仿宋_GB2312"/>
          <w:spacing w:val="-2"/>
          <w:sz w:val="32"/>
          <w:szCs w:val="32"/>
          <w:highlight w:val="none"/>
          <w:u w:val="none"/>
          <w:lang w:eastAsia="zh-CN"/>
        </w:rPr>
        <w:t>住房和城乡建设</w:t>
      </w:r>
      <w:r>
        <w:rPr>
          <w:rFonts w:hint="eastAsia" w:ascii="仿宋_GB2312" w:eastAsia="仿宋_GB2312" w:cs="仿宋_GB2312"/>
          <w:spacing w:val="-2"/>
          <w:sz w:val="32"/>
          <w:szCs w:val="32"/>
          <w:highlight w:val="none"/>
          <w:u w:val="none"/>
        </w:rPr>
        <w:t>部门核发，但按法律规定应由市、区</w:t>
      </w:r>
      <w:r>
        <w:rPr>
          <w:rFonts w:hint="eastAsia" w:ascii="仿宋_GB2312" w:eastAsia="仿宋_GB2312" w:cs="仿宋_GB2312"/>
          <w:spacing w:val="-2"/>
          <w:sz w:val="32"/>
          <w:szCs w:val="32"/>
          <w:highlight w:val="none"/>
          <w:u w:val="none"/>
          <w:lang w:eastAsia="zh-CN"/>
        </w:rPr>
        <w:t>住房和城乡建设</w:t>
      </w:r>
      <w:r>
        <w:rPr>
          <w:rFonts w:hint="eastAsia" w:ascii="仿宋_GB2312" w:eastAsia="仿宋_GB2312" w:cs="仿宋_GB2312"/>
          <w:spacing w:val="-2"/>
          <w:sz w:val="32"/>
          <w:szCs w:val="32"/>
          <w:highlight w:val="none"/>
          <w:u w:val="none"/>
        </w:rPr>
        <w:t>部门负责消防设计审查、验收、备案抽查的建设工程，具体包括30类：</w:t>
      </w:r>
    </w:p>
    <w:tbl>
      <w:tblPr>
        <w:tblStyle w:val="5"/>
        <w:tblW w:w="9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01.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铁路工程（含城市轨道交通工程）；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16.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核工业工程；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02.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公路工程；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17.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建材工程；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03.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水利工程；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18.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冶金工程；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04.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煤炭矿山工程；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19.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有色金属工程；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05.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水运工程（含港口、码头等）；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20.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石化工程；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06.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海洋工程；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21.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化工工程；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07.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民航工程；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22.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医药工程；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08.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商业与物资工程；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23.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机械工程；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09.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农业工程；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24.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航天与航空工程；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10.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林业工程；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25.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兵器与船舶工程；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11.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粮食工程；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26.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轻工工程；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12.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石油天然气工程；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27.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纺织工程；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13.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海洋石油工程；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28.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电子与通信工程；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14.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火电工程；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29.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广播电影电视工程；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15.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水电工程；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</w:pPr>
            <w:r>
              <w:rPr>
                <w:rFonts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30.</w:t>
            </w:r>
            <w:r>
              <w:rPr>
                <w:rFonts w:hint="eastAsia" w:ascii="仿宋_GB2312" w:eastAsia="仿宋_GB2312" w:cs="仿宋_GB2312"/>
                <w:spacing w:val="-2"/>
                <w:sz w:val="32"/>
                <w:szCs w:val="32"/>
                <w:highlight w:val="none"/>
                <w:u w:val="none"/>
              </w:rPr>
              <w:t>市政工程。</w:t>
            </w:r>
          </w:p>
        </w:tc>
      </w:tr>
    </w:tbl>
    <w:p>
      <w:pPr>
        <w:spacing w:line="560" w:lineRule="exact"/>
        <w:jc w:val="left"/>
      </w:pPr>
      <w:r>
        <w:rPr>
          <w:rFonts w:hint="eastAsia" w:ascii="仿宋_GB2312" w:eastAsia="仿宋_GB2312"/>
          <w:spacing w:val="-2"/>
          <w:sz w:val="32"/>
          <w:szCs w:val="32"/>
          <w:highlight w:val="none"/>
          <w:u w:val="none"/>
        </w:rPr>
        <w:t>备注</w:t>
      </w:r>
      <w:r>
        <w:rPr>
          <w:rFonts w:ascii="仿宋_GB2312" w:eastAsia="仿宋_GB2312"/>
          <w:spacing w:val="-2"/>
          <w:sz w:val="32"/>
          <w:szCs w:val="32"/>
          <w:highlight w:val="none"/>
          <w:u w:val="none"/>
        </w:rPr>
        <w:t>：经与</w:t>
      </w:r>
      <w:r>
        <w:rPr>
          <w:rFonts w:hint="eastAsia" w:ascii="仿宋_GB2312" w:eastAsia="仿宋_GB2312"/>
          <w:spacing w:val="-2"/>
          <w:sz w:val="32"/>
          <w:szCs w:val="32"/>
          <w:highlight w:val="none"/>
          <w:u w:val="none"/>
        </w:rPr>
        <w:t>广州</w:t>
      </w:r>
      <w:r>
        <w:rPr>
          <w:rFonts w:ascii="仿宋_GB2312" w:eastAsia="仿宋_GB2312"/>
          <w:spacing w:val="-2"/>
          <w:sz w:val="32"/>
          <w:szCs w:val="32"/>
          <w:highlight w:val="none"/>
          <w:u w:val="none"/>
        </w:rPr>
        <w:t>供电局</w:t>
      </w:r>
      <w:r>
        <w:rPr>
          <w:rFonts w:hint="eastAsia" w:ascii="仿宋_GB2312" w:eastAsia="仿宋_GB2312"/>
          <w:spacing w:val="-2"/>
          <w:sz w:val="32"/>
          <w:szCs w:val="32"/>
          <w:highlight w:val="none"/>
          <w:u w:val="none"/>
        </w:rPr>
        <w:t>沟通</w:t>
      </w:r>
      <w:r>
        <w:rPr>
          <w:rFonts w:ascii="仿宋_GB2312" w:eastAsia="仿宋_GB2312"/>
          <w:spacing w:val="-2"/>
          <w:sz w:val="32"/>
          <w:szCs w:val="32"/>
          <w:highlight w:val="none"/>
          <w:u w:val="none"/>
        </w:rPr>
        <w:t>，</w:t>
      </w:r>
      <w:r>
        <w:rPr>
          <w:rFonts w:hint="eastAsia" w:ascii="仿宋_GB2312" w:eastAsia="仿宋_GB2312"/>
          <w:spacing w:val="-2"/>
          <w:sz w:val="32"/>
          <w:szCs w:val="32"/>
          <w:highlight w:val="none"/>
          <w:u w:val="none"/>
        </w:rPr>
        <w:t>变、配（输）电工程由</w:t>
      </w:r>
      <w:r>
        <w:rPr>
          <w:rFonts w:ascii="仿宋_GB2312" w:eastAsia="仿宋_GB2312"/>
          <w:spacing w:val="-2"/>
          <w:sz w:val="32"/>
          <w:szCs w:val="32"/>
          <w:highlight w:val="none"/>
          <w:u w:val="none"/>
        </w:rPr>
        <w:t>供电部门自行组织质量、安全监督及验收。</w:t>
      </w:r>
    </w:p>
    <w:sectPr>
      <w:headerReference r:id="rId3" w:type="default"/>
      <w:footerReference r:id="rId4" w:type="default"/>
      <w:pgSz w:w="11906" w:h="16838"/>
      <w:pgMar w:top="1814" w:right="969" w:bottom="1304" w:left="147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+ZICHPU-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3C20"/>
    <w:rsid w:val="03FB3308"/>
    <w:rsid w:val="1F2F3C20"/>
    <w:rsid w:val="710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2020-09-28T00:47:00Z</dcterms:created>
  <dc:creator>karius</dc:creator>
  <cp:lastModifiedBy>黄强</cp:lastModifiedBy>
  <dcterms:modified xsi:type="dcterms:W3CDTF">2020-09-29T02:29:39Z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