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附件2</w:t>
      </w:r>
    </w:p>
    <w:p>
      <w:pPr>
        <w:spacing w:line="600" w:lineRule="exact"/>
        <w:rPr>
          <w:rFonts w:ascii="黑体" w:hAnsi="黑体" w:eastAsia="黑体" w:cs="黑体"/>
          <w:color w:val="auto"/>
          <w:sz w:val="32"/>
          <w:szCs w:val="32"/>
        </w:rPr>
      </w:pP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国内重点高校及国（境）外知名院校名录</w:t>
      </w:r>
    </w:p>
    <w:p>
      <w:pPr>
        <w:spacing w:line="600" w:lineRule="exact"/>
        <w:rPr>
          <w:rFonts w:ascii="黑体" w:hAnsi="黑体" w:eastAsia="黑体" w:cs="黑体"/>
          <w:color w:val="auto"/>
          <w:sz w:val="32"/>
          <w:szCs w:val="32"/>
        </w:rPr>
      </w:pPr>
    </w:p>
    <w:p>
      <w:pPr>
        <w:spacing w:line="60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一、国内重点高校</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大学、清华大学、中国人民大学、北京航空大学、北京理工大学、中国农业大学、北京师范大学、中央民族大学、南开大学、天津大学、大连理工大学、同济大学、吉林大学、哈尔滨工业大学、复旦大学、上海交通大学、华东师范大学、南京大学、东南大学、浙江大学、山东大学、中国科学技术大学、厦门大学、武汉大学、华中科技大学、中南大学、中国海洋大学、中山大学、华南理工大学、四川大学、电子科技大学、西安交通大学、西北工业大学、兰州大学、重庆大学、国防科技大学、东北大学、郑州大学、云南大学、西北农林科技大学、湖南大学、新疆大学、北京交通大学、北京工业大学、北京科技大学、北京化工大学、北京邮电大学、首都师范大学、北京外国语大学、北京林业大学、外交学院、中国人民公安大学、对外经济贸易大学、中央财经大学、中国传媒大学、中央美术学院、天津工业大学、河北工业大学、中国政法大学、华北电力大学、太原理工大学、内蒙古大学、辽宁大学、大连海事大学、延边大学、南京林业大学、南京农业大学、哈尔滨工程大学、东北师范大学、河海大学、南京信息工程大学、中国矿业大学、上海财经大学、南京邮电大学、苏州大学、南京理工大学、江南大学、上海外国语大学、南京航空航天大学、上海大学、上海海洋大学、华东理工大学、东北林业大学、东华大学、东北农业大学、南京师范大学、中国美术学院、安徽大学、合肥工业大学、福州大学、中国地质大学、武汉理工大学、华中农业大学、华中师范大学、河南大学、南昌大学、华南师范大学、海南大学、湖南师范大学、中南财经政法大学、成都理工大学、西南石油大学、广西大学、暨南大学、西南交通大学、西南大学、西南财经大学、宁波大学、中国石油大学、中国科学院大学、四川农业大学、宁夏大学、石河子大学、长安大学、西安电子科技大学、青海大学、陕西师范大学、贵州大学、西藏大学、西北大学、</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"https://baike.baidu.com/item/%E5%B9%BF%E4%B8%9C%E5%B7%A5%E4%B8%9A%E5%A4%A7%E5%AD%A6"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广东工业大学</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"https://baike.baidu.com/item/%E5%8D%8E%E5%8D%97%E5%86%9C%E4%B8%9A%E5%A4%A7%E5%AD%A6"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华南农业大学</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、广东外语外贸大学、汕头大学。</w:t>
      </w:r>
    </w:p>
    <w:p>
      <w:pPr>
        <w:spacing w:line="60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二、国（境）外知名院校</w:t>
      </w:r>
    </w:p>
    <w:p>
      <w:pPr>
        <w:spacing w:line="600" w:lineRule="exact"/>
        <w:ind w:firstLine="640" w:firstLineChars="200"/>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rPr>
        <w:t>香港科技大学、香港大学、香港城市大学、香港中文大学、香港理工大学、澳门大学、台湾大学、台湾清华大学、哈佛大学</w:t>
      </w:r>
      <w:r>
        <w:rPr>
          <w:rFonts w:ascii="Times New Roman" w:hAnsi="Times New Roman" w:eastAsia="仿宋_GB2312"/>
          <w:bCs/>
          <w:color w:val="auto"/>
          <w:sz w:val="32"/>
          <w:szCs w:val="32"/>
        </w:rPr>
        <w:t xml:space="preserve"> (Harvard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 Arbor)、西北大学(Northwestern University)、密歇根大学(University of Michigan)、卡内基梅隆大学(Carnegie Mellon University)、</w:t>
      </w:r>
      <w:r>
        <w:rPr>
          <w:color w:val="auto"/>
        </w:rPr>
        <w:fldChar w:fldCharType="begin"/>
      </w:r>
      <w:r>
        <w:rPr>
          <w:color w:val="auto"/>
        </w:rPr>
        <w:instrText xml:space="preserve"> HYPERLINK "http://www.qianmu.org/%E4%BD%90%E6%B2%BB%E4%BA%9A%E7%90%86%E5%B7%A5%E5%AD%A6%E9%99%A2" </w:instrText>
      </w:r>
      <w:r>
        <w:rPr>
          <w:color w:val="auto"/>
        </w:rPr>
        <w:fldChar w:fldCharType="separate"/>
      </w:r>
      <w:r>
        <w:rPr>
          <w:rFonts w:ascii="Times New Roman" w:hAnsi="Times New Roman" w:eastAsia="仿宋_GB2312"/>
          <w:color w:val="auto"/>
          <w:sz w:val="32"/>
          <w:szCs w:val="32"/>
        </w:rPr>
        <w:t>佐治亚理工学院</w:t>
      </w:r>
      <w:r>
        <w:rPr>
          <w:rFonts w:ascii="Times New Roman" w:hAnsi="Times New Roman" w:eastAsia="仿宋_GB2312"/>
          <w:color w:val="auto"/>
          <w:sz w:val="32"/>
          <w:szCs w:val="32"/>
        </w:rPr>
        <w:fldChar w:fldCharType="end"/>
      </w:r>
      <w:r>
        <w:rPr>
          <w:rFonts w:ascii="Times New Roman" w:hAnsi="Times New Roman" w:eastAsia="仿宋_GB2312"/>
          <w:bCs/>
          <w:color w:val="auto"/>
          <w:sz w:val="32"/>
          <w:szCs w:val="32"/>
        </w:rPr>
        <w:t>(Georgia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London)、爱丁堡大学(The University of Edinburgh)、伦敦国王学院(King's College London)、伦敦政治经济学院(The London School of Economics and Political Science)、曼彻斯特大学(University of Manchester)、布里斯托大学(University of Bristol)、慕尼黑大学(Ludwig-Maximilians-Universität München)、海德堡大学(Ruprecht-Karls-Universität Heidelberg)、慕尼黑工业大学(Technische Universität München)、苏黎世联邦理工学院(Eidgenössische Technische Hochschule Zürich ETHZ)、洛桑联邦理工学院(Ecole polytechnique fédérale de Lausanne EPFL)、苏黎世大学(Universität Zürich)、卡罗琳学院(Karolinska Institute)、澳大利亚国立大学(The Australian National University)、悉尼大学(The University of Sydney)、墨尔本大学(The University of Melbourne)、新南威尔士大学(The University of New South Wales)、昆士兰大学(The University of Queensland)、多伦多大学(University of Toronto)、麦吉尔大学(McGill University)、英属哥伦比亚大学(University of British Columbia)、巴黎高等师范学院(Ecole Normale Supérieure de Paris)、哥本哈根大学(University of Copenhagen)、莫斯科国立大学(Московский государственный университет)、新加坡国立大学(National University of Singapore)、南洋理工大学(Nanyang Technological University)。</w:t>
      </w:r>
    </w:p>
    <w:p>
      <w:pPr>
        <w:spacing w:line="600" w:lineRule="exact"/>
        <w:ind w:firstLine="643" w:firstLineChars="200"/>
        <w:rPr>
          <w:rFonts w:hint="eastAsia" w:ascii="仿宋_GB2312" w:hAnsi="仿宋_GB2312" w:eastAsia="仿宋_GB2312" w:cs="仿宋_GB2312"/>
          <w:b/>
          <w:color w:val="auto"/>
          <w:sz w:val="32"/>
          <w:szCs w:val="32"/>
        </w:rPr>
      </w:pPr>
    </w:p>
    <w:p>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备注：</w:t>
      </w:r>
      <w:r>
        <w:rPr>
          <w:rFonts w:hint="eastAsia" w:ascii="仿宋_GB2312" w:hAnsi="仿宋_GB2312" w:eastAsia="仿宋_GB2312" w:cs="仿宋_GB2312"/>
          <w:color w:val="auto"/>
          <w:sz w:val="32"/>
          <w:szCs w:val="32"/>
        </w:rPr>
        <w:t>国（境）外知名院校包括但不仅限于上述所列院校，未列明的院校应为近五年（201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年）QS世界大学排名（QS World University Rankings）和泰晤士高等教育世界大学排名（Times Higher Education World University Rankings）前300名院校。请报名人员自行查阅毕业院校是否符合院校范围。</w:t>
      </w:r>
    </w:p>
    <w:p>
      <w:pPr>
        <w:spacing w:line="540" w:lineRule="exact"/>
        <w:rPr>
          <w:rFonts w:ascii="仿宋_GB2312" w:eastAsia="仿宋_GB2312"/>
          <w:color w:val="auto"/>
          <w:spacing w:val="-11"/>
          <w:sz w:val="32"/>
          <w:szCs w:val="32"/>
        </w:rPr>
      </w:pPr>
    </w:p>
    <w:p>
      <w:bookmarkStart w:id="0" w:name="_GoBack"/>
      <w:bookmarkEnd w:id="0"/>
    </w:p>
    <w:sectPr>
      <w:headerReference r:id="rId3" w:type="first"/>
      <w:footerReference r:id="rId5" w:type="first"/>
      <w:footerReference r:id="rId4" w:type="default"/>
      <w:pgSz w:w="11906" w:h="16838"/>
      <w:pgMar w:top="1984" w:right="1474" w:bottom="1587"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r>
      <w:rPr>
        <w:sz w:val="24"/>
      </w:rPr>
      <w:fldChar w:fldCharType="begin"/>
    </w:r>
    <w:r>
      <w:rPr>
        <w:sz w:val="24"/>
      </w:rPr>
      <w:instrText xml:space="preserve"> PAGE   \* MERGEFORMAT </w:instrText>
    </w:r>
    <w:r>
      <w:rPr>
        <w:sz w:val="24"/>
      </w:rPr>
      <w:fldChar w:fldCharType="separate"/>
    </w:r>
    <w:r>
      <w:rPr>
        <w:sz w:val="24"/>
        <w:lang w:val="zh-CN"/>
      </w:rPr>
      <w:t>1</w:t>
    </w:r>
    <w:r>
      <w:rPr>
        <w:sz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40" w:lineRule="exact"/>
      <w:jc w:val="left"/>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52728"/>
    <w:rsid w:val="34B5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Lines="0" w:beforeAutospacing="0" w:afterLines="0" w:afterAutospacing="0" w:line="240" w:lineRule="auto"/>
      <w:ind w:left="630" w:leftChars="300"/>
      <w:outlineLvl w:val="1"/>
    </w:pPr>
    <w:rPr>
      <w:rFonts w:ascii="Arial" w:hAnsi="Arial" w:eastAsia="楷体"/>
      <w:b/>
      <w:kern w:val="0"/>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2020-07-02T03:20:00Z</dcterms:created>
  <dc:creator>Administrator</dc:creator>
  <cp:lastModifiedBy>Administrator</cp:lastModifiedBy>
  <dcterms:modified xsi:type="dcterms:W3CDTF">2020-07-02T03:21:09Z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