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2" w:rsidRDefault="009F7D82" w:rsidP="009F7D82">
      <w:pPr>
        <w:spacing w:line="560" w:lineRule="exact"/>
        <w:ind w:leftChars="-85" w:left="-178" w:rightChars="-73" w:right="-153"/>
        <w:jc w:val="center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广州市南沙区教育局</w:t>
      </w:r>
      <w:r>
        <w:rPr>
          <w:rFonts w:ascii="方正小标宋_GBK" w:hAnsi="方正小标宋_GBK"/>
          <w:sz w:val="44"/>
          <w:szCs w:val="44"/>
        </w:rPr>
        <w:t>2019</w:t>
      </w:r>
      <w:r>
        <w:rPr>
          <w:rFonts w:ascii="方正小标宋_GBK" w:hAnsi="方正小标宋_GBK"/>
          <w:sz w:val="44"/>
          <w:szCs w:val="44"/>
        </w:rPr>
        <w:t>年度行政许可</w:t>
      </w:r>
    </w:p>
    <w:p w:rsidR="009F7D82" w:rsidRDefault="009F7D82" w:rsidP="009F7D82">
      <w:pPr>
        <w:spacing w:line="560" w:lineRule="exact"/>
        <w:ind w:leftChars="-85" w:left="-178" w:rightChars="-73" w:right="-153"/>
        <w:jc w:val="center"/>
        <w:rPr>
          <w:rFonts w:ascii="方正小标宋_GBK" w:hAnsi="方正小标宋_GBK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t>实施和监督管理情况报告</w:t>
      </w:r>
    </w:p>
    <w:p w:rsidR="009F7D82" w:rsidRDefault="009F7D82" w:rsidP="009F7D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9F7D82" w:rsidRDefault="009F7D82" w:rsidP="009F7D82">
      <w:pPr>
        <w:spacing w:line="56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根据《</w:t>
      </w:r>
      <w:r>
        <w:rPr>
          <w:rFonts w:ascii="仿宋_GB2312" w:eastAsia="仿宋_GB2312" w:hint="eastAsia"/>
          <w:sz w:val="32"/>
          <w:szCs w:val="32"/>
        </w:rPr>
        <w:t>广东省行政许可监督管理条例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要求，现将我</w:t>
      </w:r>
      <w:r>
        <w:rPr>
          <w:rFonts w:ascii="仿宋_GB2312"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年行政许可实施和监督管理情况报告如下：</w:t>
      </w:r>
    </w:p>
    <w:p w:rsidR="009F7D82" w:rsidRDefault="009F7D82" w:rsidP="009F7D82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一、基本情况</w:t>
      </w:r>
    </w:p>
    <w:p w:rsidR="009F7D82" w:rsidRDefault="009F7D82" w:rsidP="009F7D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根据行政职权清单我局有</w:t>
      </w:r>
      <w:r>
        <w:rPr>
          <w:rFonts w:ascii="仿宋_GB2312" w:eastAsia="仿宋_GB2312"/>
          <w:sz w:val="32"/>
          <w:szCs w:val="32"/>
        </w:rPr>
        <w:t>行政许可事项</w:t>
      </w:r>
      <w:r>
        <w:rPr>
          <w:rFonts w:ascii="仿宋_GB2312" w:eastAsia="仿宋_GB2312" w:hint="eastAsia"/>
          <w:sz w:val="32"/>
          <w:szCs w:val="32"/>
        </w:rPr>
        <w:t>总计10项，</w:t>
      </w:r>
      <w:r>
        <w:rPr>
          <w:rFonts w:ascii="仿宋_GB2312" w:eastAsia="仿宋_GB2312"/>
          <w:sz w:val="32"/>
          <w:szCs w:val="32"/>
        </w:rPr>
        <w:t>其中</w:t>
      </w:r>
      <w:r>
        <w:rPr>
          <w:rFonts w:ascii="仿宋_GB2312" w:eastAsia="仿宋_GB2312" w:hint="eastAsia"/>
          <w:sz w:val="32"/>
          <w:szCs w:val="32"/>
        </w:rPr>
        <w:t>2019年度无保留、新增或减少</w:t>
      </w:r>
      <w:r>
        <w:rPr>
          <w:rFonts w:ascii="仿宋_GB2312" w:eastAsia="仿宋_GB2312"/>
          <w:sz w:val="32"/>
          <w:szCs w:val="32"/>
        </w:rPr>
        <w:t>的事项（</w:t>
      </w:r>
      <w:r>
        <w:rPr>
          <w:rFonts w:ascii="仿宋_GB2312" w:eastAsia="仿宋_GB2312" w:hint="eastAsia"/>
          <w:sz w:val="32"/>
          <w:szCs w:val="32"/>
        </w:rPr>
        <w:t>包含</w:t>
      </w:r>
      <w:r>
        <w:rPr>
          <w:rFonts w:ascii="仿宋_GB2312" w:eastAsia="仿宋_GB2312"/>
          <w:sz w:val="32"/>
          <w:szCs w:val="32"/>
        </w:rPr>
        <w:t>省或部委</w:t>
      </w:r>
      <w:r>
        <w:rPr>
          <w:rFonts w:ascii="仿宋_GB2312" w:eastAsia="仿宋_GB2312" w:hint="eastAsia"/>
          <w:sz w:val="32"/>
          <w:szCs w:val="32"/>
        </w:rPr>
        <w:t>下放、</w:t>
      </w:r>
      <w:r>
        <w:rPr>
          <w:rFonts w:ascii="仿宋_GB2312" w:eastAsia="仿宋_GB2312"/>
          <w:sz w:val="32"/>
          <w:szCs w:val="32"/>
        </w:rPr>
        <w:t>委托</w:t>
      </w:r>
      <w:r>
        <w:rPr>
          <w:rFonts w:ascii="仿宋_GB2312" w:eastAsia="仿宋_GB2312" w:hint="eastAsia"/>
          <w:sz w:val="32"/>
          <w:szCs w:val="32"/>
        </w:rPr>
        <w:t>、重心下移和</w:t>
      </w:r>
      <w:r>
        <w:rPr>
          <w:rFonts w:ascii="仿宋_GB2312" w:eastAsia="仿宋_GB2312"/>
          <w:sz w:val="32"/>
          <w:szCs w:val="32"/>
        </w:rPr>
        <w:t>按程序转报的行政许可事项，不含备案事项），已</w:t>
      </w:r>
      <w:r>
        <w:rPr>
          <w:rFonts w:ascii="仿宋_GB2312" w:eastAsia="仿宋_GB2312" w:hint="eastAsia"/>
          <w:sz w:val="32"/>
          <w:szCs w:val="32"/>
        </w:rPr>
        <w:t>全部</w:t>
      </w:r>
      <w:r>
        <w:rPr>
          <w:rFonts w:ascii="仿宋_GB2312" w:eastAsia="仿宋_GB2312"/>
          <w:sz w:val="32"/>
          <w:szCs w:val="32"/>
        </w:rPr>
        <w:t>进驻</w:t>
      </w:r>
      <w:r>
        <w:rPr>
          <w:rFonts w:ascii="仿宋_GB2312" w:eastAsia="仿宋_GB2312" w:hint="eastAsia"/>
          <w:sz w:val="32"/>
          <w:szCs w:val="32"/>
        </w:rPr>
        <w:t>广东省政务服务事项管理系统（广东政务服务网）</w:t>
      </w:r>
      <w:r>
        <w:rPr>
          <w:rFonts w:ascii="仿宋_GB2312" w:eastAsia="仿宋_GB2312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本单位2019年度行政许可申请总数为</w:t>
      </w:r>
      <w:r>
        <w:rPr>
          <w:rFonts w:eastAsia="仿宋_GB2312" w:hint="eastAsia"/>
          <w:sz w:val="32"/>
          <w:szCs w:val="32"/>
        </w:rPr>
        <w:t>436</w:t>
      </w:r>
      <w:r>
        <w:rPr>
          <w:rFonts w:ascii="仿宋_GB2312" w:eastAsia="仿宋_GB2312" w:hint="eastAsia"/>
          <w:sz w:val="32"/>
          <w:szCs w:val="32"/>
        </w:rPr>
        <w:t>件，予以许可436件。其中：（1）本单位实施的、以本单位名义作出的，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年度行政许可申请数量为</w:t>
      </w:r>
      <w:r>
        <w:rPr>
          <w:rFonts w:eastAsia="仿宋_GB2312" w:hint="eastAsia"/>
          <w:sz w:val="32"/>
          <w:szCs w:val="32"/>
        </w:rPr>
        <w:t>436</w:t>
      </w:r>
      <w:r>
        <w:rPr>
          <w:rFonts w:ascii="仿宋_GB2312" w:eastAsia="仿宋_GB2312" w:hint="eastAsia"/>
          <w:sz w:val="32"/>
          <w:szCs w:val="32"/>
        </w:rPr>
        <w:t>件，予以许可436件。（2）受委托实施的、以委托单位名义作出的，</w:t>
      </w:r>
      <w:r>
        <w:rPr>
          <w:rFonts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年度行政许可申请数量为</w:t>
      </w:r>
      <w:r>
        <w:rPr>
          <w:rFonts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件，予以许可0件。</w:t>
      </w:r>
    </w:p>
    <w:p w:rsidR="009F7D82" w:rsidRDefault="009F7D82" w:rsidP="009F7D82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依法实施情况。</w:t>
      </w:r>
      <w:r>
        <w:rPr>
          <w:rFonts w:ascii="仿宋_GB2312" w:eastAsia="仿宋_GB2312" w:hint="eastAsia"/>
          <w:sz w:val="32"/>
          <w:szCs w:val="32"/>
        </w:rPr>
        <w:t>一是</w:t>
      </w:r>
      <w:r>
        <w:rPr>
          <w:rFonts w:ascii="仿宋_GB2312" w:eastAsia="仿宋_GB2312"/>
          <w:sz w:val="32"/>
          <w:szCs w:val="32"/>
        </w:rPr>
        <w:t>遵守法律法规规定</w:t>
      </w:r>
      <w:r>
        <w:rPr>
          <w:rFonts w:ascii="仿宋_GB2312" w:eastAsia="仿宋_GB2312" w:hint="eastAsia"/>
          <w:sz w:val="32"/>
          <w:szCs w:val="32"/>
        </w:rPr>
        <w:t>进行行政许可。不存在行政不作为，不存在“已取消、下放或转移的行政许可事项仍在实施”，“以备案、公共服务之名变相实施行政许可”，“实施行政许可目录之外的许可事项”，“不严格依法实施行政许可”等现象。二是加大规范性文件备案审查力度，</w:t>
      </w:r>
      <w:r>
        <w:rPr>
          <w:rFonts w:ascii="仿宋_GB2312" w:eastAsia="仿宋_GB2312" w:hint="eastAsia"/>
          <w:color w:val="000000"/>
          <w:kern w:val="0"/>
          <w:sz w:val="32"/>
          <w:szCs w:val="32"/>
          <w:shd w:val="clear" w:color="auto" w:fill="FFFFFF"/>
        </w:rPr>
        <w:t>报送规范性文件目录。对应当修改、废止的规范性文件，及时进行修改，并在门户网站标注已废止的规范性文件，</w:t>
      </w:r>
      <w:r>
        <w:rPr>
          <w:rFonts w:ascii="仿宋_GB2312" w:eastAsia="仿宋_GB2312" w:hint="eastAsia"/>
          <w:sz w:val="32"/>
          <w:szCs w:val="32"/>
        </w:rPr>
        <w:t>有力维护法制统一和政令畅通。</w:t>
      </w:r>
    </w:p>
    <w:p w:rsidR="009F7D82" w:rsidRDefault="009F7D82" w:rsidP="009F7D82">
      <w:pPr>
        <w:autoSpaceDE w:val="0"/>
        <w:spacing w:line="560" w:lineRule="exact"/>
        <w:ind w:firstLineChars="200" w:firstLine="640"/>
        <w:rPr>
          <w:rFonts w:eastAsia="仿宋_GB2312" w:hint="eastAsia"/>
          <w:color w:val="FF000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lastRenderedPageBreak/>
        <w:t>（二）公开公示情况。</w:t>
      </w:r>
      <w:r>
        <w:rPr>
          <w:rFonts w:ascii="仿宋_GB2312" w:eastAsia="仿宋_GB2312" w:hint="eastAsia"/>
          <w:sz w:val="32"/>
          <w:szCs w:val="32"/>
        </w:rPr>
        <w:t>落实行政执法公示制度，依托智慧南沙公共信息资源服务平台，行政执法公示平台、南沙区政府门户网站，将行政许可的执法主体、依据、程序、进展、结果、期限、裁量标准、申请材料及办法、收费标准、申请书格式文本、咨询投诉方式等信息的方式、范围等情况等内容向社会公开，接受监督。</w:t>
      </w:r>
    </w:p>
    <w:p w:rsidR="009F7D82" w:rsidRDefault="009F7D82" w:rsidP="009F7D8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（三）</w:t>
      </w:r>
      <w:r>
        <w:rPr>
          <w:rFonts w:ascii="楷体_GB2312" w:eastAsia="楷体_GB2312" w:hint="eastAsia"/>
          <w:sz w:val="32"/>
          <w:szCs w:val="32"/>
        </w:rPr>
        <w:t>监督管理情况</w:t>
      </w:r>
      <w:r>
        <w:rPr>
          <w:rFonts w:ascii="楷体_GB2312" w:eastAsia="楷体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一是建立行政执法全过程记录制度，实现行政执法全程留痕，确保各个环节有据可查。建立重大行政执法决定法制审核制度，重大行政执法决定须经法制机构审核后作出。自觉接受各界监督。二是坚持全面从严治党要求，切实履行党风廉政建设主体责任。完善社会监督和舆论监督机制，畅通、拓宽信访诉求表达渠道，健全网上信访受理平台和“12345”民生热线，建立投诉举报登记制度，及时回应社会关注的民生问题，及时调查处理违法行政行为。</w:t>
      </w:r>
    </w:p>
    <w:p w:rsidR="009F7D82" w:rsidRDefault="009F7D82" w:rsidP="009F7D82">
      <w:pPr>
        <w:numPr>
          <w:ilvl w:val="0"/>
          <w:numId w:val="2"/>
        </w:numPr>
        <w:spacing w:line="560" w:lineRule="exact"/>
        <w:ind w:firstLineChars="200" w:firstLine="640"/>
        <w:rPr>
          <w:rFonts w:ascii="黑体" w:eastAsia="仿宋_GB2312" w:hAnsi="黑体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实施效果情况。</w:t>
      </w:r>
      <w:r>
        <w:rPr>
          <w:rFonts w:ascii="仿宋_GB2312" w:eastAsia="仿宋_GB2312" w:hint="eastAsia"/>
          <w:sz w:val="32"/>
          <w:szCs w:val="32"/>
        </w:rPr>
        <w:t>一是努力提高审批效率，压缩审批时限。要求相关处室在承诺时限办结的基础上，对每一个项目的办理程序、前置条件进行认真清理，优化审批环节，取消部分前置条件。二是依法推进证明事项清理工作，取消一批证明事项，及时修改办事指南，优化办事流程，确保事项取消落到实处。获得了民办教育机构举办者的认可，达到了设立行政许可时预期效果和目的。</w:t>
      </w:r>
    </w:p>
    <w:p w:rsidR="009F7D82" w:rsidRDefault="009F7D82" w:rsidP="009F7D82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创新方式情况。</w:t>
      </w:r>
      <w:r>
        <w:rPr>
          <w:rFonts w:ascii="仿宋_GB2312" w:eastAsia="仿宋_GB2312" w:hint="eastAsia"/>
          <w:color w:val="000000"/>
          <w:sz w:val="32"/>
          <w:szCs w:val="32"/>
        </w:rPr>
        <w:t>2019年我局36项发布在广东省政务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服务网的事项已全部实现网上办理及预约办理，实现</w:t>
      </w:r>
      <w:r>
        <w:rPr>
          <w:rFonts w:eastAsia="仿宋_GB2312" w:hint="eastAsia"/>
          <w:color w:val="000000"/>
          <w:sz w:val="32"/>
          <w:szCs w:val="32"/>
        </w:rPr>
        <w:t>100%</w:t>
      </w:r>
      <w:r>
        <w:rPr>
          <w:rFonts w:ascii="仿宋_GB2312" w:eastAsia="仿宋_GB2312" w:hint="eastAsia"/>
          <w:color w:val="000000"/>
          <w:sz w:val="32"/>
          <w:szCs w:val="32"/>
        </w:rPr>
        <w:t>的可网办率。同时我局积极创新审批流程，不断提高工作效率，加快办事速度，努力做到行政审批时限“即刻办”，目前我局已有</w:t>
      </w:r>
      <w:r>
        <w:rPr>
          <w:rFonts w:eastAsia="仿宋_GB2312" w:hint="eastAsia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个行政审批事项能够实现当天受理当天办结，占发布在广东省政务服务网全部事项的</w:t>
      </w:r>
      <w:r>
        <w:rPr>
          <w:rFonts w:eastAsia="仿宋_GB2312" w:hint="eastAsia"/>
          <w:color w:val="000000"/>
          <w:sz w:val="32"/>
          <w:szCs w:val="32"/>
        </w:rPr>
        <w:t>36%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9F7D82" w:rsidRDefault="009F7D82" w:rsidP="009F7D8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（六）推行标准化情况。</w:t>
      </w:r>
      <w:r>
        <w:rPr>
          <w:rFonts w:ascii="仿宋_GB2312" w:eastAsia="仿宋_GB2312"/>
          <w:sz w:val="32"/>
          <w:szCs w:val="32"/>
        </w:rPr>
        <w:t>编制印发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民办学校（含学前教育、初等教育、初级中等教育、高级中等教育）设立审批服务指南</w:t>
      </w:r>
      <w:r>
        <w:rPr>
          <w:rFonts w:ascii="仿宋_GB2312" w:eastAsia="仿宋_GB2312"/>
          <w:sz w:val="32"/>
          <w:szCs w:val="32"/>
        </w:rPr>
        <w:t>》和《</w:t>
      </w:r>
      <w:r>
        <w:rPr>
          <w:rFonts w:ascii="仿宋_GB2312" w:eastAsia="仿宋_GB2312" w:hint="eastAsia"/>
          <w:sz w:val="32"/>
          <w:szCs w:val="32"/>
        </w:rPr>
        <w:t>民办培训机构设立审批服务指南</w:t>
      </w:r>
      <w:r>
        <w:rPr>
          <w:rFonts w:ascii="仿宋_GB2312" w:eastAsia="仿宋_GB2312"/>
          <w:sz w:val="32"/>
          <w:szCs w:val="32"/>
        </w:rPr>
        <w:t>》；</w:t>
      </w:r>
      <w:r>
        <w:rPr>
          <w:rFonts w:ascii="仿宋_GB2312" w:eastAsia="仿宋_GB2312" w:hint="eastAsia"/>
          <w:sz w:val="32"/>
          <w:szCs w:val="32"/>
        </w:rPr>
        <w:t>根据广东省2019年事项通用目录进一步</w:t>
      </w:r>
      <w:r>
        <w:rPr>
          <w:rFonts w:ascii="仿宋_GB2312" w:eastAsia="仿宋_GB2312"/>
          <w:sz w:val="32"/>
          <w:szCs w:val="32"/>
        </w:rPr>
        <w:t>规范行政许可事项名称、实施依据、申请条件、申请材料、办理时限、受理范围等要素和减少自由裁量权情况；</w:t>
      </w:r>
      <w:r>
        <w:rPr>
          <w:rFonts w:ascii="仿宋_GB2312" w:eastAsia="仿宋_GB2312" w:hint="eastAsia"/>
          <w:sz w:val="32"/>
          <w:szCs w:val="32"/>
        </w:rPr>
        <w:t>认真</w:t>
      </w:r>
      <w:r>
        <w:rPr>
          <w:rFonts w:ascii="仿宋_GB2312" w:eastAsia="仿宋_GB2312"/>
          <w:sz w:val="32"/>
          <w:szCs w:val="32"/>
        </w:rPr>
        <w:t>清理规范行政许可中介服务</w:t>
      </w:r>
      <w:r>
        <w:rPr>
          <w:rFonts w:ascii="仿宋_GB2312" w:eastAsia="仿宋_GB2312" w:hint="eastAsia"/>
          <w:sz w:val="32"/>
          <w:szCs w:val="32"/>
        </w:rPr>
        <w:t>，经清理，我局无行政许可中介服务事项</w:t>
      </w:r>
      <w:r>
        <w:rPr>
          <w:rFonts w:ascii="仿宋_GB2312" w:eastAsia="仿宋_GB2312"/>
          <w:sz w:val="32"/>
          <w:szCs w:val="32"/>
        </w:rPr>
        <w:t>。</w:t>
      </w:r>
    </w:p>
    <w:p w:rsidR="009F7D82" w:rsidRDefault="009F7D82" w:rsidP="009F7D82">
      <w:pPr>
        <w:spacing w:line="56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、下一步工作措施及有关建议</w:t>
      </w:r>
    </w:p>
    <w:p w:rsidR="009F7D82" w:rsidRDefault="009F7D82" w:rsidP="009F7D82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一是适当修改行政许可标准及评价标准，加强部门间联动机制。二是配备足够的行政许可工作人员，强化审批和监管责任。加强行政许可业务培训，提高行政许可规范化水平。</w:t>
      </w:r>
    </w:p>
    <w:p w:rsidR="009F7D82" w:rsidRDefault="009F7D82" w:rsidP="009F7D82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下一步，我局将继续按照市委、市政府、区委、区政府的统一部署和要求，进一步精减审批环节，压缩审批时限，优化审批程序和审批方式，建立一套科学、合理、高效的审批制度。</w:t>
      </w:r>
    </w:p>
    <w:p w:rsidR="009F7D82" w:rsidRDefault="009F7D82" w:rsidP="009F7D82">
      <w:pPr>
        <w:widowControl/>
        <w:jc w:val="left"/>
        <w:rPr>
          <w:rFonts w:ascii="方正小标宋_GBK" w:hAnsi="方正小标宋_GBK" w:cs="宋体" w:hint="eastAsia"/>
          <w:sz w:val="44"/>
          <w:szCs w:val="44"/>
        </w:rPr>
        <w:sectPr w:rsidR="009F7D82">
          <w:pgSz w:w="11906" w:h="16838"/>
          <w:pgMar w:top="2098" w:right="1474" w:bottom="1985" w:left="1588" w:header="720" w:footer="720" w:gutter="0"/>
          <w:cols w:space="720"/>
          <w:docGrid w:type="lines" w:linePitch="438"/>
        </w:sectPr>
      </w:pPr>
    </w:p>
    <w:p w:rsidR="009F7D82" w:rsidRDefault="009F7D82" w:rsidP="009F7D82">
      <w:pPr>
        <w:widowControl/>
        <w:spacing w:line="720" w:lineRule="exact"/>
        <w:jc w:val="center"/>
        <w:rPr>
          <w:rFonts w:ascii="方正小标宋_GBK" w:hAnsi="方正小标宋_GBK" w:hint="eastAsia"/>
          <w:sz w:val="44"/>
          <w:szCs w:val="44"/>
        </w:rPr>
      </w:pPr>
      <w:r>
        <w:rPr>
          <w:rFonts w:ascii="方正小标宋_GBK" w:hAnsi="方正小标宋_GBK"/>
          <w:sz w:val="44"/>
          <w:szCs w:val="44"/>
        </w:rPr>
        <w:lastRenderedPageBreak/>
        <w:t>广州市南沙区教育局</w:t>
      </w:r>
      <w:r>
        <w:rPr>
          <w:rFonts w:ascii="方正小标宋_GBK" w:hAnsi="方正小标宋_GBK"/>
          <w:sz w:val="44"/>
          <w:szCs w:val="44"/>
        </w:rPr>
        <w:t>2019</w:t>
      </w:r>
      <w:r>
        <w:rPr>
          <w:rFonts w:ascii="方正小标宋_GBK" w:hAnsi="方正小标宋_GBK"/>
          <w:sz w:val="44"/>
          <w:szCs w:val="44"/>
        </w:rPr>
        <w:t>年度行政许可实施和监督管理情况表</w:t>
      </w:r>
    </w:p>
    <w:p w:rsidR="009F7D82" w:rsidRDefault="009F7D82" w:rsidP="009F7D82">
      <w:r>
        <w:t xml:space="preserve"> </w:t>
      </w:r>
    </w:p>
    <w:tbl>
      <w:tblPr>
        <w:tblW w:w="15088" w:type="dxa"/>
        <w:tblLayout w:type="fixed"/>
        <w:tblLook w:val="04A0"/>
      </w:tblPr>
      <w:tblGrid>
        <w:gridCol w:w="506"/>
        <w:gridCol w:w="750"/>
        <w:gridCol w:w="750"/>
        <w:gridCol w:w="585"/>
        <w:gridCol w:w="645"/>
        <w:gridCol w:w="555"/>
        <w:gridCol w:w="570"/>
        <w:gridCol w:w="390"/>
        <w:gridCol w:w="540"/>
        <w:gridCol w:w="600"/>
        <w:gridCol w:w="360"/>
        <w:gridCol w:w="495"/>
        <w:gridCol w:w="550"/>
        <w:gridCol w:w="750"/>
        <w:gridCol w:w="567"/>
        <w:gridCol w:w="709"/>
        <w:gridCol w:w="709"/>
        <w:gridCol w:w="723"/>
        <w:gridCol w:w="836"/>
        <w:gridCol w:w="851"/>
        <w:gridCol w:w="850"/>
        <w:gridCol w:w="851"/>
        <w:gridCol w:w="946"/>
      </w:tblGrid>
      <w:tr w:rsidR="009F7D82" w:rsidTr="009F7D82">
        <w:trPr>
          <w:trHeight w:val="41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序号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审批事项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是否纳入行政许可事项目录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Ansi="宋体"/>
              </w:rPr>
              <w:t>是否进驻</w:t>
            </w:r>
            <w:r>
              <w:rPr>
                <w:rFonts w:ascii="宋体" w:hAnsi="宋体" w:hint="eastAsia"/>
              </w:rPr>
              <w:t>省政务服务网</w:t>
            </w:r>
          </w:p>
        </w:tc>
        <w:tc>
          <w:tcPr>
            <w:tcW w:w="4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全年业务量（件）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实施过程</w:t>
            </w:r>
          </w:p>
        </w:tc>
        <w:tc>
          <w:tcPr>
            <w:tcW w:w="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监督管理</w:t>
            </w:r>
          </w:p>
        </w:tc>
      </w:tr>
      <w:tr w:rsidR="009F7D82" w:rsidTr="009F7D82">
        <w:trPr>
          <w:trHeight w:val="203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widowControl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事项</w:t>
            </w:r>
          </w:p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名称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子项</w:t>
            </w:r>
          </w:p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名称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widowControl/>
              <w:jc w:val="left"/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7D82" w:rsidRDefault="009F7D82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申请量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受理量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不受理量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办结量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审批同意量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审批不同意量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网上受理量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网上全流程办结量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法定办结期限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承诺办结期限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实际平均办结时间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是否向社会公开审批结果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是否公开办事指南和业务手册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是否制定监管标准或制度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开展抽查监管人次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抽查发现违法违规行为件数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查处违法违规行为件数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收到行政相对人有效投诉举报数</w:t>
            </w:r>
          </w:p>
        </w:tc>
      </w:tr>
      <w:tr w:rsidR="009F7D82" w:rsidTr="009F7D82">
        <w:trPr>
          <w:trHeight w:val="19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义务教育阶段学校设立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9F7D82" w:rsidTr="009F7D82">
        <w:trPr>
          <w:trHeight w:val="5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社会力量举办非学历教育机构审批</w:t>
            </w:r>
          </w:p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9F7D82" w:rsidTr="009F7D82">
        <w:trPr>
          <w:trHeight w:val="5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校车使用许可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19个工作日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17个工</w:t>
            </w:r>
            <w:r>
              <w:rPr>
                <w:rFonts w:ascii="宋体" w:hAnsi="宋体" w:hint="eastAsia"/>
              </w:rPr>
              <w:lastRenderedPageBreak/>
              <w:t>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lastRenderedPageBreak/>
              <w:t>15个工作日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9F7D82" w:rsidTr="009F7D82">
        <w:trPr>
          <w:trHeight w:val="51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学前教育机构设立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90个自然日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45个自然日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35个自然日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9F7D82" w:rsidTr="009F7D82">
        <w:trPr>
          <w:trHeight w:val="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初中、小学、幼儿园教师资格认定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425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425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30个自然日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15个工作日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14个工作日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9F7D82" w:rsidTr="009F7D82">
        <w:trPr>
          <w:trHeight w:val="9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hAnsi="宋体"/>
              </w:rPr>
              <w:t>合计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436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436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436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D82" w:rsidRDefault="009F7D82">
            <w:pPr>
              <w:spacing w:line="260" w:lineRule="exact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D82" w:rsidRDefault="009F7D82">
            <w:pPr>
              <w:spacing w:line="260" w:lineRule="exact"/>
              <w:jc w:val="center"/>
            </w:pPr>
            <w:r>
              <w:rPr>
                <w:rFonts w:ascii="宋体" w:hAnsi="宋体" w:hint="eastAsia"/>
              </w:rPr>
              <w:t>0</w:t>
            </w:r>
          </w:p>
        </w:tc>
      </w:tr>
    </w:tbl>
    <w:p w:rsidR="009F7D82" w:rsidRPr="009F7D82" w:rsidRDefault="009F7D82" w:rsidP="009F7D82">
      <w:pPr>
        <w:sectPr w:rsidR="009F7D82" w:rsidRPr="009F7D82">
          <w:pgSz w:w="16838" w:h="11906" w:orient="landscape"/>
          <w:pgMar w:top="1418" w:right="1134" w:bottom="1134" w:left="1134" w:header="720" w:footer="720" w:gutter="0"/>
          <w:cols w:space="720"/>
          <w:docGrid w:type="lines" w:linePitch="438"/>
        </w:sectPr>
      </w:pPr>
      <w:r>
        <w:rPr>
          <w:rFonts w:ascii="宋体" w:hAnsi="宋体"/>
        </w:rPr>
        <w:t>注：表格中选项为是的打</w:t>
      </w:r>
      <w:r>
        <w:t>“√”</w:t>
      </w:r>
      <w:r>
        <w:rPr>
          <w:rFonts w:ascii="宋体" w:hAnsi="宋体"/>
        </w:rPr>
        <w:t>，否的打</w:t>
      </w:r>
      <w:r>
        <w:t>“×”</w:t>
      </w:r>
      <w:r>
        <w:rPr>
          <w:rFonts w:ascii="宋体" w:hAnsi="宋体"/>
        </w:rPr>
        <w:t>。</w:t>
      </w:r>
    </w:p>
    <w:p w:rsidR="00500157" w:rsidRPr="009F7D82" w:rsidRDefault="00500157" w:rsidP="009F7D82">
      <w:pPr>
        <w:autoSpaceDE w:val="0"/>
        <w:spacing w:line="520" w:lineRule="exact"/>
        <w:rPr>
          <w:rFonts w:eastAsia="仿宋_GB2312"/>
          <w:sz w:val="32"/>
          <w:szCs w:val="32"/>
        </w:rPr>
      </w:pPr>
    </w:p>
    <w:sectPr w:rsidR="00500157" w:rsidRPr="009F7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157" w:rsidRDefault="00500157" w:rsidP="009F7D82">
      <w:r>
        <w:separator/>
      </w:r>
    </w:p>
  </w:endnote>
  <w:endnote w:type="continuationSeparator" w:id="1">
    <w:p w:rsidR="00500157" w:rsidRDefault="00500157" w:rsidP="009F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157" w:rsidRDefault="00500157" w:rsidP="009F7D82">
      <w:r>
        <w:separator/>
      </w:r>
    </w:p>
  </w:footnote>
  <w:footnote w:type="continuationSeparator" w:id="1">
    <w:p w:rsidR="00500157" w:rsidRDefault="00500157" w:rsidP="009F7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51FA7"/>
    <w:multiLevelType w:val="multilevel"/>
    <w:tmpl w:val="21B2210E"/>
    <w:lvl w:ilvl="0">
      <w:start w:val="4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C383B"/>
    <w:multiLevelType w:val="multilevel"/>
    <w:tmpl w:val="B2865EE0"/>
    <w:lvl w:ilvl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D82"/>
    <w:rsid w:val="00500157"/>
    <w:rsid w:val="009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331</Words>
  <Characters>1893</Characters>
  <Application>Microsoft Office Word</Application>
  <DocSecurity>0</DocSecurity>
  <Lines>15</Lines>
  <Paragraphs>4</Paragraphs>
  <ScaleCrop>false</ScaleCrop>
  <Company>nsjy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ﯨ׬</dc:creator>
  <cp:keywords/>
  <dc:description/>
  <cp:lastModifiedBy>ﯨ׬</cp:lastModifiedBy>
  <cp:revision>2</cp:revision>
  <dcterms:created xsi:type="dcterms:W3CDTF">2020-04-09T07:18:00Z</dcterms:created>
  <dcterms:modified xsi:type="dcterms:W3CDTF">2020-04-09T07:19:00Z</dcterms:modified>
</cp:coreProperties>
</file>