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00" w:rsidRPr="003D3741" w:rsidRDefault="001F4600" w:rsidP="001F4600">
      <w:pPr>
        <w:snapToGrid w:val="0"/>
        <w:spacing w:line="288" w:lineRule="auto"/>
        <w:ind w:firstLineChars="600" w:firstLine="1260"/>
        <w:jc w:val="left"/>
        <w:rPr>
          <w:rFonts w:asciiTheme="minorEastAsia" w:hAnsiTheme="minorEastAsia" w:cs="Times New Roman"/>
          <w:color w:val="000000" w:themeColor="text1"/>
          <w:kern w:val="0"/>
          <w:szCs w:val="21"/>
        </w:rPr>
      </w:pPr>
      <w:r w:rsidRPr="003D3741">
        <w:rPr>
          <w:rFonts w:asciiTheme="minorEastAsia" w:hAnsiTheme="minorEastAsia" w:cs="Times New Roman" w:hint="eastAsia"/>
          <w:color w:val="000000" w:themeColor="text1"/>
          <w:kern w:val="0"/>
          <w:szCs w:val="21"/>
        </w:rPr>
        <w:t>七、审核一览表</w:t>
      </w:r>
    </w:p>
    <w:tbl>
      <w:tblPr>
        <w:tblW w:w="4015" w:type="pct"/>
        <w:jc w:val="center"/>
        <w:tblLook w:val="04A0"/>
      </w:tblPr>
      <w:tblGrid>
        <w:gridCol w:w="436"/>
        <w:gridCol w:w="811"/>
        <w:gridCol w:w="2125"/>
        <w:gridCol w:w="1135"/>
        <w:gridCol w:w="705"/>
        <w:gridCol w:w="1135"/>
        <w:gridCol w:w="850"/>
        <w:gridCol w:w="2548"/>
        <w:gridCol w:w="2128"/>
      </w:tblGrid>
      <w:tr w:rsidR="001F4600" w:rsidRPr="003D3741" w:rsidTr="000C3439">
        <w:trPr>
          <w:trHeight w:val="27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批次</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项目</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条件</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审核结果</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得分</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审核单位</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类型</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资料要求（现场审核所有资料均需提供原件和复印件）</w:t>
            </w:r>
          </w:p>
        </w:tc>
        <w:tc>
          <w:tcPr>
            <w:tcW w:w="896"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备注</w:t>
            </w:r>
          </w:p>
        </w:tc>
      </w:tr>
      <w:tr w:rsidR="001F4600" w:rsidRPr="003D3741" w:rsidTr="000C3439">
        <w:trPr>
          <w:trHeight w:val="990"/>
          <w:jc w:val="center"/>
        </w:trPr>
        <w:tc>
          <w:tcPr>
            <w:tcW w:w="183" w:type="pct"/>
            <w:tcBorders>
              <w:top w:val="nil"/>
              <w:left w:val="single" w:sz="4" w:space="0" w:color="auto"/>
              <w:bottom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前置条件</w:t>
            </w:r>
          </w:p>
        </w:tc>
        <w:tc>
          <w:tcPr>
            <w:tcW w:w="341" w:type="pct"/>
            <w:tcBorders>
              <w:top w:val="nil"/>
              <w:left w:val="nil"/>
              <w:bottom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资格审核</w:t>
            </w:r>
          </w:p>
        </w:tc>
        <w:tc>
          <w:tcPr>
            <w:tcW w:w="895" w:type="pct"/>
            <w:tcBorders>
              <w:top w:val="nil"/>
              <w:left w:val="nil"/>
              <w:bottom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1.来穗人员及其申请入学的随迁子女均为非广州市户籍</w:t>
            </w:r>
          </w:p>
        </w:tc>
        <w:tc>
          <w:tcPr>
            <w:tcW w:w="478" w:type="pct"/>
            <w:tcBorders>
              <w:top w:val="nil"/>
              <w:left w:val="nil"/>
              <w:bottom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□符  合</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□不符合</w:t>
            </w:r>
          </w:p>
        </w:tc>
        <w:tc>
          <w:tcPr>
            <w:tcW w:w="297" w:type="pct"/>
            <w:tcBorders>
              <w:top w:val="nil"/>
              <w:left w:val="nil"/>
              <w:bottom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w:t>
            </w:r>
          </w:p>
        </w:tc>
        <w:tc>
          <w:tcPr>
            <w:tcW w:w="478" w:type="pct"/>
            <w:tcBorders>
              <w:top w:val="nil"/>
              <w:left w:val="nil"/>
              <w:bottom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各小学、初中</w:t>
            </w:r>
          </w:p>
        </w:tc>
        <w:tc>
          <w:tcPr>
            <w:tcW w:w="358" w:type="pct"/>
            <w:tcBorders>
              <w:top w:val="nil"/>
              <w:left w:val="nil"/>
              <w:bottom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现场审核</w:t>
            </w:r>
          </w:p>
        </w:tc>
        <w:tc>
          <w:tcPr>
            <w:tcW w:w="1073" w:type="pct"/>
            <w:tcBorders>
              <w:top w:val="nil"/>
              <w:left w:val="nil"/>
              <w:bottom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来穗人员及其配偶身份证、户口簿、广东省居住证；随迁子女户口簿（如有身份证请同时提供）、出生证。</w:t>
            </w:r>
          </w:p>
        </w:tc>
        <w:tc>
          <w:tcPr>
            <w:tcW w:w="896" w:type="pct"/>
            <w:tcBorders>
              <w:top w:val="nil"/>
              <w:left w:val="nil"/>
              <w:bottom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如来穗人员属离异、再婚等情况，需提供能证明子女监护关系的证明文件（如公证书、法院判决书等）</w:t>
            </w:r>
          </w:p>
        </w:tc>
      </w:tr>
      <w:tr w:rsidR="001F4600" w:rsidRPr="003D3741" w:rsidTr="000C3439">
        <w:trPr>
          <w:trHeight w:val="536"/>
          <w:jc w:val="center"/>
        </w:trPr>
        <w:tc>
          <w:tcPr>
            <w:tcW w:w="1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第一批投档录取</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计生情况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2.来穗人员及其家庭符合计划生育政策，无政策外生育行为</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□符  合</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□不符合</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镇（街）人口计生办</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网上审核</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如网上审核不通过，来穗人员须携带身份证、户口本、结婚证、计生证明等到现场进行审核。</w:t>
            </w:r>
          </w:p>
        </w:tc>
        <w:tc>
          <w:tcPr>
            <w:tcW w:w="896"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对2016年1月1日以前未经审批生育的二孩，依法认定为违反计划生育政策。</w:t>
            </w:r>
          </w:p>
        </w:tc>
      </w:tr>
      <w:tr w:rsidR="001F4600" w:rsidRPr="003D3741" w:rsidTr="000C3439">
        <w:trPr>
          <w:trHeight w:val="1469"/>
          <w:jc w:val="center"/>
        </w:trPr>
        <w:tc>
          <w:tcPr>
            <w:tcW w:w="183" w:type="pct"/>
            <w:vMerge/>
            <w:tcBorders>
              <w:top w:val="single" w:sz="4" w:space="0" w:color="auto"/>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41"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居住情况</w:t>
            </w:r>
          </w:p>
        </w:tc>
        <w:tc>
          <w:tcPr>
            <w:tcW w:w="895"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3.在我区连续居住满5年（其中办理广东省居住证至少满3年）</w:t>
            </w: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□符  合</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□不符合</w:t>
            </w:r>
          </w:p>
        </w:tc>
        <w:tc>
          <w:tcPr>
            <w:tcW w:w="297"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w:t>
            </w: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镇（街）来穗人员和出租屋服务管理中心</w:t>
            </w:r>
          </w:p>
        </w:tc>
        <w:tc>
          <w:tcPr>
            <w:tcW w:w="35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网上审核</w:t>
            </w:r>
          </w:p>
        </w:tc>
        <w:tc>
          <w:tcPr>
            <w:tcW w:w="1073"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如提供纸质补充材料须到现场审核。材料包括：申请人二代身份证和以下材料一项或多项（有效居住证、暂住证，合法有效的房屋租赁合同、广州市流动人员信息系统居住登记信息、厂企开具的居住证明等能够真实证明在我区居住情况的相关文件）</w:t>
            </w:r>
          </w:p>
        </w:tc>
        <w:tc>
          <w:tcPr>
            <w:tcW w:w="896"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2019年起，居住年限仅以办理广东省居住证的年限为准。</w:t>
            </w:r>
          </w:p>
        </w:tc>
      </w:tr>
      <w:tr w:rsidR="001F4600" w:rsidRPr="003D3741" w:rsidTr="000C3439">
        <w:trPr>
          <w:trHeight w:val="1405"/>
          <w:jc w:val="center"/>
        </w:trPr>
        <w:tc>
          <w:tcPr>
            <w:tcW w:w="183" w:type="pct"/>
            <w:vMerge/>
            <w:tcBorders>
              <w:top w:val="single" w:sz="4" w:space="0" w:color="auto"/>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41"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社保情况</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就业情况</w:t>
            </w:r>
          </w:p>
        </w:tc>
        <w:tc>
          <w:tcPr>
            <w:tcW w:w="895"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4.在广州市依法连续缴纳社会保险费且其中任一险种满5年</w:t>
            </w: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□符  合</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□不符合</w:t>
            </w:r>
          </w:p>
        </w:tc>
        <w:tc>
          <w:tcPr>
            <w:tcW w:w="297"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w:t>
            </w: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镇（街）劳动保障中心</w:t>
            </w:r>
          </w:p>
        </w:tc>
        <w:tc>
          <w:tcPr>
            <w:tcW w:w="35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现场审核</w:t>
            </w:r>
          </w:p>
        </w:tc>
        <w:tc>
          <w:tcPr>
            <w:tcW w:w="1073"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1.来穗人员身份证。</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2.医保缴费历史清单（可在南沙区政务服务中心三楼打印，东涌、榄核、大岗三镇直接在镇劳动保障中心确认）。</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3.有省社保局参保纪录的，则需提供省社保局参保缴费纪录清单。</w:t>
            </w:r>
          </w:p>
        </w:tc>
        <w:tc>
          <w:tcPr>
            <w:tcW w:w="896"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1.只计算在省社保系统和广州市社保系统参保的时间。</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2.依法补缴的社保计算；外地转入的社保不计算；重复参保期间不重复计算。</w:t>
            </w:r>
          </w:p>
        </w:tc>
      </w:tr>
    </w:tbl>
    <w:p w:rsidR="001F4600" w:rsidRPr="003D3741" w:rsidRDefault="001F4600" w:rsidP="001F4600">
      <w:pPr>
        <w:adjustRightInd w:val="0"/>
        <w:snapToGrid w:val="0"/>
        <w:jc w:val="left"/>
        <w:rPr>
          <w:rFonts w:asciiTheme="minorEastAsia" w:hAnsiTheme="minorEastAsia" w:cs="宋体" w:hint="eastAsia"/>
          <w:color w:val="000000" w:themeColor="text1"/>
          <w:kern w:val="0"/>
          <w:szCs w:val="21"/>
        </w:rPr>
      </w:pPr>
    </w:p>
    <w:tbl>
      <w:tblPr>
        <w:tblpPr w:leftFromText="180" w:rightFromText="180" w:vertAnchor="text" w:horzAnchor="margin" w:tblpXSpec="center" w:tblpYSpec="top"/>
        <w:tblW w:w="4015" w:type="pct"/>
        <w:tblLayout w:type="fixed"/>
        <w:tblLook w:val="04A0"/>
      </w:tblPr>
      <w:tblGrid>
        <w:gridCol w:w="438"/>
        <w:gridCol w:w="805"/>
        <w:gridCol w:w="2125"/>
        <w:gridCol w:w="1135"/>
        <w:gridCol w:w="710"/>
        <w:gridCol w:w="1135"/>
        <w:gridCol w:w="850"/>
        <w:gridCol w:w="2550"/>
        <w:gridCol w:w="2125"/>
      </w:tblGrid>
      <w:tr w:rsidR="001F4600" w:rsidRPr="003D3741" w:rsidTr="000C3439">
        <w:trPr>
          <w:trHeight w:val="396"/>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批次</w:t>
            </w:r>
          </w:p>
        </w:tc>
        <w:tc>
          <w:tcPr>
            <w:tcW w:w="339" w:type="pct"/>
            <w:tcBorders>
              <w:top w:val="single" w:sz="4" w:space="0" w:color="auto"/>
              <w:left w:val="nil"/>
              <w:bottom w:val="nil"/>
              <w:right w:val="nil"/>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项目</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条件</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审核结果</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得分</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审核单位</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类型</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资料要求（现场审核所有资料均需提供原件和复印件）</w:t>
            </w:r>
          </w:p>
        </w:tc>
        <w:tc>
          <w:tcPr>
            <w:tcW w:w="896"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备注</w:t>
            </w:r>
          </w:p>
        </w:tc>
      </w:tr>
      <w:tr w:rsidR="001F4600" w:rsidRPr="003D3741" w:rsidTr="000C3439">
        <w:trPr>
          <w:trHeight w:val="580"/>
        </w:trPr>
        <w:tc>
          <w:tcPr>
            <w:tcW w:w="184" w:type="pct"/>
            <w:vMerge w:val="restart"/>
            <w:tcBorders>
              <w:top w:val="single" w:sz="4" w:space="0" w:color="auto"/>
              <w:left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lastRenderedPageBreak/>
              <w:br w:type="page"/>
              <w:t>第</w:t>
            </w:r>
            <w:r w:rsidRPr="003D3741">
              <w:rPr>
                <w:rFonts w:asciiTheme="minorEastAsia" w:hAnsiTheme="minorEastAsia" w:cs="宋体" w:hint="eastAsia"/>
                <w:color w:val="000000" w:themeColor="text1"/>
                <w:kern w:val="0"/>
                <w:szCs w:val="21"/>
              </w:rPr>
              <w:br w:type="page"/>
              <w:t>二</w:t>
            </w:r>
            <w:r w:rsidRPr="003D3741">
              <w:rPr>
                <w:rFonts w:asciiTheme="minorEastAsia" w:hAnsiTheme="minorEastAsia" w:cs="宋体" w:hint="eastAsia"/>
                <w:color w:val="000000" w:themeColor="text1"/>
                <w:kern w:val="0"/>
                <w:szCs w:val="21"/>
              </w:rPr>
              <w:br w:type="page"/>
              <w:t>批</w:t>
            </w:r>
            <w:r w:rsidRPr="003D3741">
              <w:rPr>
                <w:rFonts w:asciiTheme="minorEastAsia" w:hAnsiTheme="minorEastAsia" w:cs="宋体" w:hint="eastAsia"/>
                <w:color w:val="000000" w:themeColor="text1"/>
                <w:kern w:val="0"/>
                <w:szCs w:val="21"/>
              </w:rPr>
              <w:br w:type="page"/>
              <w:t>投</w:t>
            </w:r>
            <w:r w:rsidRPr="003D3741">
              <w:rPr>
                <w:rFonts w:asciiTheme="minorEastAsia" w:hAnsiTheme="minorEastAsia" w:cs="宋体" w:hint="eastAsia"/>
                <w:color w:val="000000" w:themeColor="text1"/>
                <w:kern w:val="0"/>
                <w:szCs w:val="21"/>
              </w:rPr>
              <w:br w:type="page"/>
              <w:t>档录</w:t>
            </w:r>
            <w:r w:rsidRPr="003D3741">
              <w:rPr>
                <w:rFonts w:asciiTheme="minorEastAsia" w:hAnsiTheme="minorEastAsia" w:cs="宋体" w:hint="eastAsia"/>
                <w:color w:val="000000" w:themeColor="text1"/>
                <w:kern w:val="0"/>
                <w:szCs w:val="21"/>
              </w:rPr>
              <w:br w:type="page"/>
              <w:t>取</w:t>
            </w:r>
          </w:p>
        </w:tc>
        <w:tc>
          <w:tcPr>
            <w:tcW w:w="339" w:type="pct"/>
            <w:tcBorders>
              <w:top w:val="single" w:sz="4" w:space="0" w:color="auto"/>
              <w:left w:val="nil"/>
              <w:bottom w:val="nil"/>
              <w:right w:val="nil"/>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居住证</w:t>
            </w:r>
            <w:r w:rsidRPr="003D3741">
              <w:rPr>
                <w:rFonts w:asciiTheme="minorEastAsia" w:hAnsiTheme="minorEastAsia" w:cs="宋体" w:hint="eastAsia"/>
                <w:color w:val="000000" w:themeColor="text1"/>
                <w:kern w:val="0"/>
                <w:szCs w:val="21"/>
              </w:rPr>
              <w:br w:type="page"/>
              <w:t>办理情况</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5.持有在我市办理《广东省居住证》连续满1年</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□符  合</w:t>
            </w:r>
            <w:r w:rsidRPr="003D3741">
              <w:rPr>
                <w:rFonts w:asciiTheme="minorEastAsia" w:hAnsiTheme="minorEastAsia" w:cs="宋体" w:hint="eastAsia"/>
                <w:color w:val="000000" w:themeColor="text1"/>
                <w:kern w:val="0"/>
                <w:szCs w:val="21"/>
              </w:rPr>
              <w:br w:type="page"/>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□不符合</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镇（街）来穗人员和出租屋服务管理中心</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网上审核</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w:t>
            </w:r>
          </w:p>
        </w:tc>
        <w:tc>
          <w:tcPr>
            <w:tcW w:w="896"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计算居住证年限的截止时间为申请入学当年8月31日</w:t>
            </w:r>
          </w:p>
        </w:tc>
      </w:tr>
      <w:tr w:rsidR="001F4600" w:rsidRPr="003D3741" w:rsidTr="000C3439">
        <w:trPr>
          <w:trHeight w:val="413"/>
        </w:trPr>
        <w:tc>
          <w:tcPr>
            <w:tcW w:w="184" w:type="pct"/>
            <w:vMerge/>
            <w:tcBorders>
              <w:left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居住情况(满分30分)</w:t>
            </w:r>
          </w:p>
        </w:tc>
        <w:tc>
          <w:tcPr>
            <w:tcW w:w="895"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6.在南沙区的居住时间：0.5分/月</w:t>
            </w: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月</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镇（街）来穗人员和出租屋服务管理中心</w:t>
            </w:r>
          </w:p>
        </w:tc>
        <w:tc>
          <w:tcPr>
            <w:tcW w:w="35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网上审核</w:t>
            </w:r>
          </w:p>
        </w:tc>
        <w:tc>
          <w:tcPr>
            <w:tcW w:w="1074" w:type="pct"/>
            <w:vMerge w:val="restart"/>
            <w:tcBorders>
              <w:top w:val="nil"/>
              <w:left w:val="single" w:sz="4" w:space="0" w:color="auto"/>
              <w:bottom w:val="single" w:sz="4" w:space="0" w:color="000000"/>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如提供纸质补充材料须到现场审核。材料包括：申请人二代身份证和以下材料一项或多项（有效居住证、暂住证，合法有效的房屋租赁合同、广州市流动人员信息系统居住登记信息、厂企开具的居住证明等能够真实证明在我区居住情况的相关文件）</w:t>
            </w:r>
          </w:p>
        </w:tc>
        <w:tc>
          <w:tcPr>
            <w:tcW w:w="896" w:type="pct"/>
            <w:vMerge w:val="restart"/>
            <w:tcBorders>
              <w:top w:val="nil"/>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1.6和7两项合并计算，两项合计上限时间为60个月，满分为30分，大于60个月的按60个月计算，优先计算在南沙区的居住时间。</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2.2019年起，居住年限仅以办理广东省居住证的年限为准。</w:t>
            </w:r>
          </w:p>
        </w:tc>
      </w:tr>
      <w:tr w:rsidR="001F4600" w:rsidRPr="003D3741" w:rsidTr="000C3439">
        <w:trPr>
          <w:trHeight w:val="336"/>
        </w:trPr>
        <w:tc>
          <w:tcPr>
            <w:tcW w:w="184" w:type="pct"/>
            <w:vMerge/>
            <w:tcBorders>
              <w:left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39" w:type="pct"/>
            <w:vMerge/>
            <w:tcBorders>
              <w:top w:val="single" w:sz="4" w:space="0" w:color="auto"/>
              <w:left w:val="single" w:sz="4" w:space="0" w:color="auto"/>
              <w:bottom w:val="single" w:sz="4" w:space="0" w:color="000000"/>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895"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7.在广州市（非南沙区）的居住时间：0.1分/月</w:t>
            </w: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月</w:t>
            </w:r>
          </w:p>
        </w:tc>
        <w:tc>
          <w:tcPr>
            <w:tcW w:w="299" w:type="pct"/>
            <w:vMerge/>
            <w:tcBorders>
              <w:top w:val="nil"/>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478" w:type="pct"/>
            <w:vMerge/>
            <w:tcBorders>
              <w:top w:val="nil"/>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5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网上审核</w:t>
            </w:r>
          </w:p>
        </w:tc>
        <w:tc>
          <w:tcPr>
            <w:tcW w:w="1074" w:type="pct"/>
            <w:vMerge/>
            <w:tcBorders>
              <w:top w:val="nil"/>
              <w:left w:val="single" w:sz="4" w:space="0" w:color="auto"/>
              <w:bottom w:val="single" w:sz="4" w:space="0" w:color="000000"/>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896" w:type="pct"/>
            <w:vMerge/>
            <w:tcBorders>
              <w:top w:val="nil"/>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r>
      <w:tr w:rsidR="001F4600" w:rsidRPr="003D3741" w:rsidTr="000C3439">
        <w:trPr>
          <w:trHeight w:val="1362"/>
        </w:trPr>
        <w:tc>
          <w:tcPr>
            <w:tcW w:w="184" w:type="pct"/>
            <w:vMerge/>
            <w:tcBorders>
              <w:left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39" w:type="pct"/>
            <w:vMerge w:val="restart"/>
            <w:tcBorders>
              <w:top w:val="nil"/>
              <w:left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房产（租房）情况(满分2分)</w:t>
            </w:r>
          </w:p>
        </w:tc>
        <w:tc>
          <w:tcPr>
            <w:tcW w:w="895"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8.现在我区拥有合法房产（以区国土房管局系统信息为准）：2分</w:t>
            </w:r>
          </w:p>
        </w:tc>
        <w:tc>
          <w:tcPr>
            <w:tcW w:w="478" w:type="pct"/>
            <w:vMerge w:val="restart"/>
            <w:tcBorders>
              <w:top w:val="nil"/>
              <w:left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□符  合</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□不符合</w:t>
            </w:r>
          </w:p>
        </w:tc>
        <w:tc>
          <w:tcPr>
            <w:tcW w:w="299" w:type="pct"/>
            <w:vMerge w:val="restart"/>
            <w:tcBorders>
              <w:top w:val="nil"/>
              <w:left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区国土房管局</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58" w:type="pct"/>
            <w:vMerge w:val="restart"/>
            <w:tcBorders>
              <w:top w:val="nil"/>
              <w:left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网上审核</w:t>
            </w:r>
          </w:p>
        </w:tc>
        <w:tc>
          <w:tcPr>
            <w:tcW w:w="1074" w:type="pct"/>
            <w:vMerge w:val="restart"/>
            <w:tcBorders>
              <w:top w:val="nil"/>
              <w:left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如网上审核不通过，申请人须本人携带身份证、房产证明原件（租房协议和备案证明）到现场审核。</w:t>
            </w:r>
          </w:p>
        </w:tc>
        <w:tc>
          <w:tcPr>
            <w:tcW w:w="896" w:type="pct"/>
            <w:vMerge w:val="restart"/>
            <w:tcBorders>
              <w:top w:val="nil"/>
              <w:left w:val="nil"/>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1.拥有或租赁房产必须为居住性质（公寓、商铺等不能得分）。</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2.拥有房产为来穗人员及其配偶、子女（其中一方或多方）100%产权，否则不能得分。</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3.租赁我区住房，应提供一份于上一年8月31日前签订但仍属于有效状态的房屋租赁协议，且在房屋所在地镇（街）出租屋管理中心及其他授权办理备案机构办理了房屋租赁协议备案登记的予以认定，否则不予以认定（时间以备案登记时间为准，备案证明需连续不间断租赁同一套房产）。</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lastRenderedPageBreak/>
              <w:t>4.若同时拥有房产和租赁住房，最多只得2分。</w:t>
            </w:r>
          </w:p>
        </w:tc>
      </w:tr>
      <w:tr w:rsidR="001F4600" w:rsidRPr="003D3741" w:rsidTr="000C3439">
        <w:trPr>
          <w:trHeight w:val="1443"/>
        </w:trPr>
        <w:tc>
          <w:tcPr>
            <w:tcW w:w="184" w:type="pct"/>
            <w:vMerge/>
            <w:tcBorders>
              <w:left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39" w:type="pct"/>
            <w:vMerge/>
            <w:tcBorders>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895"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9.在我区租房并经过备案登记（以备案机构系统信息为准）：2分</w:t>
            </w:r>
          </w:p>
        </w:tc>
        <w:tc>
          <w:tcPr>
            <w:tcW w:w="478" w:type="pct"/>
            <w:vMerge/>
            <w:tcBorders>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299" w:type="pct"/>
            <w:vMerge/>
            <w:tcBorders>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镇（街）来穗人员和出租屋服务管理中心</w:t>
            </w:r>
          </w:p>
        </w:tc>
        <w:tc>
          <w:tcPr>
            <w:tcW w:w="358" w:type="pct"/>
            <w:vMerge/>
            <w:tcBorders>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1074" w:type="pct"/>
            <w:vMerge/>
            <w:tcBorders>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896" w:type="pct"/>
            <w:vMerge/>
            <w:tcBorders>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r>
      <w:tr w:rsidR="001F4600" w:rsidRPr="003D3741" w:rsidTr="000C3439">
        <w:trPr>
          <w:trHeight w:val="1639"/>
        </w:trPr>
        <w:tc>
          <w:tcPr>
            <w:tcW w:w="184" w:type="pct"/>
            <w:vMerge/>
            <w:tcBorders>
              <w:left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39" w:type="pct"/>
            <w:vMerge w:val="restart"/>
            <w:tcBorders>
              <w:top w:val="nil"/>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社保情况就业情况(满分36分)</w:t>
            </w:r>
          </w:p>
        </w:tc>
        <w:tc>
          <w:tcPr>
            <w:tcW w:w="895"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10.在南沙区内就业并依法缴纳社会保险（来穗人员自行选择一个险种）时间：0.5分/月，满分30分</w:t>
            </w: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月</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镇（街）劳动保障中心</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现场审核</w:t>
            </w:r>
          </w:p>
        </w:tc>
        <w:tc>
          <w:tcPr>
            <w:tcW w:w="1074" w:type="pct"/>
            <w:vMerge w:val="restart"/>
            <w:tcBorders>
              <w:top w:val="nil"/>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1.来穗人员身份证原件。</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2.医保缴费历史清单（可在南沙区政务服务中心三楼打印，东涌、榄核、大岗三镇直接在镇劳动保障中心确认）。</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3.有省社保局参保纪录的，则需提供省社保局参保缴费纪录清单。</w:t>
            </w:r>
          </w:p>
        </w:tc>
        <w:tc>
          <w:tcPr>
            <w:tcW w:w="896" w:type="pct"/>
            <w:vMerge w:val="restart"/>
            <w:tcBorders>
              <w:top w:val="nil"/>
              <w:left w:val="single" w:sz="4" w:space="0" w:color="auto"/>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1.只计算在省社保系统和广州市社保系统参保的时间。</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2.依法补缴的社保计算；外地转入的社保不计算；重复参保期间不重复计算。</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3.10和11两项时间分别单独计算，上限均为60个月，大于60个月的按60个月算。</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4.第10项在南沙区就业并缴纳社保是指来穗人员所在单位注册地址必须在南沙区内。</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5.第11项以来穗人员的实际缴费年限进行计算，不受2005年10月起始时间限制。</w:t>
            </w:r>
          </w:p>
        </w:tc>
      </w:tr>
      <w:tr w:rsidR="001F4600" w:rsidRPr="003D3741" w:rsidTr="000C3439">
        <w:trPr>
          <w:trHeight w:val="1383"/>
        </w:trPr>
        <w:tc>
          <w:tcPr>
            <w:tcW w:w="184" w:type="pct"/>
            <w:vMerge/>
            <w:tcBorders>
              <w:left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39" w:type="pct"/>
            <w:vMerge/>
            <w:tcBorders>
              <w:top w:val="nil"/>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895"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11.在广州市内就业并依法缴纳社会保险（来穗人员自行选择一个险种）时间：0.1分/月，满分6分</w:t>
            </w: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月</w:t>
            </w:r>
          </w:p>
        </w:tc>
        <w:tc>
          <w:tcPr>
            <w:tcW w:w="299" w:type="pct"/>
            <w:vMerge/>
            <w:tcBorders>
              <w:top w:val="nil"/>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478" w:type="pct"/>
            <w:vMerge/>
            <w:tcBorders>
              <w:top w:val="nil"/>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58" w:type="pct"/>
            <w:vMerge/>
            <w:tcBorders>
              <w:top w:val="nil"/>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1074" w:type="pct"/>
            <w:vMerge/>
            <w:tcBorders>
              <w:top w:val="nil"/>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896" w:type="pct"/>
            <w:vMerge/>
            <w:tcBorders>
              <w:top w:val="nil"/>
              <w:left w:val="single" w:sz="4" w:space="0" w:color="auto"/>
              <w:bottom w:val="single" w:sz="4" w:space="0" w:color="auto"/>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r>
      <w:tr w:rsidR="001F4600" w:rsidRPr="003D3741" w:rsidTr="000C3439">
        <w:trPr>
          <w:trHeight w:val="797"/>
        </w:trPr>
        <w:tc>
          <w:tcPr>
            <w:tcW w:w="184" w:type="pct"/>
            <w:vMerge/>
            <w:tcBorders>
              <w:left w:val="single" w:sz="4" w:space="0" w:color="auto"/>
              <w:bottom w:val="single" w:sz="4" w:space="0" w:color="000000"/>
              <w:right w:val="single" w:sz="4" w:space="0" w:color="auto"/>
            </w:tcBorders>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339"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学籍情况(满分30分)</w:t>
            </w:r>
          </w:p>
        </w:tc>
        <w:tc>
          <w:tcPr>
            <w:tcW w:w="895"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12.在南沙区内小学就读年限：2.5分/学期</w:t>
            </w: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学期</w:t>
            </w:r>
          </w:p>
        </w:tc>
        <w:tc>
          <w:tcPr>
            <w:tcW w:w="299"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p>
        </w:tc>
        <w:tc>
          <w:tcPr>
            <w:tcW w:w="47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就读小学</w:t>
            </w:r>
          </w:p>
        </w:tc>
        <w:tc>
          <w:tcPr>
            <w:tcW w:w="358"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网上审核</w:t>
            </w:r>
          </w:p>
        </w:tc>
        <w:tc>
          <w:tcPr>
            <w:tcW w:w="1074"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w:t>
            </w:r>
          </w:p>
        </w:tc>
        <w:tc>
          <w:tcPr>
            <w:tcW w:w="896" w:type="pct"/>
            <w:tcBorders>
              <w:top w:val="nil"/>
              <w:left w:val="nil"/>
              <w:bottom w:val="single" w:sz="4" w:space="0" w:color="auto"/>
              <w:right w:val="single" w:sz="4" w:space="0" w:color="auto"/>
            </w:tcBorders>
            <w:shd w:val="clear" w:color="auto" w:fill="auto"/>
            <w:vAlign w:val="center"/>
            <w:hideMark/>
          </w:tcPr>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1.仅适用于申请入读初中一年级。</w:t>
            </w:r>
          </w:p>
          <w:p w:rsidR="001F4600" w:rsidRPr="003D3741" w:rsidRDefault="001F4600" w:rsidP="000C3439">
            <w:pPr>
              <w:adjustRightInd w:val="0"/>
              <w:snapToGrid w:val="0"/>
              <w:jc w:val="left"/>
              <w:rPr>
                <w:rFonts w:asciiTheme="minorEastAsia" w:hAnsiTheme="minorEastAsia" w:cs="宋体"/>
                <w:color w:val="000000" w:themeColor="text1"/>
                <w:kern w:val="0"/>
                <w:szCs w:val="21"/>
              </w:rPr>
            </w:pPr>
            <w:r w:rsidRPr="003D3741">
              <w:rPr>
                <w:rFonts w:asciiTheme="minorEastAsia" w:hAnsiTheme="minorEastAsia" w:cs="宋体" w:hint="eastAsia"/>
                <w:color w:val="000000" w:themeColor="text1"/>
                <w:kern w:val="0"/>
                <w:szCs w:val="21"/>
              </w:rPr>
              <w:t>2.就读时间不满一学期的，该学期不得分。</w:t>
            </w:r>
          </w:p>
        </w:tc>
      </w:tr>
    </w:tbl>
    <w:p w:rsidR="001F4600" w:rsidRPr="003D3741"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Pr="003D3741"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Pr="003D3741"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Pr="003D3741"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Pr="003D3741" w:rsidRDefault="001F4600" w:rsidP="001F4600">
      <w:pPr>
        <w:adjustRightInd w:val="0"/>
        <w:snapToGrid w:val="0"/>
        <w:jc w:val="left"/>
        <w:rPr>
          <w:rFonts w:asciiTheme="minorEastAsia" w:hAnsiTheme="minorEastAsia" w:cs="宋体"/>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Default="001F4600" w:rsidP="001F4600">
      <w:pPr>
        <w:adjustRightInd w:val="0"/>
        <w:snapToGrid w:val="0"/>
        <w:jc w:val="left"/>
        <w:rPr>
          <w:rFonts w:asciiTheme="minorEastAsia" w:hAnsiTheme="minorEastAsia" w:cs="宋体" w:hint="eastAsia"/>
          <w:color w:val="000000" w:themeColor="text1"/>
          <w:kern w:val="0"/>
          <w:szCs w:val="21"/>
        </w:rPr>
      </w:pPr>
    </w:p>
    <w:p w:rsidR="001F4600" w:rsidRPr="003D3741" w:rsidRDefault="001F4600" w:rsidP="001F4600">
      <w:pPr>
        <w:adjustRightInd w:val="0"/>
        <w:snapToGrid w:val="0"/>
        <w:jc w:val="left"/>
        <w:rPr>
          <w:rFonts w:asciiTheme="minorEastAsia" w:hAnsiTheme="minorEastAsia" w:cs="宋体"/>
          <w:color w:val="000000" w:themeColor="text1"/>
          <w:kern w:val="0"/>
          <w:szCs w:val="21"/>
        </w:rPr>
        <w:sectPr w:rsidR="001F4600" w:rsidRPr="003D3741" w:rsidSect="00EF6939">
          <w:pgSz w:w="16838" w:h="11906" w:orient="landscape"/>
          <w:pgMar w:top="709" w:right="1134" w:bottom="851" w:left="1134" w:header="851" w:footer="992" w:gutter="0"/>
          <w:pgNumType w:fmt="numberInDash"/>
          <w:cols w:space="720"/>
          <w:docGrid w:linePitch="312"/>
        </w:sectPr>
      </w:pPr>
      <w:r w:rsidRPr="003D3741">
        <w:rPr>
          <w:rFonts w:asciiTheme="minorEastAsia" w:hAnsiTheme="minorEastAsia" w:cs="宋体" w:hint="eastAsia"/>
          <w:color w:val="000000" w:themeColor="text1"/>
          <w:kern w:val="0"/>
          <w:szCs w:val="21"/>
        </w:rPr>
        <w:t>注：</w:t>
      </w:r>
      <w:r w:rsidRPr="003D3741">
        <w:rPr>
          <w:rFonts w:asciiTheme="minorEastAsia" w:hAnsiTheme="minorEastAsia" w:cs="宋体"/>
          <w:color w:val="000000" w:themeColor="text1"/>
          <w:kern w:val="0"/>
          <w:szCs w:val="21"/>
        </w:rPr>
        <w:t>1</w:t>
      </w:r>
      <w:r w:rsidRPr="003D3741">
        <w:rPr>
          <w:rFonts w:asciiTheme="minorEastAsia" w:hAnsiTheme="minorEastAsia" w:cs="宋体" w:hint="eastAsia"/>
          <w:color w:val="000000" w:themeColor="text1"/>
          <w:kern w:val="0"/>
          <w:szCs w:val="21"/>
        </w:rPr>
        <w:t>.本表仅作参考使用，申请人必须在网上进行信息申报，由职能部门进行网上或现场审核。2.申请人可自主选择父、母（或其他合法监护人）中一方进行审核和积分计算，但所有审核项目必须为同一人（计生以家庭为单位审核，房产以申请人夫妻双方及其申请入学子女共同计算）。3.</w:t>
      </w:r>
      <w:r w:rsidRPr="003D3741">
        <w:rPr>
          <w:rFonts w:asciiTheme="minorEastAsia" w:hAnsiTheme="minorEastAsia" w:cs="Times New Roman" w:hint="eastAsia"/>
          <w:bCs/>
          <w:color w:val="000000" w:themeColor="text1"/>
          <w:szCs w:val="21"/>
        </w:rPr>
        <w:t>申请人对审核结果有疑问或异议，可在规定时间内持相关材料到对应职能部门进行咨询和复核，系统将根据复核结果重新自动计算</w:t>
      </w:r>
      <w:r>
        <w:rPr>
          <w:rFonts w:asciiTheme="minorEastAsia" w:hAnsiTheme="minorEastAsia" w:cs="Times New Roman" w:hint="eastAsia"/>
          <w:bCs/>
          <w:color w:val="000000" w:themeColor="text1"/>
          <w:szCs w:val="21"/>
        </w:rPr>
        <w:t>。</w:t>
      </w:r>
    </w:p>
    <w:p w:rsidR="00CA5AE0" w:rsidRPr="001F4600" w:rsidRDefault="00CA5AE0"/>
    <w:sectPr w:rsidR="00CA5AE0" w:rsidRPr="001F46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AE0" w:rsidRDefault="00CA5AE0" w:rsidP="001F4600">
      <w:r>
        <w:separator/>
      </w:r>
    </w:p>
  </w:endnote>
  <w:endnote w:type="continuationSeparator" w:id="1">
    <w:p w:rsidR="00CA5AE0" w:rsidRDefault="00CA5AE0" w:rsidP="001F46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AE0" w:rsidRDefault="00CA5AE0" w:rsidP="001F4600">
      <w:r>
        <w:separator/>
      </w:r>
    </w:p>
  </w:footnote>
  <w:footnote w:type="continuationSeparator" w:id="1">
    <w:p w:rsidR="00CA5AE0" w:rsidRDefault="00CA5AE0" w:rsidP="001F46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600"/>
    <w:rsid w:val="001F4600"/>
    <w:rsid w:val="00CA5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6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600"/>
    <w:rPr>
      <w:sz w:val="18"/>
      <w:szCs w:val="18"/>
    </w:rPr>
  </w:style>
  <w:style w:type="paragraph" w:styleId="a4">
    <w:name w:val="footer"/>
    <w:basedOn w:val="a"/>
    <w:link w:val="Char0"/>
    <w:uiPriority w:val="99"/>
    <w:semiHidden/>
    <w:unhideWhenUsed/>
    <w:rsid w:val="001F46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46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2052</Characters>
  <Application>Microsoft Office Word</Application>
  <DocSecurity>0</DocSecurity>
  <Lines>17</Lines>
  <Paragraphs>4</Paragraphs>
  <ScaleCrop>false</ScaleCrop>
  <Company>nsjy</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2018-12-18T08:39:00Z</dcterms:created>
  <dcterms:modified xsi:type="dcterms:W3CDTF">2018-12-18T08:40:00Z</dcterms:modified>
</cp:coreProperties>
</file>